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31BF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444445484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444445484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31BF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31BF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31BF3">
        <w:rPr>
          <w:b/>
          <w:bCs/>
          <w:sz w:val="24"/>
          <w:szCs w:val="24"/>
          <w:lang w:val="ru-RU"/>
        </w:rPr>
        <w:t xml:space="preserve">№ </w:t>
      </w:r>
      <w:r w:rsidR="004D1119" w:rsidRPr="00531BF3">
        <w:rPr>
          <w:b/>
          <w:bCs/>
          <w:sz w:val="24"/>
          <w:szCs w:val="24"/>
          <w:lang w:val="ru-RU"/>
        </w:rPr>
        <w:t xml:space="preserve">ПЗН-66587 </w:t>
      </w:r>
      <w:proofErr w:type="spellStart"/>
      <w:r w:rsidR="004D1119" w:rsidRPr="00531BF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31BF3">
        <w:rPr>
          <w:b/>
          <w:bCs/>
          <w:sz w:val="24"/>
          <w:szCs w:val="24"/>
          <w:lang w:val="ru-RU"/>
        </w:rPr>
        <w:t xml:space="preserve"> 20.05.2024</w:t>
      </w:r>
    </w:p>
    <w:p w14:paraId="781D03CD" w14:textId="77777777" w:rsidR="004D1119" w:rsidRPr="00531BF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31BF3">
        <w:rPr>
          <w:sz w:val="24"/>
          <w:szCs w:val="24"/>
          <w:lang w:val="ru-RU"/>
        </w:rPr>
        <w:t xml:space="preserve">до </w:t>
      </w:r>
      <w:proofErr w:type="spellStart"/>
      <w:r w:rsidRPr="00531BF3">
        <w:rPr>
          <w:sz w:val="24"/>
          <w:szCs w:val="24"/>
          <w:lang w:val="ru-RU"/>
        </w:rPr>
        <w:t>проєкту</w:t>
      </w:r>
      <w:proofErr w:type="spellEnd"/>
      <w:r w:rsidRPr="00531BF3">
        <w:rPr>
          <w:sz w:val="24"/>
          <w:szCs w:val="24"/>
          <w:lang w:val="ru-RU"/>
        </w:rPr>
        <w:t xml:space="preserve"> </w:t>
      </w:r>
      <w:proofErr w:type="spellStart"/>
      <w:r w:rsidRPr="00531BF3">
        <w:rPr>
          <w:sz w:val="24"/>
          <w:szCs w:val="24"/>
          <w:lang w:val="ru-RU"/>
        </w:rPr>
        <w:t>рішення</w:t>
      </w:r>
      <w:proofErr w:type="spellEnd"/>
      <w:r w:rsidRPr="00531BF3">
        <w:rPr>
          <w:sz w:val="24"/>
          <w:szCs w:val="24"/>
          <w:lang w:val="ru-RU"/>
        </w:rPr>
        <w:t xml:space="preserve"> </w:t>
      </w:r>
      <w:proofErr w:type="spellStart"/>
      <w:r w:rsidRPr="00531BF3">
        <w:rPr>
          <w:sz w:val="24"/>
          <w:szCs w:val="24"/>
          <w:lang w:val="ru-RU"/>
        </w:rPr>
        <w:t>Київської</w:t>
      </w:r>
      <w:proofErr w:type="spellEnd"/>
      <w:r w:rsidRPr="00531BF3">
        <w:rPr>
          <w:sz w:val="24"/>
          <w:szCs w:val="24"/>
          <w:lang w:val="ru-RU"/>
        </w:rPr>
        <w:t xml:space="preserve"> </w:t>
      </w:r>
      <w:proofErr w:type="spellStart"/>
      <w:r w:rsidRPr="00531BF3">
        <w:rPr>
          <w:sz w:val="24"/>
          <w:szCs w:val="24"/>
          <w:lang w:val="ru-RU"/>
        </w:rPr>
        <w:t>міської</w:t>
      </w:r>
      <w:proofErr w:type="spellEnd"/>
      <w:r w:rsidRPr="00531BF3">
        <w:rPr>
          <w:sz w:val="24"/>
          <w:szCs w:val="24"/>
          <w:lang w:val="ru-RU"/>
        </w:rPr>
        <w:t xml:space="preserve"> ради:</w:t>
      </w:r>
    </w:p>
    <w:p w14:paraId="69E0EA30" w14:textId="6403EFAD" w:rsidR="004D1119" w:rsidRPr="004D1119" w:rsidRDefault="00A8471D" w:rsidP="00A8471D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«АВТОБУДІНВЕСТ»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готельно-офісного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  на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Іллінській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>, 22/13 (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літери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«А», «Б» та «Д») у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A8471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471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675988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31BF3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531BF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«АВТОБУДІНВЕСТ»</w:t>
            </w:r>
          </w:p>
        </w:tc>
      </w:tr>
      <w:tr w:rsidR="004D1119" w:rsidRPr="008E38DE" w14:paraId="6A6CF238" w14:textId="77777777" w:rsidTr="008E38DE">
        <w:trPr>
          <w:cantSplit/>
          <w:trHeight w:hRule="exact" w:val="988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1BB0E1EF" w:rsidR="004D1119" w:rsidRPr="00A43048" w:rsidRDefault="008E38DE" w:rsidP="008E38D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ЖУКОВ ГЕНАДІЙ,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: Литва,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, 08711,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Київська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Обухівський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міського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типу Козин,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Придніпровська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2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</w:p>
        </w:tc>
      </w:tr>
      <w:tr w:rsidR="004D1119" w:rsidRPr="008E38DE" w14:paraId="2EEB9864" w14:textId="77777777" w:rsidTr="008E38DE">
        <w:trPr>
          <w:cantSplit/>
          <w:trHeight w:hRule="exact" w:val="128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8E38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8E38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65A7D9E8" w14:textId="1615FBA0" w:rsidR="008E38DE" w:rsidRPr="008E38DE" w:rsidRDefault="008E38DE" w:rsidP="008E38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ЖУКОВ ГЕНАДІЙ,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: Литва,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, 08711,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Київська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Обухівський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міського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типу Козин,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Придніпровська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2.</w:t>
            </w:r>
          </w:p>
          <w:p w14:paraId="735F80AE" w14:textId="77777777" w:rsidR="008E38DE" w:rsidRPr="008E38DE" w:rsidRDefault="008E38DE" w:rsidP="008E38DE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володіння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Прямий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вирішальний</w:t>
            </w:r>
            <w:proofErr w:type="spellEnd"/>
            <w:r w:rsidRPr="008E38D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8DE">
              <w:rPr>
                <w:i/>
                <w:iCs/>
                <w:sz w:val="24"/>
                <w:szCs w:val="24"/>
                <w:lang w:val="ru-RU"/>
              </w:rPr>
              <w:t>вплив</w:t>
            </w:r>
            <w:proofErr w:type="spellEnd"/>
          </w:p>
          <w:p w14:paraId="395C8F20" w14:textId="4290EC72" w:rsidR="004D1119" w:rsidRPr="00A43048" w:rsidRDefault="004D1119" w:rsidP="008E38D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E38D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03.05.2024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444445484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531BF3">
        <w:rPr>
          <w:b/>
          <w:bCs/>
          <w:sz w:val="24"/>
          <w:szCs w:val="24"/>
          <w:lang w:val="ru-RU"/>
        </w:rPr>
        <w:t>8000000000:85:369:0006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8E38DE">
        <w:trPr>
          <w:trHeight w:val="42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Подільський,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Іллінська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22/13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0,1939 га</w:t>
            </w:r>
          </w:p>
        </w:tc>
      </w:tr>
      <w:tr w:rsidR="004D1119" w:rsidRPr="0067598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92E2B46" w:rsidR="004D1119" w:rsidRPr="00A43048" w:rsidRDefault="006E106A" w:rsidP="00C00A1D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8E38DE">
              <w:rPr>
                <w:i/>
                <w:sz w:val="24"/>
                <w:szCs w:val="24"/>
              </w:rPr>
              <w:t xml:space="preserve"> на </w:t>
            </w:r>
            <w:r w:rsidR="00C00A1D">
              <w:rPr>
                <w:i/>
                <w:sz w:val="24"/>
                <w:szCs w:val="24"/>
              </w:rPr>
              <w:t>5</w:t>
            </w:r>
            <w:r w:rsidR="008E38DE">
              <w:rPr>
                <w:i/>
                <w:sz w:val="24"/>
                <w:szCs w:val="24"/>
              </w:rPr>
              <w:t xml:space="preserve">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75988" w14:paraId="00AEDE2C" w14:textId="77777777" w:rsidTr="008E38DE">
        <w:trPr>
          <w:trHeight w:val="35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B2F881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8E38DE">
        <w:trPr>
          <w:trHeight w:val="155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31BF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9D25C87" w:rsidR="00A21758" w:rsidRPr="00A43048" w:rsidRDefault="00C675D8" w:rsidP="008E38D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8E38DE">
              <w:rPr>
                <w:rStyle w:val="a9"/>
                <w:sz w:val="24"/>
                <w:szCs w:val="24"/>
              </w:rPr>
              <w:t xml:space="preserve">для </w:t>
            </w:r>
            <w:r w:rsidR="008E38DE" w:rsidRPr="008E38DE">
              <w:rPr>
                <w:rStyle w:val="a9"/>
                <w:sz w:val="24"/>
                <w:szCs w:val="24"/>
              </w:rPr>
              <w:t xml:space="preserve">будівництва, обслуговування та експлуатації </w:t>
            </w:r>
            <w:proofErr w:type="spellStart"/>
            <w:r w:rsidR="008E38DE" w:rsidRPr="008E38DE">
              <w:rPr>
                <w:rStyle w:val="a9"/>
                <w:sz w:val="24"/>
                <w:szCs w:val="24"/>
              </w:rPr>
              <w:t>готельно</w:t>
            </w:r>
            <w:proofErr w:type="spellEnd"/>
            <w:r w:rsidR="008E38DE" w:rsidRPr="008E38DE">
              <w:rPr>
                <w:rStyle w:val="a9"/>
                <w:sz w:val="24"/>
                <w:szCs w:val="24"/>
              </w:rPr>
              <w:t>-офісного комплексу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255BC81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FF1839">
              <w:rPr>
                <w:rStyle w:val="a9"/>
                <w:sz w:val="24"/>
                <w:szCs w:val="24"/>
              </w:rPr>
              <w:t xml:space="preserve">45 551 295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FF1839">
              <w:rPr>
                <w:rStyle w:val="a9"/>
                <w:sz w:val="24"/>
                <w:szCs w:val="24"/>
              </w:rPr>
              <w:t>90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67598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3EE70DFA" w:rsidR="004D1119" w:rsidRPr="00FF183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FF1839">
        <w:rPr>
          <w:sz w:val="24"/>
          <w:szCs w:val="24"/>
          <w:lang w:val="ru-RU"/>
        </w:rPr>
        <w:t>Відповідно</w:t>
      </w:r>
      <w:proofErr w:type="spellEnd"/>
      <w:r w:rsidRPr="00FF1839">
        <w:rPr>
          <w:sz w:val="24"/>
          <w:szCs w:val="24"/>
        </w:rPr>
        <w:t xml:space="preserve"> </w:t>
      </w:r>
      <w:r w:rsidRPr="00FF1839">
        <w:rPr>
          <w:sz w:val="24"/>
          <w:szCs w:val="24"/>
          <w:lang w:val="ru-RU"/>
        </w:rPr>
        <w:t>до</w:t>
      </w:r>
      <w:r w:rsidRPr="00FF1839">
        <w:rPr>
          <w:sz w:val="24"/>
          <w:szCs w:val="24"/>
        </w:rPr>
        <w:t xml:space="preserve"> </w:t>
      </w:r>
      <w:proofErr w:type="spellStart"/>
      <w:r w:rsidRPr="00FF1839">
        <w:rPr>
          <w:sz w:val="24"/>
          <w:szCs w:val="24"/>
          <w:lang w:val="ru-RU"/>
        </w:rPr>
        <w:t>статті</w:t>
      </w:r>
      <w:proofErr w:type="spellEnd"/>
      <w:r w:rsidRPr="00FF1839">
        <w:rPr>
          <w:sz w:val="24"/>
          <w:szCs w:val="24"/>
        </w:rPr>
        <w:t xml:space="preserve"> 123 </w:t>
      </w:r>
      <w:r w:rsidRPr="00FF1839">
        <w:rPr>
          <w:sz w:val="24"/>
          <w:szCs w:val="24"/>
          <w:lang w:val="ru-RU"/>
        </w:rPr>
        <w:t>Земельн</w:t>
      </w:r>
      <w:r w:rsidR="00DC4060" w:rsidRPr="00FF1839">
        <w:rPr>
          <w:sz w:val="24"/>
          <w:szCs w:val="24"/>
          <w:lang w:val="ru-RU"/>
        </w:rPr>
        <w:t>ого</w:t>
      </w:r>
      <w:r w:rsidR="00DC4060" w:rsidRPr="00FF1839">
        <w:rPr>
          <w:sz w:val="24"/>
          <w:szCs w:val="24"/>
        </w:rPr>
        <w:t xml:space="preserve"> </w:t>
      </w:r>
      <w:r w:rsidR="00DC4060" w:rsidRPr="00FF1839">
        <w:rPr>
          <w:sz w:val="24"/>
          <w:szCs w:val="24"/>
          <w:lang w:val="ru-RU"/>
        </w:rPr>
        <w:t>кодексу</w:t>
      </w:r>
      <w:r w:rsidR="00DC4060" w:rsidRPr="00FF1839">
        <w:rPr>
          <w:sz w:val="24"/>
          <w:szCs w:val="24"/>
        </w:rPr>
        <w:t xml:space="preserve"> </w:t>
      </w:r>
      <w:proofErr w:type="spellStart"/>
      <w:r w:rsidR="00DC4060" w:rsidRPr="00FF1839">
        <w:rPr>
          <w:sz w:val="24"/>
          <w:szCs w:val="24"/>
          <w:lang w:val="ru-RU"/>
        </w:rPr>
        <w:t>України</w:t>
      </w:r>
      <w:proofErr w:type="spellEnd"/>
      <w:r w:rsidR="00DC4060" w:rsidRPr="00FF1839">
        <w:rPr>
          <w:sz w:val="24"/>
          <w:szCs w:val="24"/>
        </w:rPr>
        <w:t xml:space="preserve">, </w:t>
      </w:r>
      <w:proofErr w:type="spellStart"/>
      <w:r w:rsidR="00DC4060" w:rsidRPr="00FF1839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FF1839">
        <w:rPr>
          <w:sz w:val="24"/>
          <w:szCs w:val="24"/>
          <w:lang w:val="ru-RU"/>
        </w:rPr>
        <w:t>Державному</w:t>
      </w:r>
      <w:r w:rsidR="00DC4060" w:rsidRPr="00FF1839">
        <w:rPr>
          <w:sz w:val="24"/>
          <w:szCs w:val="24"/>
        </w:rPr>
        <w:t xml:space="preserve"> </w:t>
      </w:r>
      <w:r w:rsidR="00DC4060" w:rsidRPr="00FF1839">
        <w:rPr>
          <w:sz w:val="24"/>
          <w:szCs w:val="24"/>
          <w:lang w:val="ru-RU"/>
        </w:rPr>
        <w:t>земельному</w:t>
      </w:r>
      <w:r w:rsidR="00DC4060" w:rsidRPr="00FF1839">
        <w:rPr>
          <w:sz w:val="24"/>
          <w:szCs w:val="24"/>
        </w:rPr>
        <w:t xml:space="preserve"> </w:t>
      </w:r>
      <w:proofErr w:type="spellStart"/>
      <w:r w:rsidR="00DC4060" w:rsidRPr="00FD02B3">
        <w:rPr>
          <w:sz w:val="24"/>
          <w:szCs w:val="24"/>
          <w:lang w:val="ru-RU"/>
        </w:rPr>
        <w:t>кадастрі</w:t>
      </w:r>
      <w:proofErr w:type="spellEnd"/>
      <w:r w:rsidR="0044297A" w:rsidRPr="00FD02B3">
        <w:rPr>
          <w:sz w:val="24"/>
          <w:szCs w:val="24"/>
        </w:rPr>
        <w:t xml:space="preserve"> </w:t>
      </w:r>
      <w:r w:rsidR="0044297A" w:rsidRPr="00FD02B3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FD02B3">
        <w:rPr>
          <w:sz w:val="24"/>
          <w:szCs w:val="24"/>
          <w:lang w:val="uk-UA"/>
        </w:rPr>
        <w:t xml:space="preserve">мельну ділянку від </w:t>
      </w:r>
      <w:r w:rsidR="00FF1839" w:rsidRPr="00FD02B3">
        <w:rPr>
          <w:sz w:val="24"/>
          <w:szCs w:val="24"/>
          <w:lang w:val="uk-UA"/>
        </w:rPr>
        <w:t>20.05.2024</w:t>
      </w:r>
      <w:r w:rsidR="007778A0" w:rsidRPr="00FD02B3">
        <w:rPr>
          <w:sz w:val="24"/>
          <w:szCs w:val="24"/>
          <w:lang w:val="uk-UA"/>
        </w:rPr>
        <w:t xml:space="preserve"> №</w:t>
      </w:r>
      <w:r w:rsidR="00FD02B3" w:rsidRPr="00FD02B3">
        <w:rPr>
          <w:sz w:val="24"/>
          <w:szCs w:val="24"/>
          <w:lang w:val="uk-UA"/>
        </w:rPr>
        <w:t xml:space="preserve"> НВ-0001229272024</w:t>
      </w:r>
      <w:r w:rsidR="0044297A" w:rsidRPr="00FD02B3">
        <w:rPr>
          <w:sz w:val="24"/>
          <w:szCs w:val="24"/>
          <w:lang w:val="uk-UA"/>
        </w:rPr>
        <w:t>),</w:t>
      </w:r>
      <w:r w:rsidRPr="00FD02B3">
        <w:rPr>
          <w:sz w:val="24"/>
          <w:szCs w:val="24"/>
          <w:lang w:val="uk-UA"/>
        </w:rPr>
        <w:t xml:space="preserve"> </w:t>
      </w:r>
      <w:r w:rsidR="0044297A" w:rsidRPr="00FD02B3">
        <w:rPr>
          <w:sz w:val="24"/>
          <w:szCs w:val="24"/>
          <w:lang w:val="uk-UA"/>
        </w:rPr>
        <w:t>право</w:t>
      </w:r>
      <w:r w:rsidRPr="00FD02B3">
        <w:rPr>
          <w:sz w:val="24"/>
          <w:szCs w:val="24"/>
          <w:lang w:val="uk-UA"/>
        </w:rPr>
        <w:t xml:space="preserve"> комунальної власності </w:t>
      </w:r>
      <w:r w:rsidR="00DC4060" w:rsidRPr="00FD02B3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FD02B3">
        <w:rPr>
          <w:sz w:val="24"/>
          <w:szCs w:val="24"/>
          <w:lang w:val="uk-UA"/>
        </w:rPr>
        <w:t xml:space="preserve"> поряд</w:t>
      </w:r>
      <w:r w:rsidR="00DC4060" w:rsidRPr="00FD02B3">
        <w:rPr>
          <w:sz w:val="24"/>
          <w:szCs w:val="24"/>
          <w:lang w:val="uk-UA"/>
        </w:rPr>
        <w:t xml:space="preserve">ку </w:t>
      </w:r>
      <w:r w:rsidR="0049346A" w:rsidRPr="0049346A">
        <w:rPr>
          <w:sz w:val="24"/>
          <w:szCs w:val="24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49346A">
        <w:rPr>
          <w:sz w:val="24"/>
          <w:szCs w:val="24"/>
          <w:lang w:val="uk-UA"/>
        </w:rPr>
        <w:t xml:space="preserve">                                </w:t>
      </w:r>
      <w:r w:rsidR="0049346A" w:rsidRPr="0049346A">
        <w:rPr>
          <w:sz w:val="24"/>
          <w:szCs w:val="24"/>
          <w:lang w:val="uk-UA"/>
        </w:rPr>
        <w:t>27 листопада 2017 року, номер відомостей про речове право: 23643064</w:t>
      </w:r>
      <w:r w:rsidR="00FF1839" w:rsidRPr="00FF1839">
        <w:rPr>
          <w:sz w:val="24"/>
          <w:szCs w:val="24"/>
          <w:lang w:val="uk-UA"/>
        </w:rPr>
        <w:t>)</w:t>
      </w:r>
      <w:r w:rsidR="0044297A" w:rsidRPr="00FF1839">
        <w:rPr>
          <w:sz w:val="24"/>
          <w:szCs w:val="24"/>
          <w:lang w:val="uk-UA"/>
        </w:rPr>
        <w:t xml:space="preserve"> </w:t>
      </w:r>
      <w:r w:rsidR="00DC4060" w:rsidRPr="00FF1839">
        <w:rPr>
          <w:sz w:val="24"/>
          <w:szCs w:val="24"/>
          <w:lang w:val="uk-UA"/>
        </w:rPr>
        <w:t>Департаментом</w:t>
      </w:r>
      <w:r w:rsidR="00DC4060">
        <w:rPr>
          <w:sz w:val="24"/>
          <w:szCs w:val="24"/>
          <w:lang w:val="uk-UA"/>
        </w:rPr>
        <w:t xml:space="preserve">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FF1839">
        <w:rPr>
          <w:sz w:val="24"/>
          <w:szCs w:val="24"/>
          <w:lang w:val="uk-UA"/>
        </w:rPr>
        <w:t xml:space="preserve">рішення Київської міської ради щодо передачі земельної </w:t>
      </w:r>
      <w:r w:rsidRPr="00FF1839">
        <w:rPr>
          <w:sz w:val="24"/>
          <w:szCs w:val="24"/>
          <w:lang w:val="uk-UA"/>
        </w:rPr>
        <w:lastRenderedPageBreak/>
        <w:t xml:space="preserve">ділянки без зміни її меж та цільового </w:t>
      </w:r>
      <w:r w:rsidRPr="00FF1839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FF1839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C1C7B23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r w:rsidR="00FF1839">
        <w:rPr>
          <w:sz w:val="24"/>
          <w:szCs w:val="24"/>
          <w:lang w:val="ru-RU"/>
        </w:rPr>
        <w:t xml:space="preserve">земельною </w:t>
      </w:r>
      <w:proofErr w:type="spellStart"/>
      <w:r w:rsidR="00FF1839">
        <w:rPr>
          <w:sz w:val="24"/>
          <w:szCs w:val="24"/>
          <w:lang w:val="ru-RU"/>
        </w:rPr>
        <w:t>ділянкою</w:t>
      </w:r>
      <w:proofErr w:type="spellEnd"/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6801"/>
      </w:tblGrid>
      <w:tr w:rsidR="00D40B1B" w:rsidRPr="00675988" w14:paraId="713ABCEB" w14:textId="77777777" w:rsidTr="00067BF0">
        <w:trPr>
          <w:cantSplit/>
          <w:trHeight w:val="91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D995011" w:rsidR="004D1119" w:rsidRPr="005639F6" w:rsidRDefault="007B2370" w:rsidP="0049346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B2370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 xml:space="preserve">нежилим будинком-офісом (літера Д) </w:t>
            </w:r>
            <w:r w:rsidRPr="007B2370">
              <w:rPr>
                <w:i/>
                <w:sz w:val="24"/>
                <w:szCs w:val="24"/>
              </w:rPr>
              <w:t xml:space="preserve">(реєстраційний номер об’єкта нерухомого майна: </w:t>
            </w:r>
            <w:r>
              <w:rPr>
                <w:i/>
                <w:sz w:val="24"/>
                <w:szCs w:val="24"/>
              </w:rPr>
              <w:t>25666318</w:t>
            </w:r>
            <w:r w:rsidRPr="007B2370">
              <w:rPr>
                <w:i/>
                <w:sz w:val="24"/>
                <w:szCs w:val="24"/>
              </w:rPr>
              <w:t xml:space="preserve">0000) загальною площею 1301,1 </w:t>
            </w:r>
            <w:proofErr w:type="spellStart"/>
            <w:r w:rsidRPr="007B2370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. На земельній ділянці розміщене незавершене будівництво, </w:t>
            </w:r>
            <w:proofErr w:type="spellStart"/>
            <w:r>
              <w:rPr>
                <w:i/>
                <w:sz w:val="24"/>
                <w:szCs w:val="24"/>
              </w:rPr>
              <w:t>готельно</w:t>
            </w:r>
            <w:proofErr w:type="spellEnd"/>
            <w:r>
              <w:rPr>
                <w:i/>
                <w:sz w:val="24"/>
                <w:szCs w:val="24"/>
              </w:rPr>
              <w:t>-офісний комплекс з підземним паркінгом</w:t>
            </w:r>
            <w:r w:rsidR="00D40B1B">
              <w:rPr>
                <w:i/>
                <w:sz w:val="24"/>
                <w:szCs w:val="24"/>
              </w:rPr>
              <w:t xml:space="preserve"> (готовність 5,1%)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7B2370">
              <w:rPr>
                <w:i/>
                <w:sz w:val="24"/>
                <w:szCs w:val="24"/>
              </w:rPr>
              <w:t xml:space="preserve">(реєстраційний номер об’єкта нерухомого майна: </w:t>
            </w:r>
            <w:r>
              <w:rPr>
                <w:i/>
                <w:sz w:val="24"/>
                <w:szCs w:val="24"/>
              </w:rPr>
              <w:t xml:space="preserve">2612559580000). Об’єкти належать </w:t>
            </w:r>
            <w:r w:rsidRPr="007B2370">
              <w:rPr>
                <w:i/>
                <w:iCs/>
                <w:sz w:val="24"/>
                <w:szCs w:val="24"/>
              </w:rPr>
              <w:t>ТОВАРИСТВУ З ОБМЕЖЕНОЮ ВІДПОВІДАЛЬНІСТЮ</w:t>
            </w:r>
            <w:r w:rsidR="0049346A">
              <w:rPr>
                <w:i/>
                <w:sz w:val="24"/>
                <w:szCs w:val="24"/>
              </w:rPr>
              <w:t xml:space="preserve"> «АВТОБУДІ</w:t>
            </w:r>
            <w:r>
              <w:rPr>
                <w:i/>
                <w:sz w:val="24"/>
                <w:szCs w:val="24"/>
              </w:rPr>
              <w:t xml:space="preserve">НВЕСТ» на праві приватної власності </w:t>
            </w:r>
            <w:r w:rsidRPr="007B2370">
              <w:rPr>
                <w:i/>
                <w:sz w:val="24"/>
                <w:szCs w:val="24"/>
              </w:rPr>
              <w:t>(право власності зареєстровано в Державному реєстрі р</w:t>
            </w:r>
            <w:r>
              <w:rPr>
                <w:i/>
                <w:sz w:val="24"/>
                <w:szCs w:val="24"/>
              </w:rPr>
              <w:t>ечових прав на нерухоме майно 08.06.2023 та 14.07.2022</w:t>
            </w:r>
            <w:r w:rsidRPr="007B2370">
              <w:rPr>
                <w:i/>
                <w:sz w:val="24"/>
                <w:szCs w:val="24"/>
              </w:rPr>
              <w:t>, номери відомостей про речове право: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2370">
              <w:rPr>
                <w:i/>
                <w:sz w:val="24"/>
                <w:szCs w:val="24"/>
              </w:rPr>
              <w:t xml:space="preserve">50607484 </w:t>
            </w:r>
            <w:r>
              <w:rPr>
                <w:i/>
                <w:sz w:val="24"/>
                <w:szCs w:val="24"/>
              </w:rPr>
              <w:t xml:space="preserve">та </w:t>
            </w:r>
            <w:r w:rsidRPr="007B2370">
              <w:rPr>
                <w:i/>
                <w:sz w:val="24"/>
                <w:szCs w:val="24"/>
              </w:rPr>
              <w:t>47371917</w:t>
            </w:r>
            <w:r w:rsidR="0049346A">
              <w:rPr>
                <w:i/>
                <w:sz w:val="24"/>
                <w:szCs w:val="24"/>
              </w:rPr>
              <w:t xml:space="preserve"> </w:t>
            </w:r>
            <w:r w:rsidRPr="007B2370">
              <w:rPr>
                <w:i/>
                <w:sz w:val="24"/>
                <w:szCs w:val="24"/>
              </w:rPr>
              <w:t>відповідно</w:t>
            </w:r>
            <w:r w:rsidR="00653D68">
              <w:rPr>
                <w:i/>
                <w:sz w:val="24"/>
                <w:szCs w:val="24"/>
              </w:rPr>
              <w:t>.</w:t>
            </w:r>
          </w:p>
        </w:tc>
      </w:tr>
      <w:tr w:rsidR="00D40B1B" w:rsidRPr="00531BF3" w14:paraId="0090C0B3" w14:textId="77777777" w:rsidTr="00067BF0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7B2370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F101BF8" w:rsidR="004D1119" w:rsidRPr="005639F6" w:rsidRDefault="005639F6" w:rsidP="00FF1839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40B1B" w:rsidRPr="00675988" w14:paraId="6224F51E" w14:textId="77777777" w:rsidTr="00067BF0">
        <w:trPr>
          <w:cantSplit/>
          <w:trHeight w:val="138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D970B2E" w:rsidR="004D1119" w:rsidRPr="005639F6" w:rsidRDefault="0081555A" w:rsidP="0081555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1555A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</w:t>
            </w:r>
            <w:r>
              <w:rPr>
                <w:i/>
                <w:sz w:val="24"/>
                <w:szCs w:val="24"/>
              </w:rPr>
              <w:t>громадських будівель та споруд</w:t>
            </w:r>
            <w:r w:rsidRPr="0081555A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в</w:t>
            </w:r>
            <w:r w:rsidRPr="0081555A">
              <w:rPr>
                <w:i/>
                <w:sz w:val="24"/>
                <w:szCs w:val="24"/>
              </w:rPr>
              <w:t>итяг з містобудівного кадастру</w:t>
            </w:r>
            <w:r>
              <w:rPr>
                <w:i/>
                <w:sz w:val="24"/>
                <w:szCs w:val="24"/>
              </w:rPr>
              <w:t xml:space="preserve"> наданий листом </w:t>
            </w:r>
            <w:r w:rsidRPr="0081555A">
              <w:rPr>
                <w:i/>
                <w:sz w:val="24"/>
                <w:szCs w:val="24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</w:t>
            </w:r>
            <w:r w:rsidR="007B2370">
              <w:rPr>
                <w:i/>
                <w:sz w:val="24"/>
                <w:szCs w:val="24"/>
              </w:rPr>
              <w:t>)</w:t>
            </w:r>
            <w:r w:rsidRPr="0081555A">
              <w:rPr>
                <w:i/>
                <w:sz w:val="24"/>
                <w:szCs w:val="24"/>
              </w:rPr>
              <w:t xml:space="preserve">                         від </w:t>
            </w:r>
            <w:r>
              <w:rPr>
                <w:i/>
                <w:sz w:val="24"/>
                <w:szCs w:val="24"/>
              </w:rPr>
              <w:t>10</w:t>
            </w:r>
            <w:r w:rsidRPr="0081555A">
              <w:rPr>
                <w:i/>
                <w:sz w:val="24"/>
                <w:szCs w:val="24"/>
              </w:rPr>
              <w:t>.04.202</w:t>
            </w:r>
            <w:r>
              <w:rPr>
                <w:i/>
                <w:sz w:val="24"/>
                <w:szCs w:val="24"/>
              </w:rPr>
              <w:t>4</w:t>
            </w:r>
            <w:r w:rsidRPr="0081555A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055-3530</w:t>
            </w:r>
            <w:r w:rsidR="0055606D">
              <w:rPr>
                <w:i/>
                <w:sz w:val="24"/>
                <w:szCs w:val="24"/>
              </w:rPr>
              <w:t>)</w:t>
            </w:r>
            <w:r w:rsidR="0049346A">
              <w:rPr>
                <w:i/>
                <w:sz w:val="24"/>
                <w:szCs w:val="24"/>
              </w:rPr>
              <w:t>)</w:t>
            </w:r>
            <w:r w:rsidRPr="0081555A">
              <w:rPr>
                <w:i/>
                <w:sz w:val="24"/>
                <w:szCs w:val="24"/>
              </w:rPr>
              <w:t>.</w:t>
            </w:r>
          </w:p>
        </w:tc>
      </w:tr>
      <w:tr w:rsidR="00D40B1B" w:rsidRPr="00675988" w14:paraId="4307FC21" w14:textId="77777777" w:rsidTr="00067BF0">
        <w:trPr>
          <w:cantSplit/>
          <w:trHeight w:val="4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2DDDE5A" w:rsidR="004D1119" w:rsidRDefault="005639F6" w:rsidP="00653D6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7B2370">
              <w:rPr>
                <w:bCs/>
                <w:i/>
                <w:sz w:val="24"/>
                <w:szCs w:val="24"/>
              </w:rPr>
              <w:t xml:space="preserve"> (право комунальної власності територіальної громади міста Києва зареєстровано в Державному реєстрі речових прав на нерухоме майно 27.11.2017, номер відомостей про речове право: 23643064</w:t>
            </w:r>
            <w:r w:rsidR="006F2D72">
              <w:rPr>
                <w:bCs/>
                <w:i/>
                <w:sz w:val="24"/>
                <w:szCs w:val="24"/>
              </w:rPr>
              <w:t>)</w:t>
            </w:r>
            <w:r w:rsidR="007B2370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D40B1B" w:rsidRPr="00675988" w14:paraId="7119DCC8" w14:textId="77777777" w:rsidTr="00067BF0">
        <w:trPr>
          <w:cantSplit/>
          <w:trHeight w:val="33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BBF37F5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40B1B" w:rsidRPr="00675988" w14:paraId="3DFF5C39" w14:textId="77777777" w:rsidTr="00067BF0">
        <w:trPr>
          <w:cantSplit/>
          <w:trHeight w:val="2359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86" w14:textId="45FFBF89" w:rsidR="00D40B1B" w:rsidRPr="00072A72" w:rsidRDefault="007733E0" w:rsidP="00F26B3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7733E0">
              <w:rPr>
                <w:bCs/>
                <w:i/>
                <w:sz w:val="24"/>
                <w:szCs w:val="24"/>
              </w:rPr>
              <w:t>Земельна ділянка розташовується в Центральному історичному ареалі міста Києва</w:t>
            </w:r>
            <w:r>
              <w:rPr>
                <w:bCs/>
                <w:i/>
                <w:sz w:val="24"/>
                <w:szCs w:val="24"/>
              </w:rPr>
              <w:t>, на території Державного історико-архітектурного заповідника «Стародавній Київ», в архітектурній та археологічній охоронній зоні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10.04.2024 № 055-3530).</w:t>
            </w:r>
          </w:p>
        </w:tc>
      </w:tr>
      <w:tr w:rsidR="00067BF0" w:rsidRPr="00675988" w14:paraId="5CBEC839" w14:textId="77777777" w:rsidTr="00671A89">
        <w:trPr>
          <w:cantSplit/>
          <w:trHeight w:val="180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688" w14:textId="77777777" w:rsidR="00067BF0" w:rsidRPr="00B9251E" w:rsidRDefault="00067BF0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C86" w14:textId="0FFD60D1" w:rsidR="00067BF0" w:rsidRDefault="00067BF0" w:rsidP="00067BF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Рішенням Київської міської ради від 21.12.2006 № 463/520 земельна ділянка передана </w:t>
            </w:r>
            <w:r w:rsidRPr="00F26B37">
              <w:rPr>
                <w:bCs/>
                <w:i/>
                <w:sz w:val="24"/>
                <w:szCs w:val="24"/>
              </w:rPr>
              <w:t>ТОВАРИСТВУ З ОБМЕЖЕНОЮ ВІДПОВІДАЛЬНІСТЮ «АВТОБУДІНВЕСТ»</w:t>
            </w:r>
            <w:r>
              <w:rPr>
                <w:bCs/>
                <w:i/>
                <w:sz w:val="24"/>
                <w:szCs w:val="24"/>
              </w:rPr>
              <w:t xml:space="preserve"> (далі</w:t>
            </w:r>
            <w:r w:rsidR="00222B2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 Товариство)</w:t>
            </w:r>
            <w:r w:rsidRPr="00F26B37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в оренду на 15 років для </w:t>
            </w:r>
            <w:r w:rsidRPr="00F26B37">
              <w:rPr>
                <w:bCs/>
                <w:i/>
                <w:sz w:val="24"/>
                <w:szCs w:val="24"/>
              </w:rPr>
              <w:t xml:space="preserve">будівництва, обслуговування та експлуатації </w:t>
            </w:r>
            <w:proofErr w:type="spellStart"/>
            <w:r w:rsidRPr="00F26B37">
              <w:rPr>
                <w:bCs/>
                <w:i/>
                <w:sz w:val="24"/>
                <w:szCs w:val="24"/>
              </w:rPr>
              <w:t>готельно</w:t>
            </w:r>
            <w:proofErr w:type="spellEnd"/>
            <w:r w:rsidRPr="00F26B37">
              <w:rPr>
                <w:bCs/>
                <w:i/>
                <w:sz w:val="24"/>
                <w:szCs w:val="24"/>
              </w:rPr>
              <w:t>-офісного комплексу</w:t>
            </w:r>
            <w:r>
              <w:rPr>
                <w:bCs/>
                <w:i/>
                <w:sz w:val="24"/>
                <w:szCs w:val="24"/>
              </w:rPr>
              <w:t xml:space="preserve"> (договір оренди від 23.07.2007  № 85-6-00338), термін дії до 23.07.2022). </w:t>
            </w:r>
          </w:p>
          <w:p w14:paraId="5CA6E8DC" w14:textId="01B6E38D" w:rsidR="0049346A" w:rsidRDefault="00067BF0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F26B37">
              <w:rPr>
                <w:bCs/>
                <w:i/>
                <w:sz w:val="24"/>
                <w:szCs w:val="24"/>
              </w:rPr>
              <w:t>Т</w:t>
            </w:r>
            <w:r>
              <w:rPr>
                <w:bCs/>
                <w:i/>
                <w:sz w:val="24"/>
                <w:szCs w:val="24"/>
              </w:rPr>
              <w:t xml:space="preserve">овариство звернулося з листом-повідомленням від 06.05.2022 № 460056788 про поновлення договору оренди земельної ділянки. Однак договір оренди не був поновлений, оскільки на земельній ділянці </w:t>
            </w:r>
            <w:r w:rsidRPr="00D40B1B">
              <w:rPr>
                <w:bCs/>
                <w:i/>
                <w:sz w:val="24"/>
                <w:szCs w:val="24"/>
              </w:rPr>
              <w:t xml:space="preserve">на той час </w:t>
            </w:r>
            <w:r>
              <w:rPr>
                <w:bCs/>
                <w:i/>
                <w:sz w:val="24"/>
                <w:szCs w:val="24"/>
              </w:rPr>
              <w:t>перебувало майно іншої юридичної особи (ТОВ «АВТОБУДІНВЕСТ ПЛЮС»), про що</w:t>
            </w:r>
            <w: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 xml:space="preserve">Департамент земельних ресурсів виконавчого органу </w:t>
            </w:r>
            <w:r>
              <w:rPr>
                <w:bCs/>
                <w:i/>
                <w:sz w:val="24"/>
                <w:szCs w:val="24"/>
              </w:rPr>
              <w:t>К</w:t>
            </w:r>
            <w:r w:rsidRPr="00D40B1B">
              <w:rPr>
                <w:bCs/>
                <w:i/>
                <w:sz w:val="24"/>
                <w:szCs w:val="24"/>
              </w:rPr>
              <w:t xml:space="preserve">иївської міської ради (Київської міської державної адміністрації) </w:t>
            </w:r>
            <w:r>
              <w:rPr>
                <w:bCs/>
                <w:i/>
                <w:sz w:val="24"/>
                <w:szCs w:val="24"/>
              </w:rPr>
              <w:t>поінформував заявника листом від 20</w:t>
            </w:r>
            <w:r w:rsidRPr="00D40B1B">
              <w:rPr>
                <w:bCs/>
                <w:i/>
                <w:sz w:val="24"/>
                <w:szCs w:val="24"/>
              </w:rPr>
              <w:t>.0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D40B1B">
              <w:rPr>
                <w:bCs/>
                <w:i/>
                <w:sz w:val="24"/>
                <w:szCs w:val="24"/>
              </w:rPr>
              <w:t>.202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D40B1B">
              <w:rPr>
                <w:bCs/>
                <w:i/>
                <w:sz w:val="24"/>
                <w:szCs w:val="24"/>
              </w:rPr>
              <w:t xml:space="preserve"> № 05716-</w:t>
            </w:r>
            <w:r>
              <w:rPr>
                <w:bCs/>
                <w:i/>
                <w:sz w:val="24"/>
                <w:szCs w:val="24"/>
              </w:rPr>
              <w:t>7113.</w:t>
            </w:r>
          </w:p>
          <w:p w14:paraId="60443AEA" w14:textId="41C900F8" w:rsidR="00471A18" w:rsidRDefault="00471A18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Рішенням </w:t>
            </w:r>
            <w:r w:rsidR="00A84DFC" w:rsidRPr="00A84DFC">
              <w:rPr>
                <w:bCs/>
                <w:i/>
                <w:sz w:val="24"/>
                <w:szCs w:val="24"/>
              </w:rPr>
              <w:t>Господарського суду м. Києва</w:t>
            </w:r>
            <w:r w:rsidR="0055606D">
              <w:rPr>
                <w:bCs/>
                <w:i/>
                <w:sz w:val="24"/>
                <w:szCs w:val="24"/>
              </w:rPr>
              <w:t xml:space="preserve"> від 11.04.2023</w:t>
            </w:r>
            <w:r w:rsidR="00A84DFC" w:rsidRPr="00A84DFC">
              <w:rPr>
                <w:bCs/>
                <w:i/>
                <w:sz w:val="24"/>
                <w:szCs w:val="24"/>
              </w:rPr>
              <w:t xml:space="preserve"> </w:t>
            </w:r>
            <w:r w:rsidR="0055606D">
              <w:rPr>
                <w:bCs/>
                <w:i/>
                <w:sz w:val="24"/>
                <w:szCs w:val="24"/>
              </w:rPr>
              <w:t>у справі № 910/1813/23</w:t>
            </w:r>
            <w:r w:rsidR="00A84DFC">
              <w:rPr>
                <w:bCs/>
                <w:i/>
                <w:sz w:val="24"/>
                <w:szCs w:val="24"/>
              </w:rPr>
              <w:t xml:space="preserve"> </w:t>
            </w:r>
            <w:r w:rsidR="0096674B">
              <w:rPr>
                <w:bCs/>
                <w:i/>
                <w:sz w:val="24"/>
                <w:szCs w:val="24"/>
              </w:rPr>
              <w:t xml:space="preserve">залишеним без змін </w:t>
            </w:r>
            <w:r w:rsidR="0055606D">
              <w:rPr>
                <w:bCs/>
                <w:i/>
                <w:sz w:val="24"/>
                <w:szCs w:val="24"/>
              </w:rPr>
              <w:t xml:space="preserve">постановою </w:t>
            </w:r>
            <w:r w:rsidR="00A84DFC" w:rsidRPr="00D40B1B">
              <w:rPr>
                <w:bCs/>
                <w:i/>
                <w:sz w:val="24"/>
                <w:szCs w:val="24"/>
              </w:rPr>
              <w:t xml:space="preserve">Північного апеляційного господарського суду </w:t>
            </w:r>
            <w:r w:rsidR="0055606D">
              <w:rPr>
                <w:bCs/>
                <w:i/>
                <w:sz w:val="24"/>
                <w:szCs w:val="24"/>
              </w:rPr>
              <w:t>від 05.09.2023</w:t>
            </w:r>
            <w:r w:rsidR="0055606D">
              <w:t xml:space="preserve"> </w:t>
            </w:r>
            <w:r>
              <w:rPr>
                <w:bCs/>
                <w:i/>
                <w:sz w:val="24"/>
                <w:szCs w:val="24"/>
              </w:rPr>
              <w:t>відмовлено</w:t>
            </w:r>
            <w:r w:rsidR="0096674B">
              <w:t xml:space="preserve"> </w:t>
            </w:r>
            <w:r w:rsidR="0096674B">
              <w:rPr>
                <w:bCs/>
                <w:i/>
                <w:sz w:val="24"/>
                <w:szCs w:val="24"/>
              </w:rPr>
              <w:t>Товариству</w:t>
            </w:r>
            <w:r>
              <w:rPr>
                <w:bCs/>
                <w:i/>
                <w:sz w:val="24"/>
                <w:szCs w:val="24"/>
              </w:rPr>
              <w:t xml:space="preserve"> в поновленні договору оренди земельної ділянки у зв’язку з порушенням умов договору.</w:t>
            </w:r>
          </w:p>
          <w:p w14:paraId="7E4F5F16" w14:textId="20C81913" w:rsidR="00067BF0" w:rsidRDefault="00067BF0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D40B1B">
              <w:rPr>
                <w:bCs/>
                <w:i/>
                <w:sz w:val="24"/>
                <w:szCs w:val="24"/>
              </w:rPr>
              <w:t>Також колегія суддів Північного апеляційного господарського суду у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>вказаній вище постанові від 05.09.2023 зауважила позивачу на тому, що він,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>як власник об`єкта нерухомості - нежилого будинку-офісу, має право на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>укладення договору оренди земельної ділянки на якій таке майно розташовано,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>проте укладення такого договору має відбуватися з дотримання визначеної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D40B1B">
              <w:rPr>
                <w:bCs/>
                <w:i/>
                <w:sz w:val="24"/>
                <w:szCs w:val="24"/>
              </w:rPr>
              <w:t>законодавством процедури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5AEA0299" w14:textId="1D88CA9A" w:rsidR="00222B20" w:rsidRDefault="00222B20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Враховуючи те, що</w:t>
            </w:r>
            <w:r w:rsidR="00477A81">
              <w:rPr>
                <w:bCs/>
                <w:i/>
                <w:sz w:val="24"/>
                <w:szCs w:val="24"/>
              </w:rPr>
              <w:t xml:space="preserve"> </w:t>
            </w:r>
            <w:r w:rsidR="00780FC2" w:rsidRPr="00780FC2">
              <w:rPr>
                <w:bCs/>
                <w:i/>
                <w:sz w:val="24"/>
                <w:szCs w:val="24"/>
              </w:rPr>
              <w:t>передача в оренду земельної ділянки</w:t>
            </w:r>
            <w:r w:rsidR="00780FC2">
              <w:t xml:space="preserve"> </w:t>
            </w:r>
            <w:r w:rsidR="00780FC2" w:rsidRPr="00780FC2">
              <w:rPr>
                <w:bCs/>
                <w:i/>
                <w:sz w:val="24"/>
                <w:szCs w:val="24"/>
              </w:rPr>
              <w:t xml:space="preserve">відповідно до статті 123 Земельного кодексу України передбачається </w:t>
            </w:r>
            <w:r w:rsidRPr="00222B20">
              <w:rPr>
                <w:bCs/>
                <w:i/>
                <w:sz w:val="24"/>
                <w:szCs w:val="24"/>
              </w:rPr>
              <w:t xml:space="preserve">без зміни її меж та цільового призначення </w:t>
            </w:r>
            <w:r>
              <w:rPr>
                <w:bCs/>
                <w:i/>
                <w:sz w:val="24"/>
                <w:szCs w:val="24"/>
              </w:rPr>
              <w:t xml:space="preserve">та </w:t>
            </w:r>
            <w:r w:rsidRPr="00222B20">
              <w:rPr>
                <w:bCs/>
                <w:i/>
                <w:sz w:val="24"/>
                <w:szCs w:val="24"/>
              </w:rPr>
              <w:t>без складення документації із землеустрою</w:t>
            </w:r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780FC2" w:rsidRPr="00780FC2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="00780FC2" w:rsidRPr="00780FC2">
              <w:rPr>
                <w:bCs/>
                <w:i/>
                <w:sz w:val="24"/>
                <w:szCs w:val="24"/>
              </w:rPr>
              <w:t xml:space="preserve"> рішення </w:t>
            </w:r>
            <w:r>
              <w:rPr>
                <w:bCs/>
                <w:i/>
                <w:sz w:val="24"/>
                <w:szCs w:val="24"/>
              </w:rPr>
              <w:t>рекомендовано</w:t>
            </w:r>
            <w:r w:rsidR="00780FC2" w:rsidRPr="00780FC2">
              <w:rPr>
                <w:bCs/>
                <w:i/>
                <w:sz w:val="24"/>
                <w:szCs w:val="24"/>
              </w:rPr>
              <w:t xml:space="preserve"> </w:t>
            </w:r>
            <w:r w:rsidR="00780FC2">
              <w:rPr>
                <w:bCs/>
                <w:i/>
                <w:sz w:val="24"/>
                <w:szCs w:val="24"/>
              </w:rPr>
              <w:t>Товариству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22B20">
              <w:rPr>
                <w:bCs/>
                <w:i/>
                <w:sz w:val="24"/>
                <w:szCs w:val="24"/>
              </w:rPr>
              <w:t xml:space="preserve">привести </w:t>
            </w:r>
            <w:r w:rsidR="00780FC2" w:rsidRPr="00780FC2">
              <w:rPr>
                <w:bCs/>
                <w:i/>
                <w:sz w:val="24"/>
                <w:szCs w:val="24"/>
              </w:rPr>
              <w:t xml:space="preserve">вид цільового призначення земельної ділянки </w:t>
            </w:r>
            <w:r w:rsidRPr="00222B20">
              <w:rPr>
                <w:bCs/>
                <w:i/>
                <w:sz w:val="24"/>
                <w:szCs w:val="24"/>
              </w:rPr>
              <w:t>у відповідність</w:t>
            </w:r>
            <w:r w:rsidR="00780FC2">
              <w:t xml:space="preserve"> </w:t>
            </w:r>
            <w:r w:rsidR="00780FC2" w:rsidRPr="00780FC2">
              <w:rPr>
                <w:bCs/>
                <w:i/>
                <w:sz w:val="24"/>
                <w:szCs w:val="24"/>
              </w:rPr>
              <w:t xml:space="preserve">до </w:t>
            </w:r>
            <w:r w:rsidR="00780FC2">
              <w:rPr>
                <w:bCs/>
                <w:i/>
                <w:sz w:val="24"/>
                <w:szCs w:val="24"/>
              </w:rPr>
              <w:t xml:space="preserve">вимог </w:t>
            </w:r>
            <w:r w:rsidR="00780FC2" w:rsidRPr="00780FC2">
              <w:rPr>
                <w:bCs/>
                <w:i/>
                <w:sz w:val="24"/>
                <w:szCs w:val="24"/>
              </w:rPr>
              <w:t>законодавства України</w:t>
            </w:r>
            <w:r w:rsidR="00780FC2">
              <w:rPr>
                <w:bCs/>
                <w:i/>
                <w:sz w:val="24"/>
                <w:szCs w:val="24"/>
              </w:rPr>
              <w:t>.</w:t>
            </w:r>
            <w:r w:rsidRPr="00222B20">
              <w:rPr>
                <w:bCs/>
                <w:i/>
                <w:sz w:val="24"/>
                <w:szCs w:val="24"/>
              </w:rPr>
              <w:t xml:space="preserve"> </w:t>
            </w:r>
          </w:p>
          <w:p w14:paraId="23D133FD" w14:textId="6535ED21" w:rsidR="00675988" w:rsidRDefault="00675988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Крім того, н</w:t>
            </w:r>
            <w:r w:rsidRPr="006F2D72">
              <w:rPr>
                <w:bCs/>
                <w:i/>
                <w:sz w:val="24"/>
                <w:szCs w:val="24"/>
              </w:rPr>
              <w:t>ежили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6F2D72">
              <w:rPr>
                <w:bCs/>
                <w:i/>
                <w:sz w:val="24"/>
                <w:szCs w:val="24"/>
              </w:rPr>
              <w:t xml:space="preserve"> будин</w:t>
            </w:r>
            <w:r>
              <w:rPr>
                <w:bCs/>
                <w:i/>
                <w:sz w:val="24"/>
                <w:szCs w:val="24"/>
              </w:rPr>
              <w:t>о</w:t>
            </w:r>
            <w:r w:rsidRPr="006F2D72">
              <w:rPr>
                <w:bCs/>
                <w:i/>
                <w:sz w:val="24"/>
                <w:szCs w:val="24"/>
              </w:rPr>
              <w:t>к-офіс (літера Д)</w:t>
            </w:r>
            <w:r>
              <w:rPr>
                <w:bCs/>
                <w:i/>
                <w:sz w:val="24"/>
                <w:szCs w:val="24"/>
              </w:rPr>
              <w:t>, який розміщений на земельній ділянці, є пам’яткою архітектури місцевого значення – будинок житловий (Наказ Міністерства культури України від 18.04.2017 № 324, охоронний № 1016-</w:t>
            </w:r>
            <w:r>
              <w:rPr>
                <w:bCs/>
                <w:i/>
                <w:sz w:val="24"/>
                <w:szCs w:val="24"/>
              </w:rPr>
              <w:t>Кв), адреса за наказом:</w:t>
            </w:r>
            <w:r>
              <w:rPr>
                <w:bCs/>
                <w:i/>
                <w:sz w:val="24"/>
                <w:szCs w:val="24"/>
              </w:rPr>
              <w:t xml:space="preserve"> м. Київ, вул. </w:t>
            </w:r>
            <w:proofErr w:type="spellStart"/>
            <w:r>
              <w:rPr>
                <w:bCs/>
                <w:i/>
                <w:sz w:val="24"/>
                <w:szCs w:val="24"/>
              </w:rPr>
              <w:t>Іллінська</w:t>
            </w:r>
            <w:proofErr w:type="spellEnd"/>
            <w:r>
              <w:rPr>
                <w:bCs/>
                <w:i/>
                <w:sz w:val="24"/>
                <w:szCs w:val="24"/>
              </w:rPr>
              <w:t>, буд. 22 (охоронний договір на пам’ятку культурної спадщини від 29.04.2024 №5158).</w:t>
            </w:r>
          </w:p>
          <w:p w14:paraId="4FF8A291" w14:textId="43B3DECD" w:rsidR="00067BF0" w:rsidRDefault="00067BF0" w:rsidP="00067BF0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067BF0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067BF0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067BF0">
              <w:rPr>
                <w:bCs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067BF0">
              <w:rPr>
                <w:bCs/>
                <w:i/>
                <w:sz w:val="24"/>
                <w:szCs w:val="24"/>
              </w:rPr>
              <w:t>уду</w:t>
            </w:r>
            <w:proofErr w:type="spellEnd"/>
            <w:r w:rsidRPr="00067BF0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від 10.02.2021 у справі № 200/8930/18) зобов’язати землекористувача сплатити безпідставно   збережені   кошти   за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67BF0">
              <w:rPr>
                <w:bCs/>
                <w:i/>
                <w:sz w:val="24"/>
                <w:szCs w:val="24"/>
              </w:rPr>
              <w:t>користування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67BF0">
              <w:rPr>
                <w:bCs/>
                <w:i/>
                <w:sz w:val="24"/>
                <w:szCs w:val="24"/>
              </w:rPr>
              <w:t xml:space="preserve">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   </w:t>
            </w:r>
          </w:p>
          <w:p w14:paraId="72D7E99D" w14:textId="77777777" w:rsidR="00067BF0" w:rsidRDefault="00067BF0" w:rsidP="00067BF0">
            <w:pPr>
              <w:pStyle w:val="af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9190F">
              <w:rPr>
                <w:rFonts w:ascii="Times New Roman" w:hAnsi="Times New Roman" w:cs="Times New Roman"/>
                <w:i/>
                <w:color w:val="auto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0471FEE" w14:textId="77777777" w:rsidR="00A84DFC" w:rsidRPr="00A84DFC" w:rsidRDefault="00A84DFC" w:rsidP="00A84DFC">
            <w:pPr>
              <w:pStyle w:val="af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>Зазначене</w:t>
            </w:r>
            <w:proofErr w:type="spellEnd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>підтверджується</w:t>
            </w:r>
            <w:proofErr w:type="spellEnd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>зокрема</w:t>
            </w:r>
            <w:proofErr w:type="spellEnd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>рішеннями</w:t>
            </w:r>
            <w:proofErr w:type="spellEnd"/>
            <w:r w:rsidRPr="00067BF0"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Верховного</w:t>
            </w:r>
            <w:r w:rsidRPr="00067BF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A84DFC">
              <w:rPr>
                <w:rFonts w:ascii="Times New Roman" w:hAnsi="Times New Roman" w:cs="Times New Roman"/>
                <w:i/>
                <w:color w:val="auto"/>
              </w:rPr>
              <w:t xml:space="preserve">Суду від 28.04.2021 у справі № 826/8857/16, від 17.04.2018 у справі № 826/8107/16, від 16.09.2021 у справі № 826/8847/16. </w:t>
            </w:r>
          </w:p>
          <w:p w14:paraId="15D663C9" w14:textId="73A0ECC3" w:rsidR="00A84DFC" w:rsidRPr="007733E0" w:rsidRDefault="00A84DFC" w:rsidP="00A84DFC">
            <w:pPr>
              <w:pStyle w:val="af1"/>
              <w:jc w:val="both"/>
              <w:rPr>
                <w:bCs/>
                <w:i/>
              </w:rPr>
            </w:pPr>
            <w:r w:rsidRPr="00A84DFC"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 w:rsidRPr="00A84DF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A84DF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328146A" w14:textId="77777777" w:rsidR="00067BF0" w:rsidRDefault="00067BF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F26B37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F26B37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EACEE1D" w:rsidR="004D1119" w:rsidRPr="00067BF0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F26B37">
        <w:rPr>
          <w:sz w:val="24"/>
          <w:szCs w:val="24"/>
          <w:lang w:val="uk-UA"/>
        </w:rPr>
        <w:t xml:space="preserve">Загальні засади та порядок передачі земельних ділянок у </w:t>
      </w:r>
      <w:r w:rsidRPr="00067BF0">
        <w:rPr>
          <w:sz w:val="24"/>
          <w:szCs w:val="24"/>
          <w:lang w:val="uk-UA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067BF0">
        <w:rPr>
          <w:sz w:val="24"/>
          <w:szCs w:val="24"/>
          <w:lang w:val="uk-UA"/>
        </w:rPr>
        <w:t>Київської міської ради</w:t>
      </w:r>
      <w:r w:rsidRPr="00067BF0">
        <w:rPr>
          <w:sz w:val="24"/>
          <w:szCs w:val="24"/>
          <w:lang w:val="uk-UA"/>
        </w:rPr>
        <w:t xml:space="preserve"> від 20</w:t>
      </w:r>
      <w:r w:rsidR="0078503B" w:rsidRPr="00067BF0">
        <w:rPr>
          <w:sz w:val="24"/>
          <w:szCs w:val="24"/>
          <w:lang w:val="uk-UA"/>
        </w:rPr>
        <w:t>.04.</w:t>
      </w:r>
      <w:r w:rsidRPr="00067BF0">
        <w:rPr>
          <w:sz w:val="24"/>
          <w:szCs w:val="24"/>
          <w:lang w:val="uk-UA"/>
        </w:rPr>
        <w:t>2017 № 241/2463.</w:t>
      </w:r>
    </w:p>
    <w:p w14:paraId="2B545DFD" w14:textId="6A87EF03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067BF0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bookmarkStart w:id="0" w:name="_GoBack"/>
      <w:bookmarkEnd w:id="0"/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4BC1B108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493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="004934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7531/7572 «Про бюджет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B76EB" w:rsidRPr="007B76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2 277 564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="004934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B76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80 коп</w:t>
      </w:r>
      <w:r w:rsidR="004934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7B76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DCB69C3" w:rsidR="004D1119" w:rsidRDefault="004D1119" w:rsidP="00067BF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31BF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958B124" w14:textId="77777777" w:rsidR="00C837C6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  <w:p w14:paraId="06C43422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0BED7367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5ED2331E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1E96F256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453A6E6B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41F7BE4C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09F2F7D8" w14:textId="77777777" w:rsidR="00E27F35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28EF4B1E" w14:textId="4B0495C8" w:rsidR="00E27F35" w:rsidRPr="0078503B" w:rsidRDefault="00E27F35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</w:tc>
      </w:tr>
    </w:tbl>
    <w:p w14:paraId="55A8AA42" w14:textId="77777777" w:rsidR="00E41057" w:rsidRPr="007D0B40" w:rsidRDefault="00E41057">
      <w:pPr>
        <w:rPr>
          <w:lang w:val="ru-RU"/>
        </w:rPr>
      </w:pPr>
    </w:p>
    <w:sectPr w:rsidR="00E41057" w:rsidRPr="007D0B40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65D7656">
              <wp:simplePos x="0" y="0"/>
              <wp:positionH relativeFrom="column">
                <wp:posOffset>1129665</wp:posOffset>
              </wp:positionH>
              <wp:positionV relativeFrom="paragraph">
                <wp:posOffset>-411480</wp:posOffset>
              </wp:positionV>
              <wp:extent cx="5419725" cy="6096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6BC08869" w14:textId="77777777" w:rsidR="0049346A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</w:p>
                            <w:p w14:paraId="3B83B646" w14:textId="7DA22FA5" w:rsidR="00854FAD" w:rsidRDefault="0061027B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9346A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31BF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ПЗН-66587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20.05.2024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7733E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31BF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444445484</w:t>
                              </w:r>
                            </w:p>
                            <w:p w14:paraId="46F472CC" w14:textId="772E0F15" w:rsidR="00854FAD" w:rsidRPr="0055606D" w:rsidRDefault="007733E0" w:rsidP="007733E0">
                              <w:pPr>
                                <w:pStyle w:val="ab"/>
                                <w:tabs>
                                  <w:tab w:val="left" w:pos="637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55606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55606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96FC3" w:rsidRPr="00E96FC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8.95pt;margin-top:-32.4pt;width:42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6BC08869" w14:textId="77777777" w:rsidR="0049346A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</w:p>
                      <w:p w14:paraId="3B83B646" w14:textId="7DA22FA5" w:rsidR="00854FAD" w:rsidRDefault="0061027B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9346A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31BF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ПЗН-66587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20.05.2024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7733E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31BF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444445484</w:t>
                        </w:r>
                      </w:p>
                      <w:p w14:paraId="46F472CC" w14:textId="772E0F15" w:rsidR="00854FAD" w:rsidRPr="0055606D" w:rsidRDefault="007733E0" w:rsidP="007733E0">
                        <w:pPr>
                          <w:pStyle w:val="ab"/>
                          <w:tabs>
                            <w:tab w:val="left" w:pos="6379"/>
                          </w:tabs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55606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55606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96FC3" w:rsidRPr="00E96FC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BF0"/>
    <w:rsid w:val="00067FBC"/>
    <w:rsid w:val="00072A72"/>
    <w:rsid w:val="000C7B40"/>
    <w:rsid w:val="000E32C6"/>
    <w:rsid w:val="00124E84"/>
    <w:rsid w:val="001C3C63"/>
    <w:rsid w:val="001E2D40"/>
    <w:rsid w:val="002050D1"/>
    <w:rsid w:val="00221619"/>
    <w:rsid w:val="00222B20"/>
    <w:rsid w:val="00225E17"/>
    <w:rsid w:val="00256BA4"/>
    <w:rsid w:val="002620EA"/>
    <w:rsid w:val="00271BF9"/>
    <w:rsid w:val="00297849"/>
    <w:rsid w:val="002A318B"/>
    <w:rsid w:val="002C67E9"/>
    <w:rsid w:val="002D00B8"/>
    <w:rsid w:val="0032082A"/>
    <w:rsid w:val="003756E5"/>
    <w:rsid w:val="003B497B"/>
    <w:rsid w:val="003C4464"/>
    <w:rsid w:val="003C48D1"/>
    <w:rsid w:val="004251B0"/>
    <w:rsid w:val="0044297A"/>
    <w:rsid w:val="00457E5F"/>
    <w:rsid w:val="00465F9E"/>
    <w:rsid w:val="00471A18"/>
    <w:rsid w:val="00477A81"/>
    <w:rsid w:val="004855E4"/>
    <w:rsid w:val="0049346A"/>
    <w:rsid w:val="00494F8F"/>
    <w:rsid w:val="004A3488"/>
    <w:rsid w:val="004A5DBD"/>
    <w:rsid w:val="004D1119"/>
    <w:rsid w:val="004D5BC3"/>
    <w:rsid w:val="0050254F"/>
    <w:rsid w:val="00511117"/>
    <w:rsid w:val="00531BF3"/>
    <w:rsid w:val="0055606D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53D68"/>
    <w:rsid w:val="00663205"/>
    <w:rsid w:val="0066447F"/>
    <w:rsid w:val="00671A89"/>
    <w:rsid w:val="00675988"/>
    <w:rsid w:val="00677C54"/>
    <w:rsid w:val="00683654"/>
    <w:rsid w:val="006C7FB9"/>
    <w:rsid w:val="006E106A"/>
    <w:rsid w:val="006E10B3"/>
    <w:rsid w:val="006F2D72"/>
    <w:rsid w:val="006F2E3B"/>
    <w:rsid w:val="00756E4A"/>
    <w:rsid w:val="007733E0"/>
    <w:rsid w:val="00777080"/>
    <w:rsid w:val="007778A0"/>
    <w:rsid w:val="00780FC2"/>
    <w:rsid w:val="0078503B"/>
    <w:rsid w:val="007B2370"/>
    <w:rsid w:val="007B76EB"/>
    <w:rsid w:val="007C400B"/>
    <w:rsid w:val="007D0B40"/>
    <w:rsid w:val="007F2BBB"/>
    <w:rsid w:val="007F5918"/>
    <w:rsid w:val="007F7C2C"/>
    <w:rsid w:val="0080577C"/>
    <w:rsid w:val="008117D2"/>
    <w:rsid w:val="00814D60"/>
    <w:rsid w:val="0081555A"/>
    <w:rsid w:val="00854FAD"/>
    <w:rsid w:val="0085512A"/>
    <w:rsid w:val="008710BD"/>
    <w:rsid w:val="00886B09"/>
    <w:rsid w:val="008E38DE"/>
    <w:rsid w:val="00920863"/>
    <w:rsid w:val="009643A3"/>
    <w:rsid w:val="0096674B"/>
    <w:rsid w:val="009946E5"/>
    <w:rsid w:val="009D6F39"/>
    <w:rsid w:val="009E5D57"/>
    <w:rsid w:val="00A21758"/>
    <w:rsid w:val="00A43048"/>
    <w:rsid w:val="00A62E96"/>
    <w:rsid w:val="00A75E93"/>
    <w:rsid w:val="00A83DF0"/>
    <w:rsid w:val="00A8471D"/>
    <w:rsid w:val="00A84DFC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0A1D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40B1B"/>
    <w:rsid w:val="00D75A6C"/>
    <w:rsid w:val="00DC31BC"/>
    <w:rsid w:val="00DC4060"/>
    <w:rsid w:val="00DE2073"/>
    <w:rsid w:val="00DE2B79"/>
    <w:rsid w:val="00E27F35"/>
    <w:rsid w:val="00E41057"/>
    <w:rsid w:val="00E43047"/>
    <w:rsid w:val="00E754A8"/>
    <w:rsid w:val="00E90DDF"/>
    <w:rsid w:val="00E93A88"/>
    <w:rsid w:val="00E96FC3"/>
    <w:rsid w:val="00EA1843"/>
    <w:rsid w:val="00ED4D52"/>
    <w:rsid w:val="00F26B37"/>
    <w:rsid w:val="00F72F9E"/>
    <w:rsid w:val="00FB11FA"/>
    <w:rsid w:val="00FD02B3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67B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3E68-6234-45E2-9C87-12F8203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9792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Олещенко Раїса Миколаївна</cp:lastModifiedBy>
  <cp:revision>29</cp:revision>
  <cp:lastPrinted>2024-05-22T14:15:00Z</cp:lastPrinted>
  <dcterms:created xsi:type="dcterms:W3CDTF">2024-05-20T07:58:00Z</dcterms:created>
  <dcterms:modified xsi:type="dcterms:W3CDTF">2024-05-22T14:16:00Z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