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B47ADD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411277134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1B47ADD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411277134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F0AE4A1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1C6AE1A9" w14:textId="6276A088" w:rsidR="004F0681" w:rsidRPr="00A82A20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="00171641" w:rsidRPr="00A567F4">
        <w:rPr>
          <w:b/>
          <w:bCs/>
          <w:color w:val="auto"/>
          <w:sz w:val="24"/>
          <w:szCs w:val="24"/>
          <w:lang w:val="ru-RU"/>
        </w:rPr>
        <w:t>ПЗН-73546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="006B5EC0" w:rsidRPr="00A567F4">
        <w:rPr>
          <w:b/>
          <w:bCs/>
          <w:color w:val="auto"/>
          <w:sz w:val="24"/>
          <w:szCs w:val="24"/>
          <w:lang w:val="ru-RU"/>
        </w:rPr>
        <w:t>07.11.2024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934308F" w14:textId="5FF9A731" w:rsidR="00816AD3" w:rsidRDefault="00A567F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A567F4">
        <w:rPr>
          <w:b/>
          <w:bCs/>
          <w:i/>
          <w:iCs/>
          <w:color w:val="auto"/>
          <w:sz w:val="24"/>
          <w:szCs w:val="24"/>
          <w:lang w:val="ru-RU"/>
        </w:rPr>
        <w:t>Про відмову</w:t>
      </w:r>
      <w:r w:rsidR="007E3A14">
        <w:rPr>
          <w:b/>
          <w:bCs/>
          <w:i/>
          <w:iCs/>
          <w:color w:val="auto"/>
          <w:sz w:val="24"/>
          <w:szCs w:val="24"/>
          <w:lang w:val="ru-RU"/>
        </w:rPr>
        <w:t xml:space="preserve"> громадянці</w:t>
      </w:r>
      <w:r w:rsidRPr="00A567F4">
        <w:rPr>
          <w:b/>
          <w:bCs/>
          <w:i/>
          <w:iCs/>
          <w:color w:val="auto"/>
          <w:sz w:val="24"/>
          <w:szCs w:val="24"/>
          <w:lang w:val="ru-RU"/>
        </w:rPr>
        <w:t xml:space="preserve"> Островській Галині Олександрівні в передачі у приватну власність земельної ділянки для ведення колективного </w:t>
      </w:r>
      <w:r w:rsidR="007E3A14">
        <w:rPr>
          <w:b/>
          <w:bCs/>
          <w:i/>
          <w:iCs/>
          <w:color w:val="auto"/>
          <w:sz w:val="24"/>
          <w:szCs w:val="24"/>
          <w:lang w:val="ru-RU"/>
        </w:rPr>
        <w:t>садівництва у пров. Андріївському</w:t>
      </w:r>
      <w:r w:rsidRPr="00A567F4">
        <w:rPr>
          <w:b/>
          <w:bCs/>
          <w:i/>
          <w:iCs/>
          <w:color w:val="auto"/>
          <w:sz w:val="24"/>
          <w:szCs w:val="24"/>
          <w:lang w:val="ru-RU"/>
        </w:rPr>
        <w:t>, 16 (ОБСЛУГОВУЮЧИЙ КООПЕРАТИВ «САДОВО-ДАЧНИЙ                                  КООПЕРАТИВ «ОРХІДЕЯ-3») у Дарницькому районі міста Києва, мікрорайон Осокорки</w:t>
      </w:r>
    </w:p>
    <w:p w14:paraId="359B0287" w14:textId="77777777" w:rsidR="00A567F4" w:rsidRPr="00A82A20" w:rsidRDefault="00A567F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79E9C2EA" w:rsidR="00907F95" w:rsidRPr="00A82A20" w:rsidRDefault="00A567F4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7E40E58" w:rsidR="00907F95" w:rsidRPr="00A82A20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Островська Галина Олександрівна</w:t>
            </w:r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12F85136" w:rsidR="00907F95" w:rsidRPr="00A82A20" w:rsidRDefault="00907F95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809" w:type="dxa"/>
          </w:tcPr>
          <w:p w14:paraId="2A886B86" w14:textId="0A823061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30.10.2024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№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411277134</w:t>
            </w:r>
          </w:p>
        </w:tc>
      </w:tr>
      <w:tr w:rsidR="00907F95" w:rsidRPr="00A82A20" w14:paraId="7EAB20B5" w14:textId="77777777" w:rsidTr="004324B0">
        <w:trPr>
          <w:cantSplit/>
          <w:trHeight w:val="280"/>
        </w:trPr>
        <w:tc>
          <w:tcPr>
            <w:tcW w:w="3509" w:type="dxa"/>
          </w:tcPr>
          <w:p w14:paraId="4A2A3D20" w14:textId="446CE440" w:rsidR="00907F95" w:rsidRPr="00A82A20" w:rsidRDefault="00907F95" w:rsidP="00172848">
            <w:pPr>
              <w:ind w:left="30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</w:p>
        </w:tc>
        <w:tc>
          <w:tcPr>
            <w:tcW w:w="6809" w:type="dxa"/>
          </w:tcPr>
          <w:p w14:paraId="5177DECC" w14:textId="646228C0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</w:pPr>
          </w:p>
        </w:tc>
      </w:tr>
    </w:tbl>
    <w:p w14:paraId="726A9D3F" w14:textId="487695B7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A82A20">
        <w:rPr>
          <w:color w:val="auto"/>
          <w:sz w:val="24"/>
          <w:szCs w:val="24"/>
        </w:rPr>
        <w:t>8000000000:96:077:0014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3B78CD9C" w:rsidR="003A6EB2" w:rsidRPr="00B269E1" w:rsidRDefault="00576744" w:rsidP="0017284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пров. Андріївський, 16, </w:t>
            </w:r>
            <w:r w:rsidR="0087217C" w:rsidRPr="0087217C">
              <w:rPr>
                <w:rFonts w:ascii="Times New Roman" w:hAnsi="Times New Roman" w:cs="Times New Roman"/>
                <w:i/>
                <w:color w:val="auto"/>
              </w:rPr>
              <w:t>Дарницький район міста Києва, обслуговуючий кооператив «Садово-дачний кооператив «ОРХІДЕЯ-3», мікрорайон Осокорки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0,1106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6C11041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та термін користування:</w:t>
            </w:r>
          </w:p>
        </w:tc>
        <w:tc>
          <w:tcPr>
            <w:tcW w:w="6427" w:type="dxa"/>
          </w:tcPr>
          <w:p w14:paraId="31C24DBB" w14:textId="01AFBAB1" w:rsidR="003A6EB2" w:rsidRPr="0087217C" w:rsidRDefault="0087217C" w:rsidP="00172848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2747884F" w:rsidR="003A6EB2" w:rsidRPr="0087217C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87217C" w:rsidRPr="0087217C">
              <w:rPr>
                <w:rFonts w:ascii="Times New Roman" w:hAnsi="Times New Roman" w:cs="Times New Roman"/>
                <w:i/>
                <w:color w:val="auto"/>
              </w:rPr>
              <w:t>Категорія земель:</w:t>
            </w:r>
          </w:p>
        </w:tc>
        <w:tc>
          <w:tcPr>
            <w:tcW w:w="6427" w:type="dxa"/>
          </w:tcPr>
          <w:p w14:paraId="24962AF2" w14:textId="616D5F43" w:rsidR="003A6EB2" w:rsidRPr="0087217C" w:rsidRDefault="0087217C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землі сільськогосподарського призначення</w:t>
            </w:r>
          </w:p>
        </w:tc>
      </w:tr>
      <w:tr w:rsidR="0087217C" w:rsidRPr="00A82A20" w14:paraId="611A23B8" w14:textId="77777777" w:rsidTr="00B269E1">
        <w:trPr>
          <w:cantSplit/>
          <w:trHeight w:val="309"/>
        </w:trPr>
        <w:tc>
          <w:tcPr>
            <w:tcW w:w="3491" w:type="dxa"/>
          </w:tcPr>
          <w:p w14:paraId="0BFF338E" w14:textId="356E1E19" w:rsidR="0087217C" w:rsidRPr="0087217C" w:rsidRDefault="00365D93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87217C" w:rsidRPr="0087217C">
              <w:rPr>
                <w:rFonts w:ascii="Times New Roman" w:hAnsi="Times New Roman" w:cs="Times New Roman"/>
                <w:i/>
                <w:color w:val="auto"/>
              </w:rPr>
              <w:t xml:space="preserve">Цільове призначення:                    </w:t>
            </w:r>
          </w:p>
        </w:tc>
        <w:tc>
          <w:tcPr>
            <w:tcW w:w="6427" w:type="dxa"/>
          </w:tcPr>
          <w:p w14:paraId="5869777F" w14:textId="7A1B447B" w:rsidR="0087217C" w:rsidRPr="0087217C" w:rsidRDefault="0087217C" w:rsidP="00172848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6953E3A" w:rsidR="004F176B" w:rsidRPr="00A82A20" w:rsidRDefault="004F176B" w:rsidP="004F176B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033EAA">
        <w:rPr>
          <w:color w:val="auto"/>
          <w:sz w:val="24"/>
          <w:szCs w:val="24"/>
        </w:rPr>
        <w:t xml:space="preserve">                            </w:t>
      </w:r>
      <w:r w:rsidRPr="00A82A20">
        <w:rPr>
          <w:color w:val="auto"/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B269E1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7462E181" w:rsidR="003074E9" w:rsidRPr="008C1CC1" w:rsidRDefault="00033EAA" w:rsidP="008F245A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14B55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414B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794AD2">
              <w:rPr>
                <w:i/>
                <w:color w:val="auto"/>
                <w:sz w:val="24"/>
                <w:szCs w:val="24"/>
              </w:rPr>
              <w:t>будинком загальною площею 132,7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кв.</w:t>
            </w:r>
            <w:r w:rsidRPr="00414B55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414B55">
              <w:rPr>
                <w:i/>
                <w:color w:val="auto"/>
                <w:sz w:val="24"/>
                <w:szCs w:val="24"/>
              </w:rPr>
              <w:t>м, який належи</w:t>
            </w:r>
            <w:r w:rsidR="008C1CC1">
              <w:rPr>
                <w:i/>
                <w:color w:val="auto"/>
                <w:sz w:val="24"/>
                <w:szCs w:val="24"/>
              </w:rPr>
              <w:t>ть на праві приватної власності Островській Галині Олександрівні</w:t>
            </w:r>
            <w:r w:rsidRPr="00414B55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794AD2">
              <w:rPr>
                <w:i/>
                <w:color w:val="auto"/>
                <w:sz w:val="24"/>
                <w:szCs w:val="24"/>
              </w:rPr>
              <w:t>а нерухомого майна 829868680363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18</w:t>
            </w:r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 xml:space="preserve">01.2016 </w:t>
            </w:r>
            <w:r w:rsidR="008C1CC1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 w:rsidR="008F245A">
              <w:rPr>
                <w:i/>
                <w:color w:val="auto"/>
                <w:sz w:val="24"/>
                <w:szCs w:val="24"/>
              </w:rPr>
              <w:t>№ 12949681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794AD2">
              <w:rPr>
                <w:i/>
                <w:color w:val="auto"/>
                <w:sz w:val="24"/>
                <w:szCs w:val="24"/>
              </w:rPr>
              <w:t>07.11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.2024 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№ </w:t>
            </w:r>
            <w:r w:rsidR="00794AD2">
              <w:rPr>
                <w:i/>
                <w:color w:val="auto"/>
                <w:sz w:val="24"/>
                <w:szCs w:val="24"/>
              </w:rPr>
              <w:t>402776827</w:t>
            </w:r>
            <w:r w:rsidRPr="00414B5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187D6EDF" w14:textId="77777777" w:rsidTr="00033EAA">
        <w:trPr>
          <w:cantSplit/>
          <w:trHeight w:val="367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78D82E84" w14:textId="332CA177" w:rsidR="00210879" w:rsidRPr="00962103" w:rsidRDefault="003074E9" w:rsidP="00033EAA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039E72E9" w14:textId="77777777" w:rsidTr="00B269E1">
        <w:trPr>
          <w:cantSplit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3E3EA075" w14:textId="351AC79D" w:rsidR="003074E9" w:rsidRPr="00A82A20" w:rsidRDefault="00033EAA" w:rsidP="00365D93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36FD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="008F7E0D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(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довідка </w:t>
            </w:r>
            <w:r w:rsidRPr="00636FD6">
              <w:rPr>
                <w:i/>
                <w:color w:val="auto"/>
                <w:sz w:val="24"/>
                <w:szCs w:val="24"/>
                <w:lang w:val="ru-RU"/>
              </w:rPr>
              <w:t xml:space="preserve">(витяг) </w:t>
            </w:r>
            <w:r w:rsidRPr="00636FD6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наданий листом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  Департаменту містобудування та архітектури виконавчого органу Київської міської ради (Київської міської де</w:t>
            </w:r>
            <w:r w:rsidR="001F5C35">
              <w:rPr>
                <w:i/>
                <w:color w:val="auto"/>
                <w:sz w:val="24"/>
                <w:szCs w:val="24"/>
              </w:rPr>
              <w:t>ржавн</w:t>
            </w:r>
            <w:r w:rsidR="00DF1151">
              <w:rPr>
                <w:i/>
                <w:color w:val="auto"/>
                <w:sz w:val="24"/>
                <w:szCs w:val="24"/>
              </w:rPr>
              <w:t>ої адміністрації) від 11.12.202</w:t>
            </w:r>
            <w:r w:rsidR="00DF1151" w:rsidRPr="00DF1151">
              <w:rPr>
                <w:i/>
                <w:color w:val="auto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1F5C35">
              <w:rPr>
                <w:i/>
                <w:color w:val="auto"/>
                <w:sz w:val="24"/>
                <w:szCs w:val="24"/>
              </w:rPr>
              <w:t xml:space="preserve"> № 055-13863</w:t>
            </w:r>
            <w:r w:rsidR="008F7E0D">
              <w:rPr>
                <w:i/>
                <w:color w:val="auto"/>
                <w:sz w:val="24"/>
                <w:szCs w:val="24"/>
              </w:rPr>
              <w:t>)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  <w:r w:rsidR="00475ECB" w:rsidRPr="00475ECB">
              <w:rPr>
                <w:rFonts w:eastAsia="Courier New"/>
                <w:i/>
                <w:sz w:val="24"/>
                <w:szCs w:val="24"/>
              </w:rPr>
              <w:t xml:space="preserve"> 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6E82A67D" w14:textId="6585CA62" w:rsidR="003074E9" w:rsidRPr="00A82A20" w:rsidRDefault="006C5164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210879" w:rsidRPr="00A82A20">
              <w:rPr>
                <w:i/>
                <w:color w:val="auto"/>
                <w:sz w:val="24"/>
                <w:szCs w:val="24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91CD452" w:rsidR="003074E9" w:rsidRPr="00A82A20" w:rsidRDefault="00806490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B269E1">
        <w:trPr>
          <w:cantSplit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6F765C9A" w14:textId="691BA0AB" w:rsidR="00365D93" w:rsidRPr="00365D93" w:rsidRDefault="00365D93" w:rsidP="00365D9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Pr="00365D93">
              <w:rPr>
                <w:rFonts w:ascii="Times New Roman" w:hAnsi="Times New Roman" w:cs="Times New Roman"/>
                <w:i/>
                <w:color w:val="auto"/>
              </w:rPr>
              <w:t xml:space="preserve"> розташована в межах червоних ліній вулиць і доріг. Згідно з пунктом «а» частини четвертої статті 83 Земельного кодексу України до земель комунальної власності, які не можуть передаватись у приватну власність, належать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тощо).</w:t>
            </w:r>
          </w:p>
          <w:p w14:paraId="0A876408" w14:textId="2ACB73A3" w:rsidR="008F7E0D" w:rsidRPr="004C74A2" w:rsidRDefault="00365D93" w:rsidP="00365D93">
            <w:pPr>
              <w:pStyle w:val="af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5D93">
              <w:rPr>
                <w:rFonts w:ascii="Times New Roman" w:hAnsi="Times New Roman" w:cs="Times New Roman"/>
                <w:i/>
                <w:color w:val="auto"/>
              </w:rPr>
              <w:t xml:space="preserve">Керуючись статтею 83 Земельного кодексу України, Департаментом підготовлено проєкт рішення Київської міської ради </w:t>
            </w:r>
            <w:r w:rsidR="008F7E0D">
              <w:rPr>
                <w:rFonts w:ascii="Times New Roman" w:hAnsi="Times New Roman" w:cs="Times New Roman"/>
                <w:i/>
              </w:rPr>
              <w:t>«</w:t>
            </w:r>
            <w:r w:rsidR="00D41423" w:rsidRPr="00D41423">
              <w:rPr>
                <w:rFonts w:ascii="Times New Roman" w:hAnsi="Times New Roman" w:cs="Times New Roman"/>
                <w:i/>
              </w:rPr>
              <w:t>Про відмову громадянці Островській Галині Олександрівні в передачі у приватну власність земельної ділянки для ведення колективного садівництва у пров. Андріївському, 16 (</w:t>
            </w:r>
            <w:r w:rsidR="00794AD2" w:rsidRPr="00794AD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Обслуговуючий кооператив «Садово – дачний кооператив «Орхідея-3»</w:t>
            </w:r>
            <w:r w:rsidR="00D41423" w:rsidRPr="00D41423">
              <w:rPr>
                <w:rFonts w:ascii="Times New Roman" w:hAnsi="Times New Roman" w:cs="Times New Roman"/>
                <w:i/>
              </w:rPr>
              <w:t>) у Дарницькому районі міста Києва, мікрорайон Осокорки</w:t>
            </w:r>
            <w:r w:rsidR="008F7E0D">
              <w:rPr>
                <w:rFonts w:ascii="Times New Roman" w:hAnsi="Times New Roman" w:cs="Times New Roman"/>
                <w:i/>
              </w:rPr>
              <w:t>».</w:t>
            </w:r>
          </w:p>
          <w:p w14:paraId="7A28DBFE" w14:textId="77777777" w:rsidR="00033EAA" w:rsidRPr="004C74A2" w:rsidRDefault="00033EAA" w:rsidP="00033EA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C8C9B82" w14:textId="54A8FB91" w:rsidR="00033EAA" w:rsidRPr="004C74A2" w:rsidRDefault="00033EAA" w:rsidP="00033EA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794A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1F932DB1" w14:textId="09368400" w:rsidR="00765699" w:rsidRPr="00033EAA" w:rsidRDefault="00033EAA" w:rsidP="00033EAA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5AFEDFBE" w14:textId="30C0BE58" w:rsidR="0087217C" w:rsidRPr="0087217C" w:rsidRDefault="0087217C" w:rsidP="0087217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21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Загальні засади та порядок відмови у передачі у власність земельної ділянки визначено статтями 9, 118 Земельного кодексу України.</w:t>
      </w:r>
    </w:p>
    <w:p w14:paraId="7EDA5243" w14:textId="77777777" w:rsidR="0087217C" w:rsidRPr="0087217C" w:rsidRDefault="0087217C" w:rsidP="0087217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21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 w:rsidRPr="008721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не матиме впливу на життєдіяльність цієї категорії.</w:t>
      </w:r>
    </w:p>
    <w:p w14:paraId="1892D72B" w14:textId="77777777" w:rsidR="0087217C" w:rsidRPr="0087217C" w:rsidRDefault="0087217C" w:rsidP="0087217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21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45545CA" w14:textId="77777777" w:rsidR="0087217C" w:rsidRPr="0087217C" w:rsidRDefault="0087217C" w:rsidP="0087217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21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A82A20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7FBE205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A567F4">
        <w:rPr>
          <w:bCs/>
          <w:color w:val="auto"/>
          <w:sz w:val="20"/>
          <w:szCs w:val="20"/>
          <w:lang w:val="ru-RU"/>
        </w:rPr>
        <w:t>Валентина ПЕЛИХ</w:t>
      </w:r>
    </w:p>
    <w:p w14:paraId="79730549" w14:textId="77777777" w:rsidR="00B269E1" w:rsidRPr="00610DA0" w:rsidRDefault="00B269E1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33B515" w14:textId="77777777" w:rsidR="00AE07DF" w:rsidRPr="00A82A20" w:rsidRDefault="00AE07DF" w:rsidP="00567E5D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0"/>
          <w:szCs w:val="20"/>
        </w:rPr>
      </w:pPr>
    </w:p>
    <w:sectPr w:rsidR="00AE07DF" w:rsidRPr="00A82A20" w:rsidSect="00365D93">
      <w:headerReference w:type="default" r:id="rId10"/>
      <w:footerReference w:type="default" r:id="rId11"/>
      <w:pgSz w:w="11907" w:h="16839" w:code="9"/>
      <w:pgMar w:top="993" w:right="567" w:bottom="28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4103" w14:textId="77777777" w:rsidR="00AF70C6" w:rsidRDefault="00AF70C6">
      <w:r>
        <w:separator/>
      </w:r>
    </w:p>
  </w:endnote>
  <w:endnote w:type="continuationSeparator" w:id="0">
    <w:p w14:paraId="611F30A6" w14:textId="77777777"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9D1F" w14:textId="77777777" w:rsidR="00AF70C6" w:rsidRDefault="00AF70C6"/>
  </w:footnote>
  <w:footnote w:type="continuationSeparator" w:id="0">
    <w:p w14:paraId="53EDBFB5" w14:textId="77777777" w:rsidR="00AF70C6" w:rsidRDefault="00AF7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E900" w14:textId="77777777" w:rsidR="00033EAA" w:rsidRDefault="00033EAA" w:rsidP="00813A60">
    <w:pPr>
      <w:pStyle w:val="20"/>
      <w:shd w:val="clear" w:color="auto" w:fill="auto"/>
      <w:spacing w:after="0"/>
      <w:ind w:left="5387" w:firstLine="2"/>
      <w:rPr>
        <w:sz w:val="12"/>
        <w:szCs w:val="12"/>
      </w:rPr>
    </w:pPr>
  </w:p>
  <w:p w14:paraId="2CBD23C3" w14:textId="356C50B0" w:rsidR="00862990" w:rsidRPr="00C77937" w:rsidRDefault="007475F4" w:rsidP="00033EAA">
    <w:pPr>
      <w:pStyle w:val="20"/>
      <w:shd w:val="clear" w:color="auto" w:fill="auto"/>
      <w:spacing w:after="0"/>
      <w:ind w:left="4536" w:firstLine="2"/>
      <w:rPr>
        <w:sz w:val="12"/>
        <w:szCs w:val="12"/>
      </w:rPr>
    </w:pP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A567F4">
      <w:rPr>
        <w:sz w:val="12"/>
        <w:szCs w:val="12"/>
        <w:lang w:val="ru-RU"/>
      </w:rPr>
      <w:t>ПЗН-73546</w:t>
    </w:r>
    <w:r w:rsidR="00862990">
      <w:rPr>
        <w:sz w:val="12"/>
        <w:szCs w:val="12"/>
      </w:rPr>
      <w:t xml:space="preserve"> від </w:t>
    </w:r>
    <w:r w:rsidR="00AD1B7C" w:rsidRPr="00A567F4">
      <w:rPr>
        <w:sz w:val="12"/>
        <w:szCs w:val="12"/>
        <w:lang w:val="ru-RU"/>
      </w:rPr>
      <w:t>07.11.2024</w:t>
    </w:r>
    <w:r w:rsidR="00033EAA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411277134</w:t>
    </w:r>
    <w:r w:rsidR="00033EAA">
      <w:rPr>
        <w:sz w:val="12"/>
        <w:szCs w:val="12"/>
      </w:rPr>
      <w:t xml:space="preserve">  </w:t>
    </w:r>
    <w:r w:rsidR="00862990" w:rsidRPr="00C77937">
      <w:rPr>
        <w:sz w:val="12"/>
        <w:szCs w:val="12"/>
      </w:rPr>
      <w:t>Сторінка</w:t>
    </w:r>
    <w:r w:rsidR="00862990" w:rsidRPr="00C77937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DF1151" w:rsidRPr="00DF1151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33EAA"/>
    <w:rsid w:val="00044870"/>
    <w:rsid w:val="00053FB0"/>
    <w:rsid w:val="0009677A"/>
    <w:rsid w:val="0009722A"/>
    <w:rsid w:val="000B5A6C"/>
    <w:rsid w:val="000E59E6"/>
    <w:rsid w:val="00114807"/>
    <w:rsid w:val="00160C09"/>
    <w:rsid w:val="00171641"/>
    <w:rsid w:val="00176396"/>
    <w:rsid w:val="00181F6D"/>
    <w:rsid w:val="00182246"/>
    <w:rsid w:val="001A3A03"/>
    <w:rsid w:val="001C04C8"/>
    <w:rsid w:val="001D0C93"/>
    <w:rsid w:val="001D31E8"/>
    <w:rsid w:val="001F0140"/>
    <w:rsid w:val="001F5C35"/>
    <w:rsid w:val="001F71B4"/>
    <w:rsid w:val="00210879"/>
    <w:rsid w:val="00242085"/>
    <w:rsid w:val="002438BA"/>
    <w:rsid w:val="00244563"/>
    <w:rsid w:val="002A3DC6"/>
    <w:rsid w:val="002B590C"/>
    <w:rsid w:val="002B5CBE"/>
    <w:rsid w:val="002C17C3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71AA"/>
    <w:rsid w:val="00357440"/>
    <w:rsid w:val="00365D93"/>
    <w:rsid w:val="0037022E"/>
    <w:rsid w:val="00370EA4"/>
    <w:rsid w:val="00373FF7"/>
    <w:rsid w:val="003A6EB2"/>
    <w:rsid w:val="003C051B"/>
    <w:rsid w:val="004041B4"/>
    <w:rsid w:val="004155DC"/>
    <w:rsid w:val="004324B0"/>
    <w:rsid w:val="004428A8"/>
    <w:rsid w:val="00455762"/>
    <w:rsid w:val="00460522"/>
    <w:rsid w:val="004730B6"/>
    <w:rsid w:val="00475ECB"/>
    <w:rsid w:val="004A0EFB"/>
    <w:rsid w:val="004A3042"/>
    <w:rsid w:val="004C0093"/>
    <w:rsid w:val="004C56B2"/>
    <w:rsid w:val="004D1EC4"/>
    <w:rsid w:val="004E5413"/>
    <w:rsid w:val="004F0681"/>
    <w:rsid w:val="004F176B"/>
    <w:rsid w:val="004F7FC6"/>
    <w:rsid w:val="005027F3"/>
    <w:rsid w:val="005070E1"/>
    <w:rsid w:val="00510A1B"/>
    <w:rsid w:val="0055002C"/>
    <w:rsid w:val="00567E5D"/>
    <w:rsid w:val="00576744"/>
    <w:rsid w:val="00592102"/>
    <w:rsid w:val="005C435C"/>
    <w:rsid w:val="00602702"/>
    <w:rsid w:val="00604821"/>
    <w:rsid w:val="00610DA0"/>
    <w:rsid w:val="00667A11"/>
    <w:rsid w:val="00680C8A"/>
    <w:rsid w:val="00682B21"/>
    <w:rsid w:val="006A7D4C"/>
    <w:rsid w:val="006B5EC0"/>
    <w:rsid w:val="006C5164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9108D"/>
    <w:rsid w:val="00794AD2"/>
    <w:rsid w:val="007D4F99"/>
    <w:rsid w:val="007D6664"/>
    <w:rsid w:val="007E3A14"/>
    <w:rsid w:val="007E3A44"/>
    <w:rsid w:val="00806490"/>
    <w:rsid w:val="00813176"/>
    <w:rsid w:val="00813A60"/>
    <w:rsid w:val="00816AD3"/>
    <w:rsid w:val="00826937"/>
    <w:rsid w:val="00831A04"/>
    <w:rsid w:val="00831BB1"/>
    <w:rsid w:val="008505EA"/>
    <w:rsid w:val="00862990"/>
    <w:rsid w:val="008700A8"/>
    <w:rsid w:val="0087217C"/>
    <w:rsid w:val="00877CF5"/>
    <w:rsid w:val="00896EA2"/>
    <w:rsid w:val="008A7300"/>
    <w:rsid w:val="008B53BA"/>
    <w:rsid w:val="008B5BC1"/>
    <w:rsid w:val="008C1CC1"/>
    <w:rsid w:val="008C4A81"/>
    <w:rsid w:val="008C60B2"/>
    <w:rsid w:val="008F245A"/>
    <w:rsid w:val="008F7E0D"/>
    <w:rsid w:val="00907F95"/>
    <w:rsid w:val="009423F4"/>
    <w:rsid w:val="00944CB1"/>
    <w:rsid w:val="00962103"/>
    <w:rsid w:val="009737A8"/>
    <w:rsid w:val="009818CA"/>
    <w:rsid w:val="00985C59"/>
    <w:rsid w:val="009869AC"/>
    <w:rsid w:val="009872A6"/>
    <w:rsid w:val="009E4ECC"/>
    <w:rsid w:val="009F299C"/>
    <w:rsid w:val="00A3030B"/>
    <w:rsid w:val="00A31246"/>
    <w:rsid w:val="00A34E3F"/>
    <w:rsid w:val="00A43A8F"/>
    <w:rsid w:val="00A567F4"/>
    <w:rsid w:val="00A66ED7"/>
    <w:rsid w:val="00A723F2"/>
    <w:rsid w:val="00A7535A"/>
    <w:rsid w:val="00A82A20"/>
    <w:rsid w:val="00A82F0C"/>
    <w:rsid w:val="00A86F7B"/>
    <w:rsid w:val="00A8711C"/>
    <w:rsid w:val="00AA1129"/>
    <w:rsid w:val="00AA2455"/>
    <w:rsid w:val="00AB11CF"/>
    <w:rsid w:val="00AB3820"/>
    <w:rsid w:val="00AC5142"/>
    <w:rsid w:val="00AC7E61"/>
    <w:rsid w:val="00AD1B7C"/>
    <w:rsid w:val="00AE07DF"/>
    <w:rsid w:val="00AF3D0C"/>
    <w:rsid w:val="00AF70C6"/>
    <w:rsid w:val="00B0415B"/>
    <w:rsid w:val="00B269E1"/>
    <w:rsid w:val="00B27B65"/>
    <w:rsid w:val="00B743A2"/>
    <w:rsid w:val="00B810A8"/>
    <w:rsid w:val="00B83033"/>
    <w:rsid w:val="00BB2AE1"/>
    <w:rsid w:val="00BF0B19"/>
    <w:rsid w:val="00BF3572"/>
    <w:rsid w:val="00C1033D"/>
    <w:rsid w:val="00C134B4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C6FB9"/>
    <w:rsid w:val="00CD11BB"/>
    <w:rsid w:val="00CF5BA9"/>
    <w:rsid w:val="00D0642F"/>
    <w:rsid w:val="00D2272E"/>
    <w:rsid w:val="00D23EC9"/>
    <w:rsid w:val="00D35106"/>
    <w:rsid w:val="00D41423"/>
    <w:rsid w:val="00D431AF"/>
    <w:rsid w:val="00D505BC"/>
    <w:rsid w:val="00D62731"/>
    <w:rsid w:val="00D7068B"/>
    <w:rsid w:val="00DB5D36"/>
    <w:rsid w:val="00DC4FBC"/>
    <w:rsid w:val="00DC6EFC"/>
    <w:rsid w:val="00DD498B"/>
    <w:rsid w:val="00DE0FDB"/>
    <w:rsid w:val="00DE71C6"/>
    <w:rsid w:val="00DF1151"/>
    <w:rsid w:val="00DF6F41"/>
    <w:rsid w:val="00DF6F51"/>
    <w:rsid w:val="00E1598B"/>
    <w:rsid w:val="00E26C16"/>
    <w:rsid w:val="00E27F6B"/>
    <w:rsid w:val="00E60099"/>
    <w:rsid w:val="00E7421E"/>
    <w:rsid w:val="00E8334D"/>
    <w:rsid w:val="00E9295A"/>
    <w:rsid w:val="00EA459D"/>
    <w:rsid w:val="00EA49AA"/>
    <w:rsid w:val="00EE7671"/>
    <w:rsid w:val="00EF153B"/>
    <w:rsid w:val="00EF7797"/>
    <w:rsid w:val="00F22977"/>
    <w:rsid w:val="00F31C60"/>
    <w:rsid w:val="00F47A92"/>
    <w:rsid w:val="00F47E79"/>
    <w:rsid w:val="00F522C6"/>
    <w:rsid w:val="00F60474"/>
    <w:rsid w:val="00F84543"/>
    <w:rsid w:val="00FB0C31"/>
    <w:rsid w:val="00FB6192"/>
    <w:rsid w:val="00FD5FA1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8721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5487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keywords>{"doc_type_id":72,"doc_type_name":"Пояснювальна записка Фіз передача відмова","doc_type_file":"Фіз_передача_відмова.docx"}</cp:keywords>
  <cp:lastModifiedBy>Левченко Ірина Богданівна</cp:lastModifiedBy>
  <cp:revision>18</cp:revision>
  <cp:lastPrinted>2021-11-25T14:49:00Z</cp:lastPrinted>
  <dcterms:created xsi:type="dcterms:W3CDTF">2024-11-07T11:49:00Z</dcterms:created>
  <dcterms:modified xsi:type="dcterms:W3CDTF">2024-12-16T07:00:00Z</dcterms:modified>
</cp:coreProperties>
</file>