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2E34" w14:textId="77777777" w:rsidR="004D1119" w:rsidRPr="00786A8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406442526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406442526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786A8B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786A8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786A8B">
        <w:rPr>
          <w:b/>
          <w:bCs/>
          <w:sz w:val="24"/>
          <w:szCs w:val="24"/>
          <w:lang w:val="ru-RU"/>
        </w:rPr>
        <w:t xml:space="preserve">№ </w:t>
      </w:r>
      <w:r w:rsidR="004D1119" w:rsidRPr="00786A8B">
        <w:rPr>
          <w:b/>
          <w:bCs/>
          <w:sz w:val="24"/>
          <w:szCs w:val="24"/>
          <w:lang w:val="ru-RU"/>
        </w:rPr>
        <w:t xml:space="preserve">ПЗН-72900 </w:t>
      </w:r>
      <w:proofErr w:type="spellStart"/>
      <w:r w:rsidR="004D1119" w:rsidRPr="00786A8B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786A8B">
        <w:rPr>
          <w:b/>
          <w:bCs/>
          <w:sz w:val="24"/>
          <w:szCs w:val="24"/>
          <w:lang w:val="ru-RU"/>
        </w:rPr>
        <w:t xml:space="preserve"> 23.10.2024</w:t>
      </w:r>
    </w:p>
    <w:p w14:paraId="781D03CD" w14:textId="77777777" w:rsidR="004D1119" w:rsidRPr="00786A8B" w:rsidRDefault="004D1119" w:rsidP="00DD2DB1">
      <w:pPr>
        <w:pStyle w:val="1"/>
        <w:shd w:val="clear" w:color="auto" w:fill="auto"/>
        <w:spacing w:after="0"/>
        <w:ind w:right="2740"/>
        <w:jc w:val="center"/>
        <w:rPr>
          <w:i/>
          <w:sz w:val="24"/>
          <w:szCs w:val="24"/>
          <w:lang w:val="ru-RU"/>
        </w:rPr>
      </w:pPr>
      <w:r w:rsidRPr="00786A8B">
        <w:rPr>
          <w:sz w:val="24"/>
          <w:szCs w:val="24"/>
          <w:lang w:val="ru-RU"/>
        </w:rPr>
        <w:t xml:space="preserve">до </w:t>
      </w:r>
      <w:proofErr w:type="spellStart"/>
      <w:r w:rsidRPr="00786A8B">
        <w:rPr>
          <w:sz w:val="24"/>
          <w:szCs w:val="24"/>
          <w:lang w:val="ru-RU"/>
        </w:rPr>
        <w:t>проєкту</w:t>
      </w:r>
      <w:proofErr w:type="spellEnd"/>
      <w:r w:rsidRPr="00786A8B">
        <w:rPr>
          <w:sz w:val="24"/>
          <w:szCs w:val="24"/>
          <w:lang w:val="ru-RU"/>
        </w:rPr>
        <w:t xml:space="preserve"> </w:t>
      </w:r>
      <w:proofErr w:type="spellStart"/>
      <w:r w:rsidRPr="00786A8B">
        <w:rPr>
          <w:sz w:val="24"/>
          <w:szCs w:val="24"/>
          <w:lang w:val="ru-RU"/>
        </w:rPr>
        <w:t>рішення</w:t>
      </w:r>
      <w:proofErr w:type="spellEnd"/>
      <w:r w:rsidRPr="00786A8B">
        <w:rPr>
          <w:sz w:val="24"/>
          <w:szCs w:val="24"/>
          <w:lang w:val="ru-RU"/>
        </w:rPr>
        <w:t xml:space="preserve"> </w:t>
      </w:r>
      <w:proofErr w:type="spellStart"/>
      <w:r w:rsidRPr="00786A8B">
        <w:rPr>
          <w:sz w:val="24"/>
          <w:szCs w:val="24"/>
          <w:lang w:val="ru-RU"/>
        </w:rPr>
        <w:t>Київської</w:t>
      </w:r>
      <w:proofErr w:type="spellEnd"/>
      <w:r w:rsidRPr="00786A8B">
        <w:rPr>
          <w:sz w:val="24"/>
          <w:szCs w:val="24"/>
          <w:lang w:val="ru-RU"/>
        </w:rPr>
        <w:t xml:space="preserve"> </w:t>
      </w:r>
      <w:proofErr w:type="spellStart"/>
      <w:r w:rsidRPr="00786A8B">
        <w:rPr>
          <w:sz w:val="24"/>
          <w:szCs w:val="24"/>
          <w:lang w:val="ru-RU"/>
        </w:rPr>
        <w:t>міської</w:t>
      </w:r>
      <w:proofErr w:type="spellEnd"/>
      <w:r w:rsidRPr="00786A8B">
        <w:rPr>
          <w:sz w:val="24"/>
          <w:szCs w:val="24"/>
          <w:lang w:val="ru-RU"/>
        </w:rPr>
        <w:t xml:space="preserve"> ради:</w:t>
      </w:r>
    </w:p>
    <w:p w14:paraId="69E0EA30" w14:textId="3DBBAB01" w:rsidR="004D1119" w:rsidRDefault="004D1119" w:rsidP="00DD2DB1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передачу ТОВАРИСТВУ З ОБМЕЖЕНОЮ ВІДПОВІДАЛЬНІСТЮ «ГРАНД БІЛД КОМПАНІ»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оренду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виробничої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бази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Промисловій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, 5 у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Голосіївському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DD2DB1" w:rsidRPr="00DD2DB1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39C0B6B" w14:textId="77777777" w:rsidR="00DD2DB1" w:rsidRPr="004D1119" w:rsidRDefault="00DD2DB1" w:rsidP="00DD2DB1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DD2DB1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144CC7" w14:paraId="59D7EDE9" w14:textId="77777777" w:rsidTr="00BB1EB0">
        <w:trPr>
          <w:cantSplit/>
          <w:trHeight w:hRule="exact" w:val="576"/>
        </w:trPr>
        <w:tc>
          <w:tcPr>
            <w:tcW w:w="2793" w:type="dxa"/>
            <w:shd w:val="clear" w:color="auto" w:fill="FFFFFF"/>
            <w:vAlign w:val="center"/>
          </w:tcPr>
          <w:p w14:paraId="30AE5F35" w14:textId="77777777" w:rsidR="004D1119" w:rsidRPr="00456FAA" w:rsidRDefault="006E10B3" w:rsidP="00BB1EB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  <w:vAlign w:val="center"/>
          </w:tcPr>
          <w:p w14:paraId="2C8733B8" w14:textId="77777777" w:rsidR="004D1119" w:rsidRPr="00786A8B" w:rsidRDefault="004D1119" w:rsidP="00BB1EB0">
            <w:pPr>
              <w:pStyle w:val="a7"/>
              <w:shd w:val="clear" w:color="auto" w:fill="auto"/>
              <w:spacing w:after="0"/>
              <w:ind w:firstLine="173"/>
              <w:rPr>
                <w:sz w:val="24"/>
                <w:szCs w:val="24"/>
                <w:lang w:val="ru-RU"/>
              </w:rPr>
            </w:pPr>
            <w:r w:rsidRPr="00786A8B">
              <w:rPr>
                <w:i/>
                <w:iCs/>
                <w:sz w:val="24"/>
                <w:szCs w:val="24"/>
                <w:lang w:val="ru-RU"/>
              </w:rPr>
              <w:t>ТОВАРИСТВО З ОБМЕЖЕНОЮ ВІДПОВІДАЛЬНІСТЮ «ГРАНД БІЛД КОМПАНІ»</w:t>
            </w:r>
          </w:p>
        </w:tc>
      </w:tr>
      <w:tr w:rsidR="004D1119" w:rsidRPr="004A5DBD" w14:paraId="6A6CF238" w14:textId="77777777" w:rsidTr="00BB1EB0">
        <w:trPr>
          <w:cantSplit/>
          <w:trHeight w:hRule="exact" w:val="712"/>
        </w:trPr>
        <w:tc>
          <w:tcPr>
            <w:tcW w:w="2793" w:type="dxa"/>
            <w:shd w:val="clear" w:color="auto" w:fill="FFFFFF"/>
            <w:vAlign w:val="center"/>
          </w:tcPr>
          <w:p w14:paraId="4BCEFC34" w14:textId="77777777" w:rsidR="004D1119" w:rsidRPr="00456FAA" w:rsidRDefault="006E10B3" w:rsidP="00BB1EB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6A8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522A9B75" w:rsidR="004D1119" w:rsidRPr="004A5DBD" w:rsidRDefault="006E10B3" w:rsidP="00BB1EB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BB1EB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  <w:vAlign w:val="center"/>
          </w:tcPr>
          <w:p w14:paraId="1C72342D" w14:textId="77777777" w:rsidR="00DD2DB1" w:rsidRPr="00DD2DB1" w:rsidRDefault="00DD2DB1" w:rsidP="00BB1EB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Ларченко Ганна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Юріївна</w:t>
            </w:r>
            <w:proofErr w:type="spellEnd"/>
          </w:p>
          <w:p w14:paraId="13ACE229" w14:textId="603BAC5A" w:rsidR="004D1119" w:rsidRPr="00A43048" w:rsidRDefault="00DD2DB1" w:rsidP="00BB1EB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Київська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обл</w:t>
            </w:r>
            <w:r>
              <w:rPr>
                <w:i/>
                <w:iCs/>
                <w:sz w:val="24"/>
                <w:szCs w:val="24"/>
                <w:lang w:val="uk-UA"/>
              </w:rPr>
              <w:t>асть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ru-RU"/>
              </w:rPr>
              <w:t>с</w:t>
            </w:r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Святопетрівське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>, б</w:t>
            </w:r>
            <w:r>
              <w:rPr>
                <w:i/>
                <w:iCs/>
                <w:sz w:val="24"/>
                <w:szCs w:val="24"/>
                <w:lang w:val="ru-RU"/>
              </w:rPr>
              <w:t>ульв</w:t>
            </w:r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Лесі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Українки</w:t>
            </w:r>
            <w:proofErr w:type="spellEnd"/>
          </w:p>
        </w:tc>
      </w:tr>
      <w:tr w:rsidR="004D1119" w:rsidRPr="00854FAD" w14:paraId="2EEB9864" w14:textId="77777777" w:rsidTr="00BB1EB0">
        <w:trPr>
          <w:cantSplit/>
          <w:trHeight w:hRule="exact" w:val="694"/>
        </w:trPr>
        <w:tc>
          <w:tcPr>
            <w:tcW w:w="2793" w:type="dxa"/>
            <w:shd w:val="clear" w:color="auto" w:fill="FFFFFF"/>
            <w:vAlign w:val="center"/>
          </w:tcPr>
          <w:p w14:paraId="70953871" w14:textId="77777777" w:rsidR="004D1119" w:rsidRPr="004D1119" w:rsidRDefault="006E10B3" w:rsidP="00BB1EB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1555F74" w:rsidR="004D1119" w:rsidRPr="004D1119" w:rsidRDefault="006E10B3" w:rsidP="00BB1EB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15EF49F6" w14:textId="77777777" w:rsidR="00DD2DB1" w:rsidRPr="00DD2DB1" w:rsidRDefault="00DD2DB1" w:rsidP="00BB1EB0">
            <w:pPr>
              <w:pStyle w:val="a7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Ларченко Ганна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Юріївна</w:t>
            </w:r>
            <w:proofErr w:type="spellEnd"/>
          </w:p>
          <w:p w14:paraId="395C8F20" w14:textId="76C819FC" w:rsidR="004D1119" w:rsidRPr="00A43048" w:rsidRDefault="00DD2DB1" w:rsidP="00BB1EB0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Київська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обл</w:t>
            </w:r>
            <w:r>
              <w:rPr>
                <w:i/>
                <w:iCs/>
                <w:sz w:val="24"/>
                <w:szCs w:val="24"/>
                <w:lang w:val="uk-UA"/>
              </w:rPr>
              <w:t>асть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r>
              <w:rPr>
                <w:i/>
                <w:iCs/>
                <w:sz w:val="24"/>
                <w:szCs w:val="24"/>
                <w:lang w:val="ru-RU"/>
              </w:rPr>
              <w:t>с</w:t>
            </w:r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Святопетрівське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>, б</w:t>
            </w:r>
            <w:r>
              <w:rPr>
                <w:i/>
                <w:iCs/>
                <w:sz w:val="24"/>
                <w:szCs w:val="24"/>
                <w:lang w:val="ru-RU"/>
              </w:rPr>
              <w:t>ульв.</w:t>
            </w:r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Лесі</w:t>
            </w:r>
            <w:proofErr w:type="spellEnd"/>
            <w:r w:rsidRPr="00DD2DB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D2DB1">
              <w:rPr>
                <w:i/>
                <w:iCs/>
                <w:sz w:val="24"/>
                <w:szCs w:val="24"/>
                <w:lang w:val="ru-RU"/>
              </w:rPr>
              <w:t>Українки</w:t>
            </w:r>
            <w:proofErr w:type="spellEnd"/>
            <w:r w:rsidRPr="00A4304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 w:rsidR="004D1119" w:rsidRPr="004D1119" w14:paraId="0AACDDBA" w14:textId="77777777" w:rsidTr="00BB1EB0">
        <w:trPr>
          <w:cantSplit/>
          <w:trHeight w:hRule="exact" w:val="414"/>
        </w:trPr>
        <w:tc>
          <w:tcPr>
            <w:tcW w:w="2793" w:type="dxa"/>
            <w:shd w:val="clear" w:color="auto" w:fill="FFFFFF"/>
            <w:vAlign w:val="center"/>
          </w:tcPr>
          <w:p w14:paraId="1F41FF09" w14:textId="77777777" w:rsidR="004D1119" w:rsidRPr="006E106A" w:rsidRDefault="006E10B3" w:rsidP="00BB1EB0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  <w:vAlign w:val="center"/>
          </w:tcPr>
          <w:p w14:paraId="41E1B36B" w14:textId="77777777" w:rsidR="004D1119" w:rsidRPr="00A43048" w:rsidRDefault="006E106A" w:rsidP="00BB1EB0">
            <w:pPr>
              <w:pStyle w:val="a7"/>
              <w:shd w:val="clear" w:color="auto" w:fill="auto"/>
              <w:spacing w:after="0"/>
              <w:ind w:firstLine="173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DD2DB1">
              <w:rPr>
                <w:i/>
                <w:sz w:val="24"/>
                <w:szCs w:val="24"/>
              </w:rPr>
              <w:t>від</w:t>
            </w:r>
            <w:proofErr w:type="spellEnd"/>
            <w:r w:rsidRPr="00DD2DB1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15.10.2024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406442526</w:t>
            </w:r>
          </w:p>
        </w:tc>
      </w:tr>
    </w:tbl>
    <w:p w14:paraId="3B73DBB6" w14:textId="77777777" w:rsidR="004D1119" w:rsidRPr="004D1119" w:rsidRDefault="004D1119" w:rsidP="00DD2DB1">
      <w:pPr>
        <w:pStyle w:val="1"/>
        <w:shd w:val="clear" w:color="auto" w:fill="auto"/>
        <w:tabs>
          <w:tab w:val="left" w:pos="668"/>
        </w:tabs>
        <w:spacing w:after="0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DD2DB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786A8B">
        <w:rPr>
          <w:b/>
          <w:bCs/>
          <w:sz w:val="24"/>
          <w:szCs w:val="24"/>
          <w:lang w:val="ru-RU"/>
        </w:rPr>
        <w:t>8000000000:90:116:0025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BB1EB0">
        <w:trPr>
          <w:trHeight w:val="31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2978" w14:textId="7A2036CC" w:rsidR="004D1119" w:rsidRDefault="006E106A" w:rsidP="00BB1EB0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A24E" w14:textId="77777777" w:rsidR="004D1119" w:rsidRPr="00A43048" w:rsidRDefault="004D1119" w:rsidP="00BB1EB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Голосіївський, вул. Промислова, 5</w:t>
            </w:r>
          </w:p>
        </w:tc>
      </w:tr>
      <w:tr w:rsidR="004D1119" w14:paraId="3D5F4781" w14:textId="77777777" w:rsidTr="00BB1EB0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03C" w14:textId="40E33209" w:rsidR="004D1119" w:rsidRDefault="004D1119" w:rsidP="00BB1EB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B679" w14:textId="77777777" w:rsidR="004D1119" w:rsidRPr="00A43048" w:rsidRDefault="004D1119" w:rsidP="00BB1EB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2,0751 га</w:t>
            </w:r>
          </w:p>
        </w:tc>
      </w:tr>
      <w:tr w:rsidR="004D1119" w:rsidRPr="00144CC7" w14:paraId="0C66F18A" w14:textId="77777777" w:rsidTr="00BB1EB0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E9F9" w14:textId="06E9CEEB" w:rsidR="006E10B3" w:rsidRDefault="004D1119" w:rsidP="00BB1EB0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Вид та термін</w:t>
            </w:r>
          </w:p>
          <w:p w14:paraId="3A8A9B39" w14:textId="52B3B59B" w:rsidR="004D1119" w:rsidRPr="006E10B3" w:rsidRDefault="004D1119" w:rsidP="00BB1EB0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A229" w14:textId="5269DABC" w:rsidR="004D1119" w:rsidRPr="00A43048" w:rsidRDefault="006E106A" w:rsidP="00BB1EB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DD2DB1">
              <w:rPr>
                <w:i/>
                <w:sz w:val="24"/>
                <w:szCs w:val="24"/>
              </w:rPr>
              <w:t xml:space="preserve"> на 5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144CC7" w14:paraId="00AEDE2C" w14:textId="77777777" w:rsidTr="00BB1EB0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EB4F" w14:textId="534AE9E7" w:rsidR="004D1119" w:rsidRDefault="00CD0A63" w:rsidP="00BB1EB0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2E08" w14:textId="0583B804" w:rsidR="004D1119" w:rsidRPr="00A43048" w:rsidRDefault="00CD0A63" w:rsidP="00BB1EB0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4D1119" w14:paraId="550A073B" w14:textId="77777777" w:rsidTr="00BB1EB0">
        <w:trPr>
          <w:trHeight w:val="139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BCD" w14:textId="7BFC20A6" w:rsidR="004D1119" w:rsidRPr="002C1187" w:rsidRDefault="004D1119" w:rsidP="00BB1EB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4C4E" w14:textId="10A2D2F5" w:rsidR="00A21758" w:rsidRPr="00A43048" w:rsidRDefault="00C675D8" w:rsidP="00BB1EB0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11.02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із енергогенеруючим блоком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DD2DB1" w:rsidRPr="00DD2DB1">
              <w:rPr>
                <w:rStyle w:val="a9"/>
                <w:sz w:val="24"/>
                <w:szCs w:val="24"/>
              </w:rPr>
              <w:t>для будівництва, експлуатації та обслуговування виробничої бази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BB1EB0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F358" w14:textId="03E38F37" w:rsidR="00221619" w:rsidRPr="00221619" w:rsidRDefault="00221619" w:rsidP="00BB1EB0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127D896D" w:rsidR="00E93A88" w:rsidRPr="00456FAA" w:rsidRDefault="00221619" w:rsidP="00BB1EB0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EA5E" w14:textId="750DDDA8" w:rsidR="00E93A88" w:rsidRPr="00A43048" w:rsidRDefault="00BB1EB0" w:rsidP="00BB1EB0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BB1EB0">
              <w:rPr>
                <w:rStyle w:val="a9"/>
                <w:sz w:val="24"/>
                <w:szCs w:val="24"/>
              </w:rPr>
              <w:t>24 326</w:t>
            </w:r>
            <w:r>
              <w:rPr>
                <w:rStyle w:val="a9"/>
                <w:sz w:val="24"/>
                <w:szCs w:val="24"/>
              </w:rPr>
              <w:t> </w:t>
            </w:r>
            <w:r w:rsidRPr="00BB1EB0">
              <w:rPr>
                <w:rStyle w:val="a9"/>
                <w:sz w:val="24"/>
                <w:szCs w:val="24"/>
              </w:rPr>
              <w:t>369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73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144CC7" w14:paraId="59BC52D9" w14:textId="77777777" w:rsidTr="00BB1EB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  <w:vAlign w:val="center"/>
          </w:tcPr>
          <w:p w14:paraId="059E210B" w14:textId="27326A34" w:rsidR="006E10B3" w:rsidRPr="006E10B3" w:rsidRDefault="00DC4060" w:rsidP="00BB1EB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78040B">
              <w:rPr>
                <w:sz w:val="24"/>
                <w:szCs w:val="24"/>
              </w:rPr>
              <w:t>*</w:t>
            </w:r>
            <w:r w:rsidRPr="00DC4060">
              <w:rPr>
                <w:i/>
                <w:sz w:val="24"/>
                <w:szCs w:val="24"/>
              </w:rPr>
              <w:t>Наведені розрахунки нормативної грошової оцінки не є остаточними і будуть уточнені</w:t>
            </w:r>
          </w:p>
          <w:p w14:paraId="1E66684F" w14:textId="542103E3" w:rsidR="00DC4060" w:rsidRDefault="00DC4060" w:rsidP="00BB1EB0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  <w:lang w:val="ru-RU"/>
              </w:rPr>
            </w:pPr>
            <w:r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642650D5" w:rsidR="00DC4060" w:rsidRDefault="00DC4060" w:rsidP="00DD2DB1">
      <w:pPr>
        <w:pStyle w:val="1"/>
        <w:shd w:val="clear" w:color="auto" w:fill="auto"/>
        <w:tabs>
          <w:tab w:val="left" w:pos="671"/>
        </w:tabs>
        <w:spacing w:after="0"/>
        <w:ind w:left="400" w:firstLine="0"/>
        <w:rPr>
          <w:sz w:val="24"/>
          <w:szCs w:val="24"/>
          <w:lang w:val="ru-RU"/>
        </w:rPr>
      </w:pPr>
    </w:p>
    <w:p w14:paraId="0996F5B2" w14:textId="77777777" w:rsidR="00DD2DB1" w:rsidRPr="00DD3D55" w:rsidRDefault="00DD2DB1" w:rsidP="00DD2DB1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F5C6DCD" w14:textId="31416904" w:rsidR="00DD2DB1" w:rsidRDefault="00DD2DB1" w:rsidP="00DD2DB1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</w:t>
      </w:r>
      <w:r w:rsidRPr="00631FAA">
        <w:rPr>
          <w:sz w:val="24"/>
          <w:szCs w:val="24"/>
          <w:lang w:val="uk-UA"/>
        </w:rPr>
        <w:t xml:space="preserve">від </w:t>
      </w:r>
      <w:r w:rsidR="001E1EE8">
        <w:rPr>
          <w:sz w:val="24"/>
          <w:szCs w:val="24"/>
          <w:lang w:val="uk-UA"/>
        </w:rPr>
        <w:t>23</w:t>
      </w:r>
      <w:r w:rsidRPr="005A29A5">
        <w:rPr>
          <w:sz w:val="24"/>
          <w:szCs w:val="24"/>
          <w:lang w:val="uk-UA"/>
        </w:rPr>
        <w:t>.</w:t>
      </w:r>
      <w:r w:rsidR="001E1EE8">
        <w:rPr>
          <w:sz w:val="24"/>
          <w:szCs w:val="24"/>
          <w:lang w:val="uk-UA"/>
        </w:rPr>
        <w:t>10</w:t>
      </w:r>
      <w:r w:rsidRPr="005A29A5">
        <w:rPr>
          <w:sz w:val="24"/>
          <w:szCs w:val="24"/>
          <w:lang w:val="uk-UA"/>
        </w:rPr>
        <w:t>.2024</w:t>
      </w:r>
      <w:r w:rsidRPr="00631FAA">
        <w:rPr>
          <w:sz w:val="24"/>
          <w:szCs w:val="24"/>
          <w:lang w:val="uk-UA"/>
        </w:rPr>
        <w:t xml:space="preserve"> № </w:t>
      </w:r>
      <w:r w:rsidR="001E1EE8" w:rsidRPr="001E1EE8">
        <w:rPr>
          <w:sz w:val="24"/>
          <w:szCs w:val="24"/>
          <w:lang w:val="uk-UA"/>
        </w:rPr>
        <w:t>НВ-0002619132024</w:t>
      </w:r>
      <w:r w:rsidRPr="00DD3D55">
        <w:rPr>
          <w:sz w:val="24"/>
          <w:szCs w:val="24"/>
          <w:lang w:val="uk-UA"/>
        </w:rPr>
        <w:t xml:space="preserve">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 w:rsidR="001E1EE8" w:rsidRPr="001E1EE8">
        <w:rPr>
          <w:sz w:val="24"/>
          <w:szCs w:val="24"/>
          <w:lang w:val="uk-UA"/>
        </w:rPr>
        <w:t>05</w:t>
      </w:r>
      <w:r w:rsidR="001E1EE8">
        <w:rPr>
          <w:sz w:val="24"/>
          <w:szCs w:val="24"/>
          <w:lang w:val="uk-UA"/>
        </w:rPr>
        <w:t>.12.</w:t>
      </w:r>
      <w:r w:rsidR="001E1EE8" w:rsidRPr="001E1EE8">
        <w:rPr>
          <w:sz w:val="24"/>
          <w:szCs w:val="24"/>
          <w:lang w:val="uk-UA"/>
        </w:rPr>
        <w:t>2014, номер відомостей про речове право 8102354</w:t>
      </w:r>
      <w:r w:rsidRPr="00DD3D55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DD3D55">
        <w:rPr>
          <w:sz w:val="24"/>
          <w:szCs w:val="24"/>
          <w:lang w:val="uk-UA"/>
        </w:rPr>
        <w:t>проєкт</w:t>
      </w:r>
      <w:proofErr w:type="spellEnd"/>
      <w:r w:rsidRPr="00DD3D55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26D01C0C" w14:textId="48483FCE" w:rsidR="00DD2DB1" w:rsidRDefault="00DD2DB1" w:rsidP="00DD2DB1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16C4AF4F" w14:textId="77777777" w:rsidR="006600F2" w:rsidRDefault="006600F2" w:rsidP="00DD2DB1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3E204950" w14:textId="77777777" w:rsidR="006600F2" w:rsidRDefault="006600F2" w:rsidP="00DD2DB1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036C4DBE" w14:textId="77777777" w:rsidR="00DD2DB1" w:rsidRPr="00DD3D55" w:rsidRDefault="00DD2DB1" w:rsidP="00DD2DB1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6CEF1370" w14:textId="77777777" w:rsidR="00DD2DB1" w:rsidRDefault="00DD2DB1" w:rsidP="00DD2DB1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2AC9B057" w14:textId="77777777" w:rsidR="00DD2DB1" w:rsidRPr="00DD3D55" w:rsidRDefault="00DD2DB1" w:rsidP="00DD2DB1">
      <w:pPr>
        <w:pStyle w:val="1"/>
        <w:shd w:val="clear" w:color="auto" w:fill="auto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167ECECD" w14:textId="77777777" w:rsidR="00DD2DB1" w:rsidRPr="00DD3D55" w:rsidRDefault="00DD2DB1" w:rsidP="00DD2DB1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/>
        <w:ind w:left="0"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6"/>
        <w:gridCol w:w="6801"/>
      </w:tblGrid>
      <w:tr w:rsidR="00DD2DB1" w:rsidRPr="00144CC7" w14:paraId="299AE95C" w14:textId="77777777" w:rsidTr="009166EF">
        <w:trPr>
          <w:trHeight w:val="1021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561B" w14:textId="77777777" w:rsidR="00DD2DB1" w:rsidRPr="00DD3D55" w:rsidRDefault="00DD2DB1" w:rsidP="0003587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68841629" w14:textId="77777777" w:rsidR="00DD2DB1" w:rsidRPr="00DD3D55" w:rsidRDefault="00DD2DB1" w:rsidP="0003587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F48" w14:textId="21BCD656" w:rsidR="00DD2DB1" w:rsidRDefault="00DD2DB1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Згідно з листом </w:t>
            </w:r>
            <w:r w:rsidRPr="00786A8B">
              <w:rPr>
                <w:rFonts w:ascii="Times New Roman" w:eastAsia="Times New Roman" w:hAnsi="Times New Roman" w:cs="Times New Roman"/>
                <w:i/>
                <w:iCs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А</w:t>
            </w:r>
            <w:r w:rsidRPr="00786A8B">
              <w:rPr>
                <w:rFonts w:ascii="Times New Roman" w:eastAsia="Times New Roman" w:hAnsi="Times New Roman" w:cs="Times New Roman"/>
                <w:i/>
                <w:iCs/>
              </w:rPr>
              <w:t xml:space="preserve"> З ОБМЕЖЕНОЮ ВІДПОВІДАЛЬНІСТЮ «ГРАНД БІЛД КОМПАНІ»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, доданим до заяви </w:t>
            </w:r>
            <w:r w:rsidR="00A84736" w:rsidRPr="00A84736">
              <w:rPr>
                <w:rFonts w:ascii="Times New Roman" w:eastAsia="Times New Roman" w:hAnsi="Times New Roman" w:cs="Times New Roman"/>
                <w:i/>
                <w:iCs/>
              </w:rPr>
              <w:t>від 14</w:t>
            </w:r>
            <w:r w:rsidR="00A84736">
              <w:rPr>
                <w:rFonts w:ascii="Times New Roman" w:eastAsia="Times New Roman" w:hAnsi="Times New Roman" w:cs="Times New Roman"/>
                <w:i/>
                <w:iCs/>
              </w:rPr>
              <w:t>.10.</w:t>
            </w:r>
            <w:r w:rsidR="00A84736" w:rsidRPr="00A84736">
              <w:rPr>
                <w:rFonts w:ascii="Times New Roman" w:eastAsia="Times New Roman" w:hAnsi="Times New Roman" w:cs="Times New Roman"/>
                <w:i/>
                <w:iCs/>
              </w:rPr>
              <w:t>2024 № 79105-009026168-031-03</w:t>
            </w:r>
            <w:r w:rsidR="00A84736">
              <w:rPr>
                <w:rFonts w:ascii="Times New Roman" w:eastAsia="Times New Roman" w:hAnsi="Times New Roman" w:cs="Times New Roman"/>
                <w:i/>
                <w:iCs/>
              </w:rPr>
              <w:t>, на земельній ділянці розташовані:</w:t>
            </w:r>
          </w:p>
          <w:p w14:paraId="64775970" w14:textId="46EE9FF2" w:rsidR="00A84736" w:rsidRDefault="00A84736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- складська споруда (літера «А») загальною площею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304,9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м;</w:t>
            </w:r>
          </w:p>
          <w:p w14:paraId="782731BE" w14:textId="17B50D58" w:rsidR="00A84736" w:rsidRDefault="00A84736" w:rsidP="00A8473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пост охорони підприємства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(літера «Б») загальною площею 22,0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м;</w:t>
            </w:r>
          </w:p>
          <w:p w14:paraId="08E013AE" w14:textId="640F937E" w:rsidR="00A84736" w:rsidRDefault="00A84736" w:rsidP="00A8473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- нежитлова будівля (літера «В») загальною площею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278,5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м, яка використовується для зберігання будівельних матеріалів;</w:t>
            </w:r>
          </w:p>
          <w:p w14:paraId="38B524E0" w14:textId="73471E5E" w:rsidR="00A84736" w:rsidRDefault="00A84736" w:rsidP="00A8473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- нежитлова будівля (літера «Г») загальною площею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34,5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м, яка використовується як диспетчерський пункт для здійснення контролю виробництва на підприємстві;</w:t>
            </w:r>
          </w:p>
          <w:p w14:paraId="193B271D" w14:textId="77F670FD" w:rsidR="00A84736" w:rsidRDefault="00A84736" w:rsidP="00A8473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- санвузол (літера «Д») загальною площею 14,0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м;</w:t>
            </w:r>
          </w:p>
          <w:p w14:paraId="039EAD2C" w14:textId="32E777B2" w:rsidR="00A84736" w:rsidRDefault="00A84736" w:rsidP="00A8473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- нежитлова будівля (літера «Е») загальною площею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74,8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м, в якій розміщена трансформаторна підстанція для трансформування та розподілу електроенергії на підприємстві;</w:t>
            </w:r>
          </w:p>
          <w:p w14:paraId="3FFCFEAE" w14:textId="67AFA589" w:rsidR="00A84736" w:rsidRDefault="00A84736" w:rsidP="00A84736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- нежитлова будівля (літера «Є») загальною площею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1097,6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м, яка є приміщенням багаторівневого зберігання будівельних матеріалів (в тому числі насипом);</w:t>
            </w:r>
          </w:p>
          <w:p w14:paraId="1FD2409B" w14:textId="1AE9AB3B" w:rsidR="001E1EE8" w:rsidRDefault="001E1EE8" w:rsidP="001E1EE8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- нежитлова будівля (літера «Ж») загальною площею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  <w:t xml:space="preserve">12,5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>. м, яка є модульною конструкцією для роботи охорони підприємства.</w:t>
            </w:r>
          </w:p>
          <w:p w14:paraId="2E530042" w14:textId="6BCE6F94" w:rsidR="00DD2DB1" w:rsidRDefault="001E1EE8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</w:t>
            </w:r>
            <w:r w:rsidR="00DD2DB1" w:rsidRPr="00963597">
              <w:rPr>
                <w:rFonts w:ascii="Times New Roman" w:eastAsia="Times New Roman" w:hAnsi="Times New Roman" w:cs="Times New Roman"/>
                <w:i/>
              </w:rPr>
              <w:t xml:space="preserve">раво власності зареєстровано у Державному реєстрі речових прав на нерухоме майно </w:t>
            </w:r>
            <w:r w:rsidRPr="00786A8B">
              <w:rPr>
                <w:rFonts w:ascii="Times New Roman" w:eastAsia="Times New Roman" w:hAnsi="Times New Roman" w:cs="Times New Roman"/>
                <w:i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</w:rPr>
              <w:t>.02.</w:t>
            </w:r>
            <w:r w:rsidRPr="00786A8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2021, номер </w:t>
            </w:r>
            <w:proofErr w:type="spellStart"/>
            <w:r w:rsidRPr="00786A8B">
              <w:rPr>
                <w:rFonts w:ascii="Times New Roman" w:eastAsia="Times New Roman" w:hAnsi="Times New Roman" w:cs="Times New Roman"/>
                <w:i/>
                <w:lang w:val="ru-RU"/>
              </w:rPr>
              <w:t>відомостей</w:t>
            </w:r>
            <w:proofErr w:type="spellEnd"/>
            <w:r w:rsidRPr="00786A8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про </w:t>
            </w:r>
            <w:proofErr w:type="spellStart"/>
            <w:r w:rsidRPr="00786A8B">
              <w:rPr>
                <w:rFonts w:ascii="Times New Roman" w:eastAsia="Times New Roman" w:hAnsi="Times New Roman" w:cs="Times New Roman"/>
                <w:i/>
                <w:lang w:val="ru-RU"/>
              </w:rPr>
              <w:t>речове</w:t>
            </w:r>
            <w:proofErr w:type="spellEnd"/>
            <w:r w:rsidRPr="00786A8B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право 40616285</w:t>
            </w:r>
            <w:r w:rsidR="00DD2DB1" w:rsidRPr="00963597">
              <w:rPr>
                <w:rFonts w:ascii="Times New Roman" w:eastAsia="Times New Roman" w:hAnsi="Times New Roman" w:cs="Times New Roman"/>
                <w:i/>
              </w:rPr>
              <w:t>)</w:t>
            </w:r>
            <w:r w:rsidR="00DD2DB1" w:rsidRPr="00DD3D55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</w:t>
            </w:r>
            <w:r>
              <w:rPr>
                <w:rFonts w:ascii="Times New Roman" w:eastAsia="Times New Roman" w:hAnsi="Times New Roman" w:cs="Times New Roman"/>
                <w:i/>
              </w:rPr>
              <w:t>23</w:t>
            </w:r>
            <w:r w:rsidR="00DD2DB1" w:rsidRPr="00DD3D55"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</w:rPr>
              <w:t>10</w:t>
            </w:r>
            <w:r w:rsidR="00DD2DB1" w:rsidRPr="00DD3D55">
              <w:rPr>
                <w:rFonts w:ascii="Times New Roman" w:eastAsia="Times New Roman" w:hAnsi="Times New Roman" w:cs="Times New Roman"/>
                <w:i/>
              </w:rPr>
              <w:t>.20</w:t>
            </w:r>
            <w:r w:rsidR="00DD2DB1">
              <w:rPr>
                <w:rFonts w:ascii="Times New Roman" w:eastAsia="Times New Roman" w:hAnsi="Times New Roman" w:cs="Times New Roman"/>
                <w:i/>
              </w:rPr>
              <w:t>24</w:t>
            </w:r>
            <w:r w:rsidR="00DD2DB1"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DD2DB1">
              <w:rPr>
                <w:rFonts w:ascii="Times New Roman" w:eastAsia="Times New Roman" w:hAnsi="Times New Roman" w:cs="Times New Roman"/>
                <w:i/>
              </w:rPr>
              <w:t>№</w:t>
            </w:r>
            <w:r w:rsidR="00DD2DB1" w:rsidRPr="00DD3D55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1E1EE8">
              <w:rPr>
                <w:rFonts w:ascii="Times New Roman" w:eastAsia="Times New Roman" w:hAnsi="Times New Roman" w:cs="Times New Roman"/>
                <w:i/>
              </w:rPr>
              <w:t>400524919</w:t>
            </w:r>
            <w:r w:rsidR="00DD2DB1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32B4B8EA" w14:textId="7350C07D" w:rsidR="001E1EE8" w:rsidRDefault="001E1EE8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Крім того, на території розташовані:</w:t>
            </w:r>
          </w:p>
          <w:p w14:paraId="7BF56D4C" w14:textId="48CBABBE" w:rsidR="001E1EE8" w:rsidRDefault="001E1EE8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бетонний майданчик № 1 загальною площею 526,5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 м;</w:t>
            </w:r>
          </w:p>
          <w:p w14:paraId="33DABBC9" w14:textId="77777777" w:rsidR="001E1EE8" w:rsidRDefault="001E1EE8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стаціонарні тензометричні ваги (відкритого монтажу);</w:t>
            </w:r>
          </w:p>
          <w:p w14:paraId="15CFDF2E" w14:textId="738A8CEC" w:rsidR="001E1EE8" w:rsidRDefault="001E1EE8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 побутові приміщення-вагончики, встановлені господарським способом для тимчасового зберігання особистих речей працівників підприємства;</w:t>
            </w:r>
          </w:p>
          <w:p w14:paraId="16828E54" w14:textId="4A12B59C" w:rsidR="00DD2DB1" w:rsidRPr="00DD3D55" w:rsidRDefault="001E1EE8" w:rsidP="001E1EE8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- ємності для води та інших рідких речовин, технічне обладнання значних габаритних розмірів.</w:t>
            </w:r>
          </w:p>
        </w:tc>
      </w:tr>
      <w:tr w:rsidR="00DD2DB1" w:rsidRPr="006360E3" w14:paraId="47CF34E8" w14:textId="77777777" w:rsidTr="009166EF">
        <w:trPr>
          <w:trHeight w:val="27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34C8" w14:textId="77777777" w:rsidR="00DD2DB1" w:rsidRPr="00DD3D55" w:rsidRDefault="00DD2DB1" w:rsidP="0003587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5A3" w14:textId="77777777" w:rsidR="00DD2DB1" w:rsidRPr="00B94F49" w:rsidRDefault="00DD2DB1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DD2DB1" w:rsidRPr="00144CC7" w14:paraId="3A6091F0" w14:textId="77777777" w:rsidTr="00035875">
        <w:trPr>
          <w:trHeight w:val="104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8830" w14:textId="77777777" w:rsidR="00DD2DB1" w:rsidRPr="00DD3D55" w:rsidRDefault="00DD2DB1" w:rsidP="0003587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34CE8676" w14:textId="77777777" w:rsidR="00DD2DB1" w:rsidRPr="00DD3D55" w:rsidRDefault="00DD2DB1" w:rsidP="00035875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DD3D55">
              <w:rPr>
                <w:i/>
                <w:sz w:val="24"/>
                <w:szCs w:val="24"/>
              </w:rPr>
              <w:t xml:space="preserve">з </w:t>
            </w:r>
          </w:p>
          <w:p w14:paraId="72091B6E" w14:textId="77777777" w:rsidR="00DD2DB1" w:rsidRPr="00DD3D55" w:rsidRDefault="00DD2DB1" w:rsidP="0003587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E80" w14:textId="653EDCCE" w:rsidR="00DD2DB1" w:rsidRPr="003C4573" w:rsidRDefault="001E1EE8" w:rsidP="00BB1EB0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Згідно з листом </w:t>
            </w:r>
            <w:r w:rsidRPr="003C4573">
              <w:rPr>
                <w:i/>
                <w:sz w:val="24"/>
                <w:szCs w:val="24"/>
              </w:rPr>
              <w:t>Департамент</w:t>
            </w:r>
            <w:r>
              <w:rPr>
                <w:i/>
                <w:sz w:val="24"/>
                <w:szCs w:val="24"/>
              </w:rPr>
              <w:t>у</w:t>
            </w:r>
            <w:r w:rsidRPr="003C4573">
              <w:rPr>
                <w:i/>
                <w:sz w:val="24"/>
                <w:szCs w:val="24"/>
              </w:rPr>
              <w:t xml:space="preserve"> містобудування та архітектури виконавчого органу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4573">
              <w:rPr>
                <w:i/>
                <w:sz w:val="24"/>
                <w:szCs w:val="24"/>
              </w:rPr>
              <w:t>Київської міської ради (Київської міської державної адміністрації)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E1EE8">
              <w:rPr>
                <w:i/>
                <w:sz w:val="24"/>
                <w:szCs w:val="24"/>
              </w:rPr>
              <w:t>від 09.08.2024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br/>
              <w:t xml:space="preserve">№ </w:t>
            </w:r>
            <w:r w:rsidRPr="001E1EE8">
              <w:rPr>
                <w:i/>
                <w:sz w:val="24"/>
                <w:szCs w:val="24"/>
              </w:rPr>
              <w:t>055-7541</w:t>
            </w:r>
            <w:r>
              <w:rPr>
                <w:i/>
                <w:sz w:val="24"/>
                <w:szCs w:val="24"/>
              </w:rPr>
              <w:t>, в</w:t>
            </w:r>
            <w:r w:rsidR="00DD2DB1" w:rsidRPr="003C4573">
              <w:rPr>
                <w:i/>
                <w:sz w:val="24"/>
                <w:szCs w:val="24"/>
              </w:rPr>
              <w:t>ідповідно до Генерального плану міста</w:t>
            </w:r>
            <w:r w:rsidR="00DD2DB1">
              <w:rPr>
                <w:i/>
                <w:sz w:val="24"/>
                <w:szCs w:val="24"/>
              </w:rPr>
              <w:t xml:space="preserve"> </w:t>
            </w:r>
            <w:r w:rsidR="00DD2DB1" w:rsidRPr="003C4573">
              <w:rPr>
                <w:i/>
                <w:sz w:val="24"/>
                <w:szCs w:val="24"/>
              </w:rPr>
              <w:t>Києва та про</w:t>
            </w:r>
            <w:r w:rsidR="00DD2DB1">
              <w:rPr>
                <w:i/>
                <w:sz w:val="24"/>
                <w:szCs w:val="24"/>
              </w:rPr>
              <w:t>е</w:t>
            </w:r>
            <w:r w:rsidR="00DD2DB1" w:rsidRPr="003C4573">
              <w:rPr>
                <w:i/>
                <w:sz w:val="24"/>
                <w:szCs w:val="24"/>
              </w:rPr>
              <w:t>кту планування його приміської зони на період до 2020 року,</w:t>
            </w:r>
            <w:r w:rsidR="00DD2DB1">
              <w:rPr>
                <w:i/>
                <w:sz w:val="24"/>
                <w:szCs w:val="24"/>
              </w:rPr>
              <w:t xml:space="preserve"> </w:t>
            </w:r>
            <w:r w:rsidR="00DD2DB1" w:rsidRPr="003C4573">
              <w:rPr>
                <w:i/>
                <w:sz w:val="24"/>
                <w:szCs w:val="24"/>
              </w:rPr>
              <w:t>затвердженого рішенням Київської міської ради від 28.03.2002 № 370/1804,</w:t>
            </w:r>
            <w:r w:rsidR="00DD2DB1">
              <w:rPr>
                <w:i/>
                <w:sz w:val="24"/>
                <w:szCs w:val="24"/>
              </w:rPr>
              <w:t xml:space="preserve"> </w:t>
            </w:r>
            <w:r w:rsidR="00DD2DB1" w:rsidRPr="003C4573">
              <w:rPr>
                <w:i/>
                <w:sz w:val="24"/>
                <w:szCs w:val="24"/>
              </w:rPr>
              <w:t xml:space="preserve">земельна ділянка за функціональним призначенням </w:t>
            </w:r>
            <w:r w:rsidR="00DD2DB1">
              <w:rPr>
                <w:i/>
                <w:sz w:val="24"/>
                <w:szCs w:val="24"/>
              </w:rPr>
              <w:t xml:space="preserve">належить </w:t>
            </w:r>
            <w:r w:rsidRPr="001E1EE8">
              <w:rPr>
                <w:i/>
                <w:sz w:val="24"/>
                <w:szCs w:val="24"/>
              </w:rPr>
              <w:t>до комунально-складської території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D2DB1" w:rsidRPr="00144CC7" w14:paraId="6D480508" w14:textId="77777777" w:rsidTr="0003587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6B12" w14:textId="77777777" w:rsidR="00DD2DB1" w:rsidRPr="00DD3D55" w:rsidRDefault="00DD2DB1" w:rsidP="00035875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4F0" w14:textId="218E6F66" w:rsidR="00DD2DB1" w:rsidRPr="00DD3D55" w:rsidRDefault="00DD2DB1" w:rsidP="001E1EE8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</w:t>
            </w:r>
            <w:r w:rsidRPr="00DD3D55">
              <w:rPr>
                <w:bCs/>
                <w:i/>
                <w:sz w:val="24"/>
                <w:szCs w:val="24"/>
              </w:rPr>
              <w:lastRenderedPageBreak/>
              <w:t>власності зареєстровано у Державному реєстрі речових прав на нерухоме майно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1E1EE8" w:rsidRPr="001E1EE8">
              <w:rPr>
                <w:bCs/>
                <w:i/>
                <w:sz w:val="24"/>
                <w:szCs w:val="24"/>
                <w:lang w:val="ru-RU"/>
              </w:rPr>
              <w:t xml:space="preserve">05.12.2014, номер </w:t>
            </w:r>
            <w:proofErr w:type="spellStart"/>
            <w:r w:rsidR="001E1EE8" w:rsidRPr="001E1EE8">
              <w:rPr>
                <w:bCs/>
                <w:i/>
                <w:sz w:val="24"/>
                <w:szCs w:val="24"/>
                <w:lang w:val="ru-RU"/>
              </w:rPr>
              <w:t>відомостей</w:t>
            </w:r>
            <w:proofErr w:type="spellEnd"/>
            <w:r w:rsidR="001E1EE8" w:rsidRPr="001E1EE8">
              <w:rPr>
                <w:bCs/>
                <w:i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="001E1EE8" w:rsidRPr="001E1EE8">
              <w:rPr>
                <w:bCs/>
                <w:i/>
                <w:sz w:val="24"/>
                <w:szCs w:val="24"/>
                <w:lang w:val="ru-RU"/>
              </w:rPr>
              <w:t>речове</w:t>
            </w:r>
            <w:proofErr w:type="spellEnd"/>
            <w:r w:rsidR="001E1EE8" w:rsidRPr="001E1EE8">
              <w:rPr>
                <w:bCs/>
                <w:i/>
                <w:sz w:val="24"/>
                <w:szCs w:val="24"/>
                <w:lang w:val="ru-RU"/>
              </w:rPr>
              <w:t xml:space="preserve"> право 8102354</w:t>
            </w:r>
            <w:r w:rsidRPr="009A1375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DD3D55">
              <w:rPr>
                <w:bCs/>
                <w:i/>
                <w:sz w:val="24"/>
                <w:szCs w:val="24"/>
              </w:rPr>
              <w:t>(інформація з Державного реєстру речових прав</w:t>
            </w:r>
            <w:r>
              <w:rPr>
                <w:bCs/>
                <w:i/>
                <w:sz w:val="24"/>
                <w:szCs w:val="24"/>
              </w:rPr>
              <w:t xml:space="preserve"> на нерухоме майно </w:t>
            </w:r>
            <w:r w:rsidRPr="00DD3D55">
              <w:rPr>
                <w:bCs/>
                <w:i/>
                <w:sz w:val="24"/>
                <w:szCs w:val="24"/>
              </w:rPr>
              <w:t xml:space="preserve">від </w:t>
            </w:r>
            <w:r w:rsidR="001E1EE8" w:rsidRPr="001E1EE8">
              <w:rPr>
                <w:bCs/>
                <w:i/>
                <w:sz w:val="24"/>
                <w:szCs w:val="24"/>
              </w:rPr>
              <w:t>23.10.2024 № 400524919</w:t>
            </w:r>
            <w:r w:rsidRPr="00DD3D55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DD2DB1" w:rsidRPr="00144CC7" w14:paraId="0B82699E" w14:textId="77777777" w:rsidTr="00035875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E66F" w14:textId="77777777" w:rsidR="00DD2DB1" w:rsidRPr="00DD3D55" w:rsidRDefault="00DD2DB1" w:rsidP="0003587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lastRenderedPageBreak/>
              <w:t xml:space="preserve"> Розташування в зеленій </w:t>
            </w:r>
          </w:p>
          <w:p w14:paraId="3A962B22" w14:textId="77777777" w:rsidR="00DD2DB1" w:rsidRPr="00DD3D55" w:rsidRDefault="00DD2DB1" w:rsidP="0003587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61A" w14:textId="77777777" w:rsidR="00DD2DB1" w:rsidRPr="00DD3D55" w:rsidRDefault="00DD2DB1" w:rsidP="00035875">
            <w:pPr>
              <w:pStyle w:val="a5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DD2DB1" w:rsidRPr="00144CC7" w14:paraId="62E01B3D" w14:textId="77777777" w:rsidTr="00035875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8188" w14:textId="77777777" w:rsidR="00DD2DB1" w:rsidRPr="00DD3D55" w:rsidRDefault="00DD2DB1" w:rsidP="00035875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DD3D55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8D7" w14:textId="5841A14F" w:rsidR="00BB1EB0" w:rsidRDefault="00DD2DB1" w:rsidP="00035875">
            <w:pPr>
              <w:ind w:firstLine="375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01312">
              <w:rPr>
                <w:rFonts w:ascii="Times New Roman" w:hAnsi="Times New Roman" w:cs="Times New Roman"/>
                <w:i/>
              </w:rPr>
              <w:t>Земельна ділянка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BB1EB0">
              <w:rPr>
                <w:rFonts w:ascii="Times New Roman" w:hAnsi="Times New Roman" w:cs="Times New Roman"/>
                <w:i/>
              </w:rPr>
              <w:t>на підставі рішення Київської міської ради від 27.12.2007 № 1538/4371 була передана у довгострокову оренду на 15 років Українській спеціальній науково-реставраційній проектно-будівель-виробничій корпорації «</w:t>
            </w:r>
            <w:proofErr w:type="spellStart"/>
            <w:r w:rsidR="00BB1EB0">
              <w:rPr>
                <w:rFonts w:ascii="Times New Roman" w:hAnsi="Times New Roman" w:cs="Times New Roman"/>
                <w:i/>
              </w:rPr>
              <w:t>Укрреставрація</w:t>
            </w:r>
            <w:proofErr w:type="spellEnd"/>
            <w:r w:rsidR="00BB1EB0">
              <w:rPr>
                <w:rFonts w:ascii="Times New Roman" w:hAnsi="Times New Roman" w:cs="Times New Roman"/>
                <w:i/>
              </w:rPr>
              <w:t xml:space="preserve">» </w:t>
            </w:r>
            <w:r w:rsidR="00BB1EB0" w:rsidRPr="00786A8B">
              <w:rPr>
                <w:rFonts w:ascii="Times New Roman" w:hAnsi="Times New Roman" w:cs="Times New Roman"/>
                <w:i/>
                <w:iCs/>
              </w:rPr>
              <w:t>для будівництва, експлуатації та обслуговування виробничої бази</w:t>
            </w:r>
            <w:r w:rsidR="00BB1EB0">
              <w:rPr>
                <w:rFonts w:ascii="Times New Roman" w:hAnsi="Times New Roman" w:cs="Times New Roman"/>
                <w:i/>
                <w:iCs/>
              </w:rPr>
              <w:t xml:space="preserve"> (договір оренди земельної ділянки від 28.11.2008 № 79-6-00677).</w:t>
            </w:r>
          </w:p>
          <w:p w14:paraId="47A71084" w14:textId="728FAADA" w:rsidR="00BB1EB0" w:rsidRPr="00BB1EB0" w:rsidRDefault="00B777E9" w:rsidP="00035875">
            <w:pPr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 зв’язку з  істотним порушенням </w:t>
            </w:r>
            <w:r>
              <w:rPr>
                <w:rFonts w:ascii="Times New Roman" w:hAnsi="Times New Roman" w:cs="Times New Roman"/>
                <w:i/>
              </w:rPr>
              <w:t>умов договору</w:t>
            </w:r>
            <w:r w:rsidR="009166EF">
              <w:rPr>
                <w:rFonts w:ascii="Times New Roman" w:hAnsi="Times New Roman" w:cs="Times New Roman"/>
                <w:i/>
              </w:rPr>
              <w:t xml:space="preserve"> оренди </w:t>
            </w:r>
            <w:r>
              <w:rPr>
                <w:rFonts w:ascii="Times New Roman" w:hAnsi="Times New Roman" w:cs="Times New Roman"/>
                <w:i/>
              </w:rPr>
              <w:t>в частині внесення орендної плати, що є підставою для його розірвання, р</w:t>
            </w:r>
            <w:r w:rsidR="00BB1EB0">
              <w:rPr>
                <w:rFonts w:ascii="Times New Roman" w:hAnsi="Times New Roman" w:cs="Times New Roman"/>
                <w:i/>
                <w:iCs/>
              </w:rPr>
              <w:t xml:space="preserve">ішенням Господарського суду міста Києва </w:t>
            </w:r>
            <w:r w:rsidR="009166EF">
              <w:rPr>
                <w:rFonts w:ascii="Times New Roman" w:hAnsi="Times New Roman" w:cs="Times New Roman"/>
                <w:i/>
                <w:iCs/>
              </w:rPr>
              <w:br/>
            </w:r>
            <w:r w:rsidR="00BB1EB0">
              <w:rPr>
                <w:rFonts w:ascii="Times New Roman" w:hAnsi="Times New Roman" w:cs="Times New Roman"/>
                <w:i/>
                <w:iCs/>
              </w:rPr>
              <w:t>від 11.12.2013 у справі № 910/9512</w:t>
            </w:r>
            <w:r w:rsidR="00D073E4">
              <w:rPr>
                <w:rFonts w:ascii="Times New Roman" w:hAnsi="Times New Roman" w:cs="Times New Roman"/>
                <w:i/>
                <w:iCs/>
              </w:rPr>
              <w:t>/13</w:t>
            </w:r>
            <w:r w:rsidR="00BB1EB0">
              <w:rPr>
                <w:rFonts w:ascii="Times New Roman" w:hAnsi="Times New Roman" w:cs="Times New Roman"/>
                <w:i/>
                <w:iCs/>
              </w:rPr>
              <w:t xml:space="preserve"> розірвано договір оренди земельної ділянки від 28.11.2008, укладений між Київською міською радою та </w:t>
            </w:r>
            <w:r w:rsidR="00BB1EB0">
              <w:rPr>
                <w:rFonts w:ascii="Times New Roman" w:hAnsi="Times New Roman" w:cs="Times New Roman"/>
                <w:i/>
              </w:rPr>
              <w:t>Українською спеціальною науково-реставраційною проектно-будівель-виробничою корпорацією «</w:t>
            </w:r>
            <w:proofErr w:type="spellStart"/>
            <w:r w:rsidR="00BB1EB0">
              <w:rPr>
                <w:rFonts w:ascii="Times New Roman" w:hAnsi="Times New Roman" w:cs="Times New Roman"/>
                <w:i/>
              </w:rPr>
              <w:t>Укрреставрація</w:t>
            </w:r>
            <w:proofErr w:type="spellEnd"/>
            <w:r w:rsidR="00BB1EB0">
              <w:rPr>
                <w:rFonts w:ascii="Times New Roman" w:hAnsi="Times New Roman" w:cs="Times New Roman"/>
                <w:i/>
              </w:rPr>
              <w:t>»</w:t>
            </w:r>
            <w:r w:rsidR="006600F2">
              <w:rPr>
                <w:rFonts w:ascii="Times New Roman" w:hAnsi="Times New Roman" w:cs="Times New Roman"/>
                <w:i/>
              </w:rPr>
              <w:t xml:space="preserve"> та зобов’язано повернути Київській міській раді земельну ділянку, </w:t>
            </w:r>
            <w:proofErr w:type="spellStart"/>
            <w:r w:rsidR="006600F2">
              <w:rPr>
                <w:rFonts w:ascii="Times New Roman" w:hAnsi="Times New Roman" w:cs="Times New Roman"/>
                <w:i/>
              </w:rPr>
              <w:t>привівши</w:t>
            </w:r>
            <w:proofErr w:type="spellEnd"/>
            <w:r w:rsidR="006600F2">
              <w:rPr>
                <w:rFonts w:ascii="Times New Roman" w:hAnsi="Times New Roman" w:cs="Times New Roman"/>
                <w:i/>
              </w:rPr>
              <w:t xml:space="preserve"> її у придатний для використання стан.</w:t>
            </w:r>
          </w:p>
          <w:p w14:paraId="6E2C5DC3" w14:textId="11ACF96E" w:rsidR="00B777E9" w:rsidRPr="00B777E9" w:rsidRDefault="009166EF" w:rsidP="00E178E9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Пунктом 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</w:t>
            </w:r>
            <w:r w:rsidR="00B777E9"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роєкт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у</w:t>
            </w:r>
            <w:proofErr w:type="spellEnd"/>
            <w:r w:rsidR="00B777E9"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</w:t>
            </w:r>
            <w:r w:rsidR="00B777E9" w:rsidRP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передбачено в</w:t>
            </w:r>
            <w:r w:rsidR="00B777E9" w:rsidRP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иключити з додатку до рішення Київської міської ради від 21</w:t>
            </w:r>
            <w:r w:rsid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.07.</w:t>
            </w:r>
            <w:r w:rsidR="00B777E9" w:rsidRP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2016 </w:t>
            </w:r>
            <w:r w:rsidR="00144CC7" w:rsidRPr="00144CC7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            </w:t>
            </w:r>
            <w:r w:rsidR="00B777E9" w:rsidRP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№ 773/773 «Про визначення переліку земельних ділянок для опрацювання можливості продажу їх (або права оренди на них) на земельних торгах» земельну ділянку на вул. Промисловій, 5 у Голосіївському районі м. Києва, у зв’язку з тим, що можливість її продажу (або права оренди на неї)</w:t>
            </w:r>
            <w:r w:rsid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="00B777E9" w:rsidRP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не була реалізована</w:t>
            </w:r>
            <w:r w:rsidR="00E178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, о</w:t>
            </w:r>
            <w:r w:rsid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скільки, в межах вказаної земельної ділянки розташовані об’єкти нерухомого майна, які перебувають у власності Т</w:t>
            </w:r>
            <w:r w:rsidR="00B777E9" w:rsidRPr="00144CC7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ОВАРИСТВА З ОБМЕЖЕНОЮ ВІДПОВІДАЛЬНІСТЮ «ГРАНД БІЛД КОМПАНІ»</w:t>
            </w:r>
            <w:r w:rsidR="00B777E9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.</w:t>
            </w:r>
          </w:p>
          <w:p w14:paraId="609EAD37" w14:textId="4FB1AC50" w:rsidR="00DD2DB1" w:rsidRPr="00DD3D55" w:rsidRDefault="00DD2DB1" w:rsidP="0003587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роєкт</w:t>
            </w:r>
            <w:r w:rsidR="00CD1A0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ом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</w:t>
            </w:r>
            <w:r w:rsidR="00CD1A0F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             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від 10.02.2021 у справі № 200/8930/18)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зобов’язати землекористувача сплатити безпідставно з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бережен</w:t>
            </w:r>
            <w:r w:rsidRPr="00DD3D55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4267EF2C" w14:textId="77777777" w:rsidR="00DD2DB1" w:rsidRPr="00DD3D55" w:rsidRDefault="00DD2DB1" w:rsidP="0003587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84F3CCF" w14:textId="77777777" w:rsidR="00DD2DB1" w:rsidRPr="00DD3D55" w:rsidRDefault="00DD2DB1" w:rsidP="00035875">
            <w:pPr>
              <w:pStyle w:val="af1"/>
              <w:ind w:firstLine="375"/>
              <w:jc w:val="both"/>
              <w:rPr>
                <w:rFonts w:ascii="Times New Roman" w:hAnsi="Times New Roman" w:cs="Times New Roman"/>
                <w:i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</w:t>
            </w:r>
            <w:r w:rsidRPr="00DD3D55">
              <w:rPr>
                <w:rFonts w:ascii="Times New Roman" w:hAnsi="Times New Roman" w:cs="Times New Roman"/>
                <w:i/>
              </w:rPr>
              <w:lastRenderedPageBreak/>
              <w:t xml:space="preserve">Верховного Суду від 28.04.2021 у справі № 826/8857/16,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від 17.04.2018 у справі № 826/8107/16, від 16.09.2021 у справі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DD3D55">
              <w:rPr>
                <w:rFonts w:ascii="Times New Roman" w:hAnsi="Times New Roman" w:cs="Times New Roman"/>
                <w:i/>
              </w:rPr>
              <w:t xml:space="preserve">№ 826/8847/16. </w:t>
            </w:r>
          </w:p>
          <w:p w14:paraId="02DC922B" w14:textId="77777777" w:rsidR="00DD2DB1" w:rsidRPr="00DD3D55" w:rsidRDefault="00DD2DB1" w:rsidP="00035875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DD3D55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DD3D55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DD3D55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4A81E607" w14:textId="77777777" w:rsidR="00DD2DB1" w:rsidRPr="006600F2" w:rsidRDefault="00DD2DB1" w:rsidP="00DD2DB1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16"/>
          <w:szCs w:val="16"/>
          <w:lang w:val="uk-UA"/>
        </w:rPr>
      </w:pPr>
    </w:p>
    <w:p w14:paraId="7462767A" w14:textId="77777777" w:rsidR="00DD2DB1" w:rsidRPr="00DD3D55" w:rsidRDefault="00DD2DB1" w:rsidP="00DD2DB1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006821A8" w14:textId="77777777" w:rsidR="00DD2DB1" w:rsidRPr="00DD3D55" w:rsidRDefault="00DD2DB1" w:rsidP="00DD2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7F059BF2" w14:textId="77777777" w:rsidR="00DD2DB1" w:rsidRPr="00DD2DB1" w:rsidRDefault="00DD2DB1" w:rsidP="00DD2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D2DB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D2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                       не матиме впливу на життєдіяльність цієї категорії.</w:t>
      </w:r>
    </w:p>
    <w:p w14:paraId="153C81A9" w14:textId="77777777" w:rsidR="00DD2DB1" w:rsidRPr="00DD2DB1" w:rsidRDefault="00DD2DB1" w:rsidP="00DD2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D2DB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D2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4ED3135" w14:textId="6CCD3D32" w:rsidR="00DD2DB1" w:rsidRDefault="00DD2DB1" w:rsidP="00DD2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DD2DB1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DD2DB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18B18DE5" w14:textId="77777777" w:rsidR="00DD2DB1" w:rsidRPr="00DD3D55" w:rsidRDefault="00DD2DB1" w:rsidP="00DD2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5A8584AF" w14:textId="77777777" w:rsidR="00DD2DB1" w:rsidRPr="00DD3D55" w:rsidRDefault="00DD2DB1" w:rsidP="00DD2DB1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4F4023E3" w14:textId="77777777" w:rsidR="00DD2DB1" w:rsidRPr="00DD3D55" w:rsidRDefault="00DD2DB1" w:rsidP="00DD2DB1">
      <w:pPr>
        <w:pStyle w:val="1"/>
        <w:shd w:val="clear" w:color="auto" w:fill="auto"/>
        <w:tabs>
          <w:tab w:val="left" w:pos="85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AAD8E09" w14:textId="1864E424" w:rsidR="00DD2DB1" w:rsidRPr="00DD3D55" w:rsidRDefault="00DD2DB1" w:rsidP="00DD2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7531/7572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«Про бюджет міста Києва на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D3D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рік» орієнтовний розмір річної орендної плати складатиме: </w:t>
      </w:r>
      <w:r w:rsidR="00BB1EB0" w:rsidRPr="00BB1E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729 791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грн </w:t>
      </w:r>
      <w:r w:rsidR="00BB1EB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09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DD3D5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1F2ECF8E" w14:textId="77777777" w:rsidR="00DD2DB1" w:rsidRDefault="00DD2DB1" w:rsidP="00DD2DB1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b/>
          <w:bCs/>
          <w:sz w:val="24"/>
          <w:szCs w:val="24"/>
          <w:lang w:val="uk-UA"/>
        </w:rPr>
      </w:pPr>
    </w:p>
    <w:p w14:paraId="61DD3DB8" w14:textId="77777777" w:rsidR="00DD2DB1" w:rsidRPr="00DD3D55" w:rsidRDefault="00DD2DB1" w:rsidP="00DD2DB1">
      <w:pPr>
        <w:pStyle w:val="1"/>
        <w:shd w:val="clear" w:color="auto" w:fill="auto"/>
        <w:tabs>
          <w:tab w:val="left" w:pos="624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DD3D55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7F95B274" w14:textId="77777777" w:rsidR="00DD2DB1" w:rsidRPr="00DD3D55" w:rsidRDefault="00DD2DB1" w:rsidP="00DD2DB1">
      <w:pPr>
        <w:pStyle w:val="1"/>
        <w:shd w:val="clear" w:color="auto" w:fill="auto"/>
        <w:tabs>
          <w:tab w:val="left" w:pos="851"/>
        </w:tabs>
        <w:spacing w:after="0"/>
        <w:ind w:firstLine="567"/>
        <w:contextualSpacing/>
        <w:jc w:val="both"/>
        <w:rPr>
          <w:sz w:val="24"/>
          <w:szCs w:val="24"/>
          <w:lang w:val="uk-UA"/>
        </w:rPr>
      </w:pPr>
      <w:r w:rsidRPr="00DD3D55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DD3D55">
        <w:rPr>
          <w:sz w:val="24"/>
          <w:szCs w:val="24"/>
          <w:lang w:val="uk-UA"/>
        </w:rPr>
        <w:t>проєкту</w:t>
      </w:r>
      <w:proofErr w:type="spellEnd"/>
      <w:r w:rsidRPr="00DD3D55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2CEBFA96" w14:textId="77777777" w:rsidR="00DD2DB1" w:rsidRPr="00DD3D55" w:rsidRDefault="00DD2DB1" w:rsidP="00DD2DB1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  <w:lang w:val="uk-UA"/>
        </w:rPr>
      </w:pPr>
    </w:p>
    <w:p w14:paraId="73F91C70" w14:textId="77777777" w:rsidR="00DD2DB1" w:rsidRPr="00DD3D55" w:rsidRDefault="00DD2DB1" w:rsidP="00DD2DB1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DD3D55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DD3D55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6C4ED9F" w14:textId="77777777" w:rsidR="00DD2DB1" w:rsidRPr="00DD3D55" w:rsidRDefault="00DD2DB1" w:rsidP="00DD2DB1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p w14:paraId="3BDCCD32" w14:textId="77777777" w:rsidR="00DD2DB1" w:rsidRPr="00DD3D55" w:rsidRDefault="00DD2DB1" w:rsidP="00DD2DB1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D2DB1" w:rsidRPr="00DD3D55" w14:paraId="07CEFE75" w14:textId="77777777" w:rsidTr="00035875">
        <w:trPr>
          <w:trHeight w:val="287"/>
        </w:trPr>
        <w:tc>
          <w:tcPr>
            <w:tcW w:w="4814" w:type="dxa"/>
            <w:hideMark/>
          </w:tcPr>
          <w:p w14:paraId="20B8C83D" w14:textId="77777777" w:rsidR="00DD2DB1" w:rsidRPr="00DD3D55" w:rsidRDefault="00DD2DB1" w:rsidP="00035875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6BE6942A" w14:textId="77777777" w:rsidR="00DD2DB1" w:rsidRPr="00DD3D55" w:rsidRDefault="00DD2DB1" w:rsidP="00035875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DD3D55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B0470E6" w14:textId="77777777" w:rsidR="00DD2DB1" w:rsidRPr="00DD3D55" w:rsidRDefault="00DD2DB1" w:rsidP="00BB1EB0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uk-UA"/>
        </w:rPr>
      </w:pPr>
    </w:p>
    <w:sectPr w:rsidR="00DD2DB1" w:rsidRPr="00DD3D55" w:rsidSect="006600F2">
      <w:headerReference w:type="default" r:id="rId11"/>
      <w:pgSz w:w="11906" w:h="16838" w:code="9"/>
      <w:pgMar w:top="993" w:right="75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77887" w14:textId="77777777" w:rsidR="00D61BD8" w:rsidRDefault="00D61BD8" w:rsidP="004D1119">
      <w:pPr>
        <w:spacing w:after="0" w:line="240" w:lineRule="auto"/>
      </w:pPr>
      <w:r>
        <w:separator/>
      </w:r>
    </w:p>
  </w:endnote>
  <w:endnote w:type="continuationSeparator" w:id="0">
    <w:p w14:paraId="572A2FF8" w14:textId="77777777" w:rsidR="00D61BD8" w:rsidRDefault="00D61BD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DAD02" w14:textId="77777777" w:rsidR="00D61BD8" w:rsidRDefault="00D61BD8" w:rsidP="004D1119">
      <w:pPr>
        <w:spacing w:after="0" w:line="240" w:lineRule="auto"/>
      </w:pPr>
      <w:r>
        <w:separator/>
      </w:r>
    </w:p>
  </w:footnote>
  <w:footnote w:type="continuationSeparator" w:id="0">
    <w:p w14:paraId="2D47CAD3" w14:textId="77777777" w:rsidR="00D61BD8" w:rsidRDefault="00D61BD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2061781">
              <wp:simplePos x="0" y="0"/>
              <wp:positionH relativeFrom="column">
                <wp:posOffset>1137285</wp:posOffset>
              </wp:positionH>
              <wp:positionV relativeFrom="paragraph">
                <wp:posOffset>-408940</wp:posOffset>
              </wp:positionV>
              <wp:extent cx="4897755" cy="586740"/>
              <wp:effectExtent l="0" t="0" r="0" b="381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7755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112210720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242D36AC" w14:textId="77777777" w:rsidR="00DD2DB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6A8C51DB" w:rsidR="00854FAD" w:rsidRPr="00643941" w:rsidRDefault="00854FAD" w:rsidP="00DD2DB1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786A8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ПЗН-72900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23.10.2024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DD2DB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DD2DB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86A8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406442526</w:t>
                              </w:r>
                            </w:p>
                            <w:p w14:paraId="46F472CC" w14:textId="2C11BE58" w:rsidR="00854FAD" w:rsidRPr="00854FAD" w:rsidRDefault="00854FAD" w:rsidP="00DD2DB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166EF" w:rsidRPr="009166E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32.2pt;width:385.65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112210720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242D36AC" w14:textId="77777777" w:rsidR="00DD2DB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6A8C51DB" w:rsidR="00854FAD" w:rsidRPr="00643941" w:rsidRDefault="00854FAD" w:rsidP="00DD2DB1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Pr="00786A8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ПЗН-72900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23.10.2024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DD2DB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справи </w:t>
                        </w:r>
                        <w:r w:rsidRPr="00786A8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406442526</w:t>
                        </w:r>
                      </w:p>
                      <w:p w14:paraId="46F472CC" w14:textId="2C11BE58" w:rsidR="00854FAD" w:rsidRPr="00854FAD" w:rsidRDefault="00854FAD" w:rsidP="00DD2DB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166EF" w:rsidRPr="009166E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0622903">
    <w:abstractNumId w:val="2"/>
  </w:num>
  <w:num w:numId="2" w16cid:durableId="434642071">
    <w:abstractNumId w:val="0"/>
  </w:num>
  <w:num w:numId="3" w16cid:durableId="1337030945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44CC7"/>
    <w:rsid w:val="001707E7"/>
    <w:rsid w:val="001C3C63"/>
    <w:rsid w:val="001E1EE8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00F2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86A8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166EF"/>
    <w:rsid w:val="00920863"/>
    <w:rsid w:val="009211AF"/>
    <w:rsid w:val="009946E5"/>
    <w:rsid w:val="009D6F39"/>
    <w:rsid w:val="009E5D57"/>
    <w:rsid w:val="00A21758"/>
    <w:rsid w:val="00A43048"/>
    <w:rsid w:val="00A62E96"/>
    <w:rsid w:val="00A83DF0"/>
    <w:rsid w:val="00A84736"/>
    <w:rsid w:val="00AD1EEC"/>
    <w:rsid w:val="00B12087"/>
    <w:rsid w:val="00B34DA0"/>
    <w:rsid w:val="00B3699E"/>
    <w:rsid w:val="00B4075F"/>
    <w:rsid w:val="00B777E9"/>
    <w:rsid w:val="00B9251E"/>
    <w:rsid w:val="00BA1207"/>
    <w:rsid w:val="00BB1EB0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D1A0F"/>
    <w:rsid w:val="00D073E4"/>
    <w:rsid w:val="00D61BD8"/>
    <w:rsid w:val="00D75A6C"/>
    <w:rsid w:val="00D90C0A"/>
    <w:rsid w:val="00DC31BC"/>
    <w:rsid w:val="00DC4060"/>
    <w:rsid w:val="00DD2DB1"/>
    <w:rsid w:val="00DE2073"/>
    <w:rsid w:val="00DE2B79"/>
    <w:rsid w:val="00E178E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DD2D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590D-AA74-4D69-8458-2FA4C117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>Пояснювальна записка ЮР особа</vt:lpstr>
    </vt:vector>
  </TitlesOfParts>
  <Manager>Управління землеустрою</Manager>
  <Company>ДЕПАРТАМЕНТ ЗЕМЕЛЬНИХ РЕСУРСІВ</Company>
  <LinksUpToDate>false</LinksUpToDate>
  <CharactersWithSpaces>9684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Шинкарчук Оксана Олексіївна</cp:lastModifiedBy>
  <cp:revision>62</cp:revision>
  <cp:lastPrinted>2024-11-15T12:50:00Z</cp:lastPrinted>
  <dcterms:created xsi:type="dcterms:W3CDTF">2020-11-06T14:51:00Z</dcterms:created>
  <dcterms:modified xsi:type="dcterms:W3CDTF">2024-11-15T12:52:00Z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