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384728730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384728730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50718C7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7509ED">
        <w:rPr>
          <w:b/>
          <w:bCs/>
          <w:sz w:val="24"/>
          <w:szCs w:val="24"/>
          <w:lang w:val="ru-RU"/>
        </w:rPr>
        <w:t>-75083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7509ED">
        <w:rPr>
          <w:b/>
          <w:bCs/>
          <w:sz w:val="24"/>
          <w:szCs w:val="24"/>
          <w:lang w:val="ru-RU"/>
        </w:rPr>
        <w:t>16.12.2024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F91FA68" w14:textId="32ED9D27" w:rsidR="001423EB" w:rsidRDefault="009674CE" w:rsidP="007509ED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iCs/>
          <w:sz w:val="24"/>
          <w:szCs w:val="24"/>
          <w:lang w:val="ru-RU"/>
        </w:rPr>
      </w:pPr>
      <w:r w:rsidRPr="00694D51">
        <w:rPr>
          <w:b/>
          <w:i/>
          <w:sz w:val="24"/>
          <w:szCs w:val="24"/>
        </w:rPr>
        <w:t xml:space="preserve">Про </w:t>
      </w:r>
      <w:r w:rsidR="007509ED" w:rsidRPr="007509ED">
        <w:rPr>
          <w:b/>
          <w:bCs/>
          <w:i/>
          <w:sz w:val="24"/>
          <w:szCs w:val="24"/>
        </w:rPr>
        <w:t>внесення змін</w:t>
      </w:r>
      <w:r w:rsidR="007509ED" w:rsidRPr="007509ED">
        <w:rPr>
          <w:b/>
          <w:i/>
          <w:sz w:val="24"/>
          <w:szCs w:val="24"/>
        </w:rPr>
        <w:t xml:space="preserve"> до договору оренди земельної ділянки                      </w:t>
      </w:r>
      <w:bookmarkStart w:id="0" w:name="_Hlk185251253"/>
      <w:r w:rsidR="007509ED" w:rsidRPr="007509ED">
        <w:rPr>
          <w:b/>
          <w:i/>
          <w:sz w:val="24"/>
          <w:szCs w:val="24"/>
        </w:rPr>
        <w:t xml:space="preserve">від </w:t>
      </w:r>
      <w:bookmarkStart w:id="1" w:name="_Hlk185251202"/>
      <w:r w:rsidR="007509ED" w:rsidRPr="007509ED">
        <w:rPr>
          <w:b/>
          <w:i/>
          <w:sz w:val="24"/>
          <w:szCs w:val="24"/>
        </w:rPr>
        <w:t>10 вересня 2015 року № 288</w:t>
      </w:r>
      <w:bookmarkEnd w:id="0"/>
      <w:bookmarkEnd w:id="1"/>
      <w:r w:rsidR="007509ED" w:rsidRPr="007509ED">
        <w:rPr>
          <w:b/>
          <w:i/>
          <w:sz w:val="24"/>
          <w:szCs w:val="24"/>
        </w:rPr>
        <w:t xml:space="preserve">, укладеного між Київською міською радою та </w:t>
      </w:r>
      <w:bookmarkStart w:id="2" w:name="_Hlk185250251"/>
      <w:r w:rsidR="007509ED" w:rsidRPr="007509ED">
        <w:rPr>
          <w:b/>
          <w:i/>
          <w:iCs/>
          <w:sz w:val="24"/>
          <w:szCs w:val="24"/>
        </w:rPr>
        <w:t xml:space="preserve">товариством з обмеженою відповідальністю </w:t>
      </w:r>
      <w:r w:rsidR="007509ED">
        <w:rPr>
          <w:b/>
          <w:i/>
          <w:iCs/>
          <w:sz w:val="24"/>
          <w:szCs w:val="24"/>
        </w:rPr>
        <w:t xml:space="preserve">                 </w:t>
      </w:r>
      <w:r w:rsidR="007509ED" w:rsidRPr="007509ED">
        <w:rPr>
          <w:b/>
          <w:i/>
          <w:iCs/>
          <w:sz w:val="24"/>
          <w:szCs w:val="24"/>
          <w:lang w:val="ru-RU"/>
        </w:rPr>
        <w:t>«ГДТ-КОМПАНЙОН»</w:t>
      </w:r>
      <w:bookmarkEnd w:id="2"/>
      <w:r w:rsidR="00B90D57">
        <w:rPr>
          <w:b/>
          <w:i/>
          <w:iCs/>
          <w:sz w:val="24"/>
          <w:szCs w:val="24"/>
          <w:lang w:val="ru-RU"/>
        </w:rPr>
        <w:t xml:space="preserve"> </w:t>
      </w:r>
      <w:r w:rsidR="00B90D57" w:rsidRPr="00B90D57">
        <w:rPr>
          <w:b/>
          <w:i/>
          <w:iCs/>
          <w:sz w:val="24"/>
          <w:szCs w:val="24"/>
        </w:rPr>
        <w:t>для обслуговування нежитлових приміщень</w:t>
      </w:r>
      <w:r w:rsidR="007509ED" w:rsidRPr="007509ED">
        <w:rPr>
          <w:b/>
          <w:i/>
          <w:iCs/>
          <w:sz w:val="24"/>
          <w:szCs w:val="24"/>
          <w:lang w:val="ru-RU"/>
        </w:rPr>
        <w:t xml:space="preserve"> на</w:t>
      </w:r>
      <w:r w:rsidR="007509ED">
        <w:rPr>
          <w:b/>
          <w:i/>
          <w:iCs/>
          <w:sz w:val="24"/>
          <w:szCs w:val="24"/>
          <w:lang w:val="ru-RU"/>
        </w:rPr>
        <w:t xml:space="preserve"> </w:t>
      </w:r>
      <w:r w:rsidR="007509ED" w:rsidRPr="007509ED">
        <w:rPr>
          <w:b/>
          <w:i/>
          <w:iCs/>
          <w:sz w:val="24"/>
          <w:szCs w:val="24"/>
          <w:lang w:val="ru-RU"/>
        </w:rPr>
        <w:t xml:space="preserve">просп. Червоної Калини, 73-б </w:t>
      </w:r>
      <w:r w:rsidR="00B90D57">
        <w:rPr>
          <w:b/>
          <w:i/>
          <w:iCs/>
          <w:sz w:val="24"/>
          <w:szCs w:val="24"/>
          <w:lang w:val="ru-RU"/>
        </w:rPr>
        <w:t xml:space="preserve">                                                 </w:t>
      </w:r>
      <w:r w:rsidR="007509ED" w:rsidRPr="007509ED">
        <w:rPr>
          <w:b/>
          <w:i/>
          <w:iCs/>
          <w:sz w:val="24"/>
          <w:szCs w:val="24"/>
        </w:rPr>
        <w:t xml:space="preserve"> </w:t>
      </w:r>
      <w:r w:rsidR="007509ED" w:rsidRPr="007509ED">
        <w:rPr>
          <w:b/>
          <w:i/>
          <w:iCs/>
          <w:sz w:val="24"/>
          <w:szCs w:val="24"/>
          <w:lang w:val="ru-RU"/>
        </w:rPr>
        <w:t>у Деснянському районі</w:t>
      </w:r>
      <w:r w:rsidR="007509ED" w:rsidRPr="007509ED">
        <w:rPr>
          <w:b/>
          <w:i/>
          <w:iCs/>
          <w:sz w:val="24"/>
          <w:szCs w:val="24"/>
        </w:rPr>
        <w:t xml:space="preserve"> </w:t>
      </w:r>
      <w:r w:rsidR="007509ED" w:rsidRPr="007509ED">
        <w:rPr>
          <w:b/>
          <w:i/>
          <w:iCs/>
          <w:sz w:val="24"/>
          <w:szCs w:val="24"/>
          <w:lang w:val="ru-RU"/>
        </w:rPr>
        <w:t>м. Києва</w:t>
      </w:r>
    </w:p>
    <w:p w14:paraId="4016D76E" w14:textId="77777777" w:rsidR="00B90D57" w:rsidRPr="001423EB" w:rsidRDefault="00B90D57" w:rsidP="007509ED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BC974DB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«ГДТ-КОМПАНЙОН»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7509ED">
              <w:rPr>
                <w:i/>
                <w:sz w:val="24"/>
                <w:szCs w:val="24"/>
              </w:rPr>
              <w:t>ЄДРПОУ</w:t>
            </w:r>
            <w:r w:rsidR="002B5778" w:rsidRPr="007509ED">
              <w:rPr>
                <w:i/>
                <w:sz w:val="24"/>
                <w:szCs w:val="24"/>
              </w:rPr>
              <w:t xml:space="preserve"> </w:t>
            </w:r>
            <w:r w:rsidR="000B1E6A" w:rsidRPr="007509ED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31988385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7509ED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7509ED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3993C23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НОВОСЕЛЬСЬКА ТЕТЯНА ПЕТРІВНА</w:t>
            </w:r>
          </w:p>
          <w:p w14:paraId="08A4F93D" w14:textId="5119CB45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Адреса засновника: Україна, 01134,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 Київ, </w:t>
            </w:r>
            <w:r>
              <w:rPr>
                <w:i/>
                <w:sz w:val="24"/>
                <w:szCs w:val="24"/>
                <w:lang w:val="ru-RU"/>
              </w:rPr>
              <w:t xml:space="preserve">                                      </w:t>
            </w:r>
            <w:r w:rsidRPr="007509ED">
              <w:rPr>
                <w:i/>
                <w:sz w:val="24"/>
                <w:szCs w:val="24"/>
                <w:lang w:val="ru-RU"/>
              </w:rPr>
              <w:t>вул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латоустівська </w:t>
            </w:r>
          </w:p>
          <w:p w14:paraId="3BFA4990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Розмір внеску до статутного фонду: 35 700,00 грн</w:t>
            </w:r>
          </w:p>
          <w:p w14:paraId="0BE50031" w14:textId="659805A2" w:rsid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Частка (%): 16,68</w:t>
            </w:r>
          </w:p>
          <w:p w14:paraId="381A2653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6B451A56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ГРУШКО ВІКТОР ВАЛЕНТИНОВИЧ</w:t>
            </w:r>
          </w:p>
          <w:p w14:paraId="55103A78" w14:textId="19BA5746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Адреса засновника: Україна, 04210,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 Київ, вул.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509ED">
              <w:rPr>
                <w:i/>
                <w:sz w:val="24"/>
                <w:szCs w:val="24"/>
                <w:lang w:val="ru-RU"/>
              </w:rPr>
              <w:t>Лук'яненка Левка</w:t>
            </w:r>
          </w:p>
          <w:p w14:paraId="6A9FF6B7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Розмір внеску до статутного фонду: 107 000,00 грн</w:t>
            </w:r>
          </w:p>
          <w:p w14:paraId="15C8C49E" w14:textId="1CB2DE7D" w:rsid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Частка (%): 50,00</w:t>
            </w:r>
          </w:p>
          <w:p w14:paraId="5D0F82EA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522B97B8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МИХАЛКО АНДРІЙ АНДРІЙОВИЧ</w:t>
            </w:r>
          </w:p>
          <w:p w14:paraId="6D686221" w14:textId="766078FC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Адреса засновника: Україна, 02222,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 Київ, пр</w:t>
            </w:r>
            <w:r>
              <w:rPr>
                <w:i/>
                <w:sz w:val="24"/>
                <w:szCs w:val="24"/>
                <w:lang w:val="ru-RU"/>
              </w:rPr>
              <w:t xml:space="preserve">осп. </w:t>
            </w:r>
            <w:r w:rsidRPr="007509ED">
              <w:rPr>
                <w:i/>
                <w:sz w:val="24"/>
                <w:szCs w:val="24"/>
                <w:lang w:val="ru-RU"/>
              </w:rPr>
              <w:t>Червоної Калини</w:t>
            </w:r>
          </w:p>
          <w:p w14:paraId="58898898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Розмір внеску до статутного фонду: 35 650,00 грн</w:t>
            </w:r>
          </w:p>
          <w:p w14:paraId="2F4A0BC2" w14:textId="6E0E59B9" w:rsid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Частка (%): 16,66</w:t>
            </w:r>
          </w:p>
          <w:p w14:paraId="6BAA2BA6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46B1D177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МИХАЛКО ВАЛЕРІЙ АНДРІЙОВИЧ</w:t>
            </w:r>
          </w:p>
          <w:p w14:paraId="2EBDA0B7" w14:textId="643D2079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Адреса засновника: Україна, 02064,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sz w:val="24"/>
                <w:szCs w:val="24"/>
                <w:lang w:val="ru-RU"/>
              </w:rPr>
              <w:t xml:space="preserve"> Київ, пр</w:t>
            </w:r>
            <w:r>
              <w:rPr>
                <w:i/>
                <w:sz w:val="24"/>
                <w:szCs w:val="24"/>
                <w:lang w:val="ru-RU"/>
              </w:rPr>
              <w:t xml:space="preserve">осп </w:t>
            </w:r>
            <w:r w:rsidRPr="007509ED">
              <w:rPr>
                <w:i/>
                <w:sz w:val="24"/>
                <w:szCs w:val="24"/>
                <w:lang w:val="ru-RU"/>
              </w:rPr>
              <w:t>Червоної Калини</w:t>
            </w:r>
          </w:p>
          <w:p w14:paraId="3BCB6831" w14:textId="77777777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Розмір внеску до статутного фонду: 35 650,00 грн</w:t>
            </w:r>
          </w:p>
          <w:p w14:paraId="0569063B" w14:textId="18139C8C" w:rsidR="007509ED" w:rsidRPr="007509ED" w:rsidRDefault="007509ED" w:rsidP="007509ED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>Частка (%): 16,66</w:t>
            </w:r>
          </w:p>
          <w:p w14:paraId="6643096C" w14:textId="0A150624" w:rsidR="00E94376" w:rsidRPr="00123E08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6149C8ED" w14:textId="62A1F9EA" w:rsidR="007509ED" w:rsidRPr="007509ED" w:rsidRDefault="007509ED" w:rsidP="007509ED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509ED">
              <w:rPr>
                <w:i/>
                <w:iCs/>
                <w:sz w:val="24"/>
                <w:szCs w:val="24"/>
                <w:lang w:val="ru-RU"/>
              </w:rPr>
              <w:t>ГРУШКО ВІКТОР ВАЛЕНТИНОВИЧ</w:t>
            </w:r>
            <w:r w:rsidRPr="007509ED">
              <w:rPr>
                <w:i/>
                <w:iCs/>
                <w:sz w:val="24"/>
                <w:szCs w:val="24"/>
                <w:lang w:val="ru-RU"/>
              </w:rPr>
              <w:br/>
              <w:t>Україна, 04210, м</w:t>
            </w:r>
            <w:r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7509ED">
              <w:rPr>
                <w:i/>
                <w:iCs/>
                <w:sz w:val="24"/>
                <w:szCs w:val="24"/>
                <w:lang w:val="ru-RU"/>
              </w:rPr>
              <w:t xml:space="preserve"> Київ, вул.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509ED">
              <w:rPr>
                <w:i/>
                <w:iCs/>
                <w:sz w:val="24"/>
                <w:szCs w:val="24"/>
                <w:lang w:val="ru-RU"/>
              </w:rPr>
              <w:t>Лук'яненка Левка</w:t>
            </w:r>
          </w:p>
          <w:p w14:paraId="66AE0868" w14:textId="77777777" w:rsidR="007509ED" w:rsidRPr="007509ED" w:rsidRDefault="007509ED" w:rsidP="007509ED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509ED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 Прямий вирішальний вплив</w:t>
            </w:r>
          </w:p>
          <w:p w14:paraId="3D857598" w14:textId="77777777" w:rsidR="007509ED" w:rsidRPr="007509ED" w:rsidRDefault="007509ED" w:rsidP="007509ED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509ED">
              <w:rPr>
                <w:i/>
                <w:iCs/>
                <w:sz w:val="24"/>
                <w:szCs w:val="24"/>
                <w:lang w:val="ru-RU"/>
              </w:rPr>
              <w:t>Відсоток частки статутного капіталу або відсоток права голосу: 50</w:t>
            </w:r>
          </w:p>
          <w:p w14:paraId="1C7A8B69" w14:textId="1850729E" w:rsidR="00E94376" w:rsidRPr="007509ED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7509ED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66E965FC" w:rsidR="00E94376" w:rsidRPr="00694D51" w:rsidRDefault="007509ED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F10E2A">
              <w:rPr>
                <w:b/>
                <w:i/>
                <w:sz w:val="24"/>
                <w:szCs w:val="24"/>
              </w:rPr>
              <w:t>від 04.12.2024 № 08/49722</w:t>
            </w:r>
            <w:r w:rsidR="002F3059">
              <w:rPr>
                <w:b/>
                <w:i/>
                <w:sz w:val="24"/>
                <w:szCs w:val="24"/>
              </w:rPr>
              <w:t xml:space="preserve"> (</w:t>
            </w:r>
            <w:r w:rsidR="002F3059" w:rsidRPr="002F3059">
              <w:rPr>
                <w:b/>
                <w:i/>
                <w:sz w:val="24"/>
                <w:szCs w:val="24"/>
              </w:rPr>
              <w:t xml:space="preserve">справа  № </w:t>
            </w:r>
            <w:r w:rsidR="002F3059" w:rsidRPr="002F3059">
              <w:rPr>
                <w:b/>
                <w:i/>
                <w:iCs/>
                <w:sz w:val="24"/>
                <w:szCs w:val="24"/>
              </w:rPr>
              <w:t>384728730</w:t>
            </w:r>
            <w:r w:rsidR="002F3059">
              <w:rPr>
                <w:b/>
                <w:i/>
                <w:iCs/>
                <w:sz w:val="24"/>
                <w:szCs w:val="24"/>
              </w:rPr>
              <w:t>)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8000000000:62:009:0182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54AF13C8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просп. Червоної </w:t>
            </w:r>
            <w:r w:rsidR="007509ED">
              <w:rPr>
                <w:b/>
                <w:i/>
                <w:sz w:val="24"/>
                <w:szCs w:val="24"/>
                <w:shd w:val="clear" w:color="auto" w:fill="FFFFFF"/>
              </w:rPr>
              <w:t>К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алини, 73-б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7509ED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0,0706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1561B4A6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7509ED">
              <w:rPr>
                <w:b/>
                <w:i/>
                <w:sz w:val="24"/>
                <w:szCs w:val="24"/>
                <w:lang w:val="ru-RU"/>
              </w:rPr>
              <w:t>20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7509ED">
              <w:rPr>
                <w:b/>
                <w:i/>
                <w:sz w:val="24"/>
                <w:szCs w:val="24"/>
              </w:rPr>
              <w:t>внесення змін</w:t>
            </w:r>
            <w:r w:rsidR="00110A89">
              <w:rPr>
                <w:b/>
                <w:i/>
                <w:sz w:val="24"/>
                <w:szCs w:val="24"/>
              </w:rPr>
              <w:t xml:space="preserve"> до договору оренди</w:t>
            </w:r>
            <w:r w:rsidR="007509E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7536CFA" w:rsidR="00A76171" w:rsidRPr="00B90D57" w:rsidRDefault="000B0B65" w:rsidP="00B90D5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03.08</w:t>
            </w:r>
            <w:r w:rsidR="005769B6" w:rsidRPr="007509ED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7509ED">
              <w:rPr>
                <w:b/>
                <w:i/>
                <w:sz w:val="24"/>
                <w:szCs w:val="24"/>
                <w:lang w:val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 w:rsidRPr="007509ED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7509ED">
              <w:rPr>
                <w:b/>
                <w:i/>
                <w:sz w:val="24"/>
                <w:szCs w:val="24"/>
                <w:lang w:val="ru-RU"/>
              </w:rPr>
              <w:t>для обслуговування нежитлових приміщень</w:t>
            </w:r>
            <w:r w:rsidRPr="007509ED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lastRenderedPageBreak/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605BF4C8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розрахунком)</w:t>
            </w:r>
          </w:p>
        </w:tc>
        <w:tc>
          <w:tcPr>
            <w:tcW w:w="6662" w:type="dxa"/>
            <w:shd w:val="clear" w:color="auto" w:fill="FFFFFF"/>
          </w:tcPr>
          <w:p w14:paraId="0DCAEE6E" w14:textId="1B5D4AB1" w:rsidR="006D7E33" w:rsidRPr="00056A2A" w:rsidRDefault="007509ED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7509E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4 409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509E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963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7509E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41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Pr="007509ED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3AE2593" w14:textId="77777777" w:rsidR="007509ED" w:rsidRPr="00553E8C" w:rsidRDefault="007509E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7E6CC4E6" w:rsidR="006A19DF" w:rsidRPr="00772C24" w:rsidRDefault="006A19DF" w:rsidP="00F234CE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</w:t>
      </w:r>
      <w:r w:rsidR="00F234CE">
        <w:rPr>
          <w:rFonts w:ascii="Times New Roman" w:hAnsi="Times New Roman" w:cs="Times New Roman"/>
        </w:rPr>
        <w:t>,</w:t>
      </w:r>
      <w:r w:rsidRPr="00772C24">
        <w:rPr>
          <w:rFonts w:ascii="Times New Roman" w:hAnsi="Times New Roman" w:cs="Times New Roman"/>
        </w:rPr>
        <w:t xml:space="preserve"> </w:t>
      </w:r>
      <w:r w:rsidR="00F234CE" w:rsidRPr="00F10E2A">
        <w:rPr>
          <w:rFonts w:ascii="Times New Roman" w:hAnsi="Times New Roman" w:cs="Times New Roman"/>
        </w:rPr>
        <w:t>Цивільного кодексу України</w:t>
      </w:r>
      <w:r w:rsidR="00B90D57">
        <w:rPr>
          <w:rFonts w:ascii="Times New Roman" w:hAnsi="Times New Roman" w:cs="Times New Roman"/>
        </w:rPr>
        <w:t>,</w:t>
      </w:r>
      <w:r w:rsidRPr="00772C24">
        <w:rPr>
          <w:rFonts w:ascii="Times New Roman" w:hAnsi="Times New Roman" w:cs="Times New Roman"/>
        </w:rPr>
        <w:t xml:space="preserve"> </w:t>
      </w:r>
      <w:r w:rsidR="00F234CE" w:rsidRPr="00F10E2A">
        <w:rPr>
          <w:rFonts w:ascii="Times New Roman" w:hAnsi="Times New Roman" w:cs="Times New Roman"/>
        </w:rPr>
        <w:t>підпункт</w:t>
      </w:r>
      <w:r w:rsidR="00B90D57">
        <w:rPr>
          <w:rFonts w:ascii="Times New Roman" w:hAnsi="Times New Roman" w:cs="Times New Roman"/>
        </w:rPr>
        <w:t>у</w:t>
      </w:r>
      <w:r w:rsidR="00F234CE" w:rsidRPr="00F10E2A">
        <w:rPr>
          <w:rFonts w:ascii="Times New Roman" w:hAnsi="Times New Roman" w:cs="Times New Roman"/>
        </w:rPr>
        <w:t xml:space="preserve"> 11.1 пункту 11 договору оренди земельної ділянки від </w:t>
      </w:r>
      <w:r w:rsidR="00F234CE" w:rsidRPr="00F10E2A">
        <w:rPr>
          <w:rFonts w:ascii="Times New Roman" w:hAnsi="Times New Roman" w:cs="Times New Roman"/>
          <w:bCs/>
        </w:rPr>
        <w:t>10 вересня 2015 року</w:t>
      </w:r>
      <w:r w:rsidR="00F234CE">
        <w:rPr>
          <w:rFonts w:ascii="Times New Roman" w:hAnsi="Times New Roman" w:cs="Times New Roman"/>
          <w:bCs/>
        </w:rPr>
        <w:t xml:space="preserve"> </w:t>
      </w:r>
      <w:r w:rsidR="00F234CE" w:rsidRPr="00F10E2A">
        <w:rPr>
          <w:rFonts w:ascii="Times New Roman" w:hAnsi="Times New Roman" w:cs="Times New Roman"/>
          <w:bCs/>
        </w:rPr>
        <w:t>№ 288</w:t>
      </w:r>
      <w:r w:rsidR="00110A89">
        <w:rPr>
          <w:rFonts w:ascii="Times New Roman" w:hAnsi="Times New Roman" w:cs="Times New Roman"/>
          <w:bCs/>
        </w:rPr>
        <w:t>,</w:t>
      </w:r>
      <w:r w:rsidR="00F234CE">
        <w:rPr>
          <w:rFonts w:ascii="Times New Roman" w:hAnsi="Times New Roman" w:cs="Times New Roman"/>
          <w:bCs/>
        </w:rPr>
        <w:t xml:space="preserve"> </w:t>
      </w:r>
      <w:r w:rsidRPr="00772C24">
        <w:rPr>
          <w:rFonts w:ascii="Times New Roman" w:hAnsi="Times New Roman" w:cs="Times New Roman"/>
        </w:rPr>
        <w:t>Департаментом земельних ресурсів виконавчого органу Київської міської ради (Київської міської державної адміністрації)</w:t>
      </w:r>
      <w:r w:rsidR="00F234CE">
        <w:rPr>
          <w:rFonts w:ascii="Times New Roman" w:hAnsi="Times New Roman" w:cs="Times New Roman"/>
        </w:rPr>
        <w:t xml:space="preserve"> (далі – Департамент)</w:t>
      </w:r>
      <w:r w:rsidRPr="00772C24">
        <w:rPr>
          <w:rFonts w:ascii="Times New Roman" w:hAnsi="Times New Roman" w:cs="Times New Roman"/>
        </w:rPr>
        <w:t xml:space="preserve">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260C187F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bookmarkStart w:id="3" w:name="_Hlk185508815"/>
      <w:r w:rsidRPr="00037B84">
        <w:rPr>
          <w:i w:val="0"/>
          <w:sz w:val="24"/>
          <w:szCs w:val="24"/>
        </w:rPr>
        <w:t xml:space="preserve">Метою прийняття рішення є забезпечення реалізації </w:t>
      </w:r>
      <w:bookmarkStart w:id="4" w:name="_Hlk185508839"/>
      <w:r w:rsidR="00110A89">
        <w:rPr>
          <w:i w:val="0"/>
          <w:sz w:val="24"/>
          <w:szCs w:val="24"/>
        </w:rPr>
        <w:t>сторонами договору своїх прав на зміну його умов.</w:t>
      </w:r>
      <w:bookmarkEnd w:id="4"/>
    </w:p>
    <w:bookmarkEnd w:id="3"/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F234CE">
        <w:trPr>
          <w:cantSplit/>
          <w:trHeight w:val="1782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6ECF8F4B" w:rsidR="00823CCF" w:rsidRPr="00EE137E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F234CE">
              <w:rPr>
                <w:b w:val="0"/>
                <w:bCs w:val="0"/>
                <w:i/>
                <w:sz w:val="24"/>
                <w:szCs w:val="24"/>
              </w:rPr>
              <w:t xml:space="preserve">Відповідно до </w:t>
            </w:r>
            <w:r w:rsidR="00110A89">
              <w:rPr>
                <w:b w:val="0"/>
                <w:bCs w:val="0"/>
                <w:i/>
                <w:sz w:val="24"/>
                <w:szCs w:val="24"/>
              </w:rPr>
              <w:t>Р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 xml:space="preserve">еєстру прав </w:t>
            </w:r>
            <w:r w:rsidR="00110A89">
              <w:rPr>
                <w:b w:val="0"/>
                <w:bCs w:val="0"/>
                <w:i/>
                <w:sz w:val="24"/>
                <w:szCs w:val="24"/>
              </w:rPr>
              <w:t xml:space="preserve">власності 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>на нерухоме майно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 xml:space="preserve"> Товариству на праві приватної власності належать нежилі приміщення №№ 2, 3, 4, 5, 6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>90,3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 xml:space="preserve"> кв.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>, які розташовані на просп. Червоної Калини, 73б</w:t>
            </w:r>
            <w:r w:rsidRPr="00F234CE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майна 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 xml:space="preserve">35933317, номер запису: 10831-П в книзі: 231 </w:t>
            </w:r>
            <w:r w:rsidR="00110A89">
              <w:rPr>
                <w:b w:val="0"/>
                <w:bCs w:val="0"/>
                <w:i/>
                <w:sz w:val="24"/>
                <w:szCs w:val="24"/>
              </w:rPr>
              <w:t xml:space="preserve">                 </w:t>
            </w:r>
            <w:r w:rsidR="00F234CE">
              <w:rPr>
                <w:b w:val="0"/>
                <w:bCs w:val="0"/>
                <w:i/>
                <w:sz w:val="24"/>
                <w:szCs w:val="24"/>
              </w:rPr>
              <w:t>п-114 від 02.02.2012).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76A9330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</w:t>
            </w:r>
            <w:r w:rsidR="00056A2A" w:rsidRPr="00EE137E">
              <w:rPr>
                <w:b w:val="0"/>
                <w:bCs w:val="0"/>
                <w:i/>
                <w:sz w:val="24"/>
                <w:szCs w:val="24"/>
              </w:rPr>
              <w:t>затверджений рішенн</w:t>
            </w:r>
            <w:r w:rsidR="00EF09DB" w:rsidRPr="00EE137E">
              <w:rPr>
                <w:b w:val="0"/>
                <w:bCs w:val="0"/>
                <w:i/>
                <w:sz w:val="24"/>
                <w:szCs w:val="24"/>
              </w:rPr>
              <w:t>ям Київської міської ради від</w:t>
            </w:r>
            <w:r w:rsidR="00981271">
              <w:rPr>
                <w:b w:val="0"/>
                <w:bCs w:val="0"/>
                <w:i/>
                <w:sz w:val="24"/>
                <w:szCs w:val="24"/>
              </w:rPr>
              <w:t xml:space="preserve"> 26.06.2018 № 992/5056 «Про затвердження детального плану території в межах вулиць Оноре де Бальзака, Милославської, Миколи Закревського, Олександра Сабурова у Деснянського районі м. Києва».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13779B8" w:rsidR="00823CCF" w:rsidRPr="00EE137E" w:rsidRDefault="00F234C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F234CE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234C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73866E95" w:rsidR="006A19DF" w:rsidRPr="00EE137E" w:rsidRDefault="00981271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81271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0646401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7509ED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7509ED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03.08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A76171" w:rsidRPr="00037B84" w14:paraId="31941B19" w14:textId="77777777" w:rsidTr="00430CA4">
        <w:trPr>
          <w:cantSplit/>
          <w:trHeight w:val="1413"/>
        </w:trPr>
        <w:tc>
          <w:tcPr>
            <w:tcW w:w="2972" w:type="dxa"/>
          </w:tcPr>
          <w:p w14:paraId="410D6E3A" w14:textId="4E897ABF" w:rsidR="00A76171" w:rsidRPr="002F2D3F" w:rsidRDefault="00A7617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A85DD6B" w14:textId="1CB44DF0" w:rsidR="00A76171" w:rsidRDefault="00A76171" w:rsidP="00A76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10.12.2014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601/601 передана в довгострокову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10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="00B90D57" w:rsidRPr="00B90D57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для обслуговування нежитлових приміщень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10.09.2015 </w:t>
            </w:r>
            <w:r w:rsidR="00B90D5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№ 288).</w:t>
            </w:r>
          </w:p>
          <w:p w14:paraId="7C8C55F7" w14:textId="77777777" w:rsidR="00A76171" w:rsidRDefault="00A76171" w:rsidP="00A76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10.09.2025.</w:t>
            </w:r>
          </w:p>
          <w:p w14:paraId="490A5CC4" w14:textId="77777777" w:rsidR="00A76171" w:rsidRPr="00EE137E" w:rsidRDefault="00A76171" w:rsidP="00A76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3B4A6F14" w14:textId="796ACA32" w:rsidR="00A76171" w:rsidRPr="003F1E3E" w:rsidRDefault="00A76171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2</w:t>
            </w:r>
            <w:r w:rsidR="00110A89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.08.2022 № 4946/4987 проспект Володимира Маяковського перейменовано на проспект Червоної Калини у Деснянському районі міста Києва.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2AEFD9F6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741134DA" w14:textId="493D2256" w:rsidR="00A76171" w:rsidRPr="00A76171" w:rsidRDefault="00A76171" w:rsidP="00A761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A76171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 w:rsidR="00110A89">
              <w:rPr>
                <w:rFonts w:ascii="Times New Roman" w:hAnsi="Times New Roman" w:cs="Times New Roman"/>
                <w:i/>
              </w:rPr>
              <w:t>з питань землекористування</w:t>
            </w:r>
            <w:r w:rsidRPr="00A76171">
              <w:rPr>
                <w:rFonts w:ascii="Times New Roman" w:hAnsi="Times New Roman" w:cs="Times New Roman"/>
                <w:i/>
              </w:rPr>
              <w:t xml:space="preserve"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325843C" w14:textId="77777777" w:rsidR="00A76171" w:rsidRPr="00A76171" w:rsidRDefault="00A76171" w:rsidP="00A761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  <w:p w14:paraId="614EC125" w14:textId="77777777" w:rsidR="00A76171" w:rsidRPr="00A76171" w:rsidRDefault="00A76171" w:rsidP="00A761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A76171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5548FFF" w14:textId="77777777" w:rsidR="00A76171" w:rsidRPr="00A76171" w:rsidRDefault="00A76171" w:rsidP="00A761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A7617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1CEF3E" w14:textId="3824DE2A" w:rsidR="00DE0E7B" w:rsidRPr="001D49C8" w:rsidRDefault="00A76171" w:rsidP="00A76171">
            <w:pPr>
              <w:jc w:val="both"/>
              <w:rPr>
                <w:lang w:val="ru-RU"/>
              </w:rPr>
            </w:pPr>
            <w:r w:rsidRPr="00A76171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14B6D84" w:rsidR="006A19DF" w:rsidRDefault="00A76171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A76171">
        <w:rPr>
          <w:i w:val="0"/>
          <w:sz w:val="24"/>
          <w:szCs w:val="24"/>
        </w:rPr>
        <w:t xml:space="preserve">Загальні засади та порядок внесення змін до договорів оренди земельних ділянок визначено статтею 651 Цивільного кодексу України, статтею 30 Закону України «Про оренду землі» </w:t>
      </w:r>
      <w:r w:rsidR="001D49C8" w:rsidRPr="001D49C8">
        <w:rPr>
          <w:i w:val="0"/>
          <w:sz w:val="24"/>
          <w:szCs w:val="24"/>
        </w:rPr>
        <w:t>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 xml:space="preserve">кт рішення </w:t>
      </w:r>
      <w:r w:rsidRPr="00A76171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E8544C">
        <w:rPr>
          <w:rFonts w:ascii="Times New Roman" w:eastAsia="Times New Roman" w:hAnsi="Times New Roman" w:cs="Times New Roman"/>
          <w:iCs/>
        </w:rPr>
        <w:t xml:space="preserve">Проєкт рішення </w:t>
      </w:r>
      <w:r w:rsidRPr="00A76171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76FCB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r w:rsidRPr="00E76FCB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94359F4" w14:textId="77777777" w:rsidR="00A76171" w:rsidRPr="00037B84" w:rsidRDefault="00A76171" w:rsidP="00A76171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E689DE7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A76171" w:rsidRPr="00A76171">
        <w:rPr>
          <w:b/>
          <w:sz w:val="24"/>
          <w:szCs w:val="24"/>
          <w:shd w:val="clear" w:color="auto" w:fill="FFFFFF"/>
        </w:rPr>
        <w:t>220</w:t>
      </w:r>
      <w:r w:rsidR="00A76171">
        <w:rPr>
          <w:b/>
          <w:sz w:val="24"/>
          <w:szCs w:val="24"/>
          <w:shd w:val="clear" w:color="auto" w:fill="FFFFFF"/>
          <w:lang w:val="en-US"/>
        </w:rPr>
        <w:t> </w:t>
      </w:r>
      <w:r w:rsidR="00A76171" w:rsidRPr="00A76171">
        <w:rPr>
          <w:b/>
          <w:sz w:val="24"/>
          <w:szCs w:val="24"/>
          <w:shd w:val="clear" w:color="auto" w:fill="FFFFFF"/>
        </w:rPr>
        <w:t>498</w:t>
      </w:r>
      <w:r w:rsidR="00A76171">
        <w:rPr>
          <w:b/>
          <w:sz w:val="24"/>
          <w:szCs w:val="24"/>
          <w:shd w:val="clear" w:color="auto" w:fill="FFFFFF"/>
        </w:rPr>
        <w:t xml:space="preserve"> грн </w:t>
      </w:r>
      <w:r w:rsidR="00A76171" w:rsidRPr="00A76171">
        <w:rPr>
          <w:b/>
          <w:sz w:val="24"/>
          <w:szCs w:val="24"/>
          <w:shd w:val="clear" w:color="auto" w:fill="FFFFFF"/>
        </w:rPr>
        <w:t xml:space="preserve">17 </w:t>
      </w:r>
      <w:r w:rsidR="00A76171">
        <w:rPr>
          <w:b/>
          <w:sz w:val="24"/>
          <w:szCs w:val="24"/>
          <w:shd w:val="clear" w:color="auto" w:fill="FFFFFF"/>
        </w:rPr>
        <w:t>коп.</w:t>
      </w:r>
      <w:r w:rsidR="00A76171" w:rsidRPr="00A76171">
        <w:rPr>
          <w:b/>
          <w:sz w:val="24"/>
          <w:szCs w:val="24"/>
          <w:shd w:val="clear" w:color="auto" w:fill="FFFFFF"/>
        </w:rPr>
        <w:t xml:space="preserve"> (5%)</w:t>
      </w:r>
      <w:r w:rsidR="00A76171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12BA31AC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</w:t>
      </w:r>
      <w:r w:rsidR="00110A89" w:rsidRPr="00110A89">
        <w:rPr>
          <w:i w:val="0"/>
          <w:sz w:val="24"/>
          <w:szCs w:val="24"/>
        </w:rPr>
        <w:t>сторонами договору своїх прав на зміну його умов</w:t>
      </w:r>
      <w:r w:rsidR="00A76171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7509ED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A76171">
      <w:headerReference w:type="default" r:id="rId11"/>
      <w:footerReference w:type="default" r:id="rId12"/>
      <w:pgSz w:w="11907" w:h="16839" w:code="9"/>
      <w:pgMar w:top="142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7509ED">
          <w:rPr>
            <w:i w:val="0"/>
            <w:sz w:val="12"/>
            <w:szCs w:val="12"/>
            <w:lang w:val="ru-RU"/>
          </w:rPr>
          <w:t>-75083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7509ED">
          <w:rPr>
            <w:i w:val="0"/>
            <w:sz w:val="12"/>
            <w:szCs w:val="12"/>
            <w:lang w:val="ru-RU"/>
          </w:rPr>
          <w:t>16.12.2024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7509ED">
          <w:rPr>
            <w:i w:val="0"/>
            <w:sz w:val="12"/>
            <w:szCs w:val="12"/>
            <w:lang w:val="ru-RU"/>
          </w:rPr>
          <w:t>384728730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1202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0A89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57CF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2F3059"/>
    <w:rsid w:val="00303CF1"/>
    <w:rsid w:val="00316BBB"/>
    <w:rsid w:val="00333098"/>
    <w:rsid w:val="0033417F"/>
    <w:rsid w:val="00343979"/>
    <w:rsid w:val="003525A6"/>
    <w:rsid w:val="0035749D"/>
    <w:rsid w:val="0037666B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9D9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453A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09ED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1271"/>
    <w:rsid w:val="00982A07"/>
    <w:rsid w:val="009C1880"/>
    <w:rsid w:val="009D548A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76171"/>
    <w:rsid w:val="00A87093"/>
    <w:rsid w:val="00AA7C24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90D57"/>
    <w:rsid w:val="00BA5124"/>
    <w:rsid w:val="00BF1120"/>
    <w:rsid w:val="00C241ED"/>
    <w:rsid w:val="00C24AB0"/>
    <w:rsid w:val="00C414E0"/>
    <w:rsid w:val="00C50743"/>
    <w:rsid w:val="00C53A8A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6FCB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4CE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7509E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5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4017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882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6905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15</cp:revision>
  <cp:lastPrinted>2021-11-25T14:16:00Z</cp:lastPrinted>
  <dcterms:created xsi:type="dcterms:W3CDTF">2024-02-20T12:49:00Z</dcterms:created>
  <dcterms:modified xsi:type="dcterms:W3CDTF">2024-12-19T12:02:00Z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2024-12-16T13:43:29Z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e462691f-dfa5-4a10-bcc4-87c64c438cb8</vt:lpwstr>
  </property>
  <property fmtid="{D5CDD505-2E9C-101B-9397-08002B2CF9AE}" pid="8" name="MSIP_Label_defa4170-0d19-0005-0004-bc88714345d2_ContentBits">
    <vt:lpwstr>0</vt:lpwstr>
  </property>
</Properties>
</file>