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77777777" w:rsidR="00125855" w:rsidRPr="00C65838" w:rsidRDefault="00125855" w:rsidP="00125855">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561B0CC2">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383920430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383920430</w:t>
                      </w:r>
                    </w:p>
                  </w:txbxContent>
                </v:textbox>
              </v:shape>
            </w:pict>
          </mc:Fallback>
        </mc:AlternateContent>
      </w:r>
    </w:p>
    <w:tbl>
      <w:tblPr>
        <w:tblW w:w="0" w:type="auto"/>
        <w:tblLook w:val="01E0" w:firstRow="1" w:lastRow="1" w:firstColumn="1" w:lastColumn="1" w:noHBand="0" w:noVBand="0"/>
      </w:tblPr>
      <w:tblGrid>
        <w:gridCol w:w="5495"/>
      </w:tblGrid>
      <w:tr w:rsidR="00DE4A20" w:rsidRPr="00D26E44" w14:paraId="39883B9B" w14:textId="77777777" w:rsidTr="00455F47">
        <w:trPr>
          <w:trHeight w:val="2500"/>
        </w:trPr>
        <w:tc>
          <w:tcPr>
            <w:tcW w:w="5495" w:type="dxa"/>
            <w:hideMark/>
          </w:tcPr>
          <w:p w14:paraId="0B182D23" w14:textId="40BA2356" w:rsidR="00F6318B" w:rsidRPr="00DE4A20" w:rsidRDefault="0009503E" w:rsidP="00D26E44">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7633F4" w:rsidRPr="00A83380">
              <w:rPr>
                <w:b/>
                <w:color w:val="000000" w:themeColor="text1"/>
                <w:sz w:val="28"/>
                <w:szCs w:val="28"/>
              </w:rPr>
              <w:t>передачу</w:t>
            </w:r>
            <w:r w:rsidR="00A127D2" w:rsidRPr="00DE4A20">
              <w:rPr>
                <w:b/>
                <w:color w:val="000000" w:themeColor="text1"/>
                <w:sz w:val="28"/>
                <w:szCs w:val="28"/>
              </w:rPr>
              <w:t xml:space="preserve"> </w:t>
            </w:r>
            <w:r w:rsidR="00A264FD" w:rsidRPr="00DE4A20">
              <w:rPr>
                <w:b/>
                <w:color w:val="000000" w:themeColor="text1"/>
                <w:sz w:val="28"/>
                <w:szCs w:val="28"/>
              </w:rPr>
              <w:t>ТОВАРИСТВ</w:t>
            </w:r>
            <w:r w:rsidR="00A83380">
              <w:rPr>
                <w:b/>
                <w:color w:val="000000" w:themeColor="text1"/>
                <w:sz w:val="28"/>
                <w:szCs w:val="28"/>
              </w:rPr>
              <w:t>У</w:t>
            </w:r>
            <w:r w:rsidR="00A264FD" w:rsidRPr="00DE4A20">
              <w:rPr>
                <w:b/>
                <w:color w:val="000000" w:themeColor="text1"/>
                <w:sz w:val="28"/>
                <w:szCs w:val="28"/>
              </w:rPr>
              <w:t xml:space="preserve"> З ОБМЕЖЕНОЮ ВІДПОВІДАЛЬНІСТЮ «АСТЕРАУС»</w:t>
            </w:r>
            <w:r w:rsidR="00A83380">
              <w:rPr>
                <w:b/>
                <w:color w:val="000000" w:themeColor="text1"/>
                <w:sz w:val="28"/>
                <w:szCs w:val="28"/>
              </w:rPr>
              <w:t xml:space="preserve"> </w:t>
            </w:r>
            <w:r w:rsidR="00B563DC" w:rsidRPr="00DE4A20">
              <w:rPr>
                <w:b/>
                <w:color w:val="000000" w:themeColor="text1"/>
                <w:sz w:val="28"/>
                <w:szCs w:val="28"/>
              </w:rPr>
              <w:t>земельн</w:t>
            </w:r>
            <w:r w:rsidR="00D26E44">
              <w:rPr>
                <w:b/>
                <w:color w:val="000000" w:themeColor="text1"/>
                <w:sz w:val="28"/>
                <w:szCs w:val="28"/>
              </w:rPr>
              <w:t>их</w:t>
            </w:r>
            <w:r w:rsidR="00B563DC" w:rsidRPr="00DE4A20">
              <w:rPr>
                <w:b/>
                <w:color w:val="000000" w:themeColor="text1"/>
                <w:sz w:val="28"/>
                <w:szCs w:val="28"/>
              </w:rPr>
              <w:t xml:space="preserve"> ділян</w:t>
            </w:r>
            <w:r w:rsidR="00D26E44">
              <w:rPr>
                <w:b/>
                <w:color w:val="000000" w:themeColor="text1"/>
                <w:sz w:val="28"/>
                <w:szCs w:val="28"/>
              </w:rPr>
              <w:t>ок</w:t>
            </w:r>
            <w:r w:rsidR="00B563DC" w:rsidRPr="00DE4A20">
              <w:rPr>
                <w:b/>
                <w:color w:val="000000" w:themeColor="text1"/>
                <w:sz w:val="28"/>
                <w:szCs w:val="28"/>
              </w:rPr>
              <w:t xml:space="preserve"> </w:t>
            </w:r>
            <w:r w:rsidR="00A83380">
              <w:rPr>
                <w:b/>
                <w:color w:val="000000" w:themeColor="text1"/>
                <w:sz w:val="28"/>
                <w:szCs w:val="28"/>
              </w:rPr>
              <w:t xml:space="preserve">в оренду </w:t>
            </w:r>
            <w:r w:rsidR="00A264FD" w:rsidRPr="00A83380">
              <w:rPr>
                <w:color w:val="000000" w:themeColor="text1"/>
              </w:rPr>
              <w:t xml:space="preserve"> </w:t>
            </w:r>
            <w:r w:rsidR="00A83380" w:rsidRPr="00A83380">
              <w:rPr>
                <w:b/>
                <w:color w:val="000000" w:themeColor="text1"/>
                <w:sz w:val="28"/>
                <w:szCs w:val="28"/>
              </w:rPr>
              <w:t xml:space="preserve">для розміщення, обслуговування лінійних об’єктів </w:t>
            </w:r>
            <w:r w:rsidR="00A83380">
              <w:rPr>
                <w:b/>
                <w:color w:val="000000" w:themeColor="text1"/>
                <w:sz w:val="28"/>
                <w:szCs w:val="28"/>
              </w:rPr>
              <w:t xml:space="preserve">енергетичної, </w:t>
            </w:r>
            <w:r w:rsidR="00A83380" w:rsidRPr="00A83380">
              <w:rPr>
                <w:b/>
                <w:color w:val="000000" w:themeColor="text1"/>
                <w:sz w:val="28"/>
                <w:szCs w:val="28"/>
              </w:rPr>
              <w:t>транспортної інфраструктури</w:t>
            </w:r>
            <w:r w:rsidR="00A83380">
              <w:rPr>
                <w:b/>
                <w:color w:val="000000" w:themeColor="text1"/>
                <w:sz w:val="28"/>
                <w:szCs w:val="28"/>
              </w:rPr>
              <w:t xml:space="preserve"> (крім об</w:t>
            </w:r>
            <w:r w:rsidR="00A83380" w:rsidRPr="00A83380">
              <w:rPr>
                <w:b/>
                <w:color w:val="000000" w:themeColor="text1"/>
                <w:sz w:val="28"/>
                <w:szCs w:val="28"/>
              </w:rPr>
              <w:t>’</w:t>
            </w:r>
            <w:r w:rsidR="00A83380">
              <w:rPr>
                <w:b/>
                <w:color w:val="000000" w:themeColor="text1"/>
                <w:sz w:val="28"/>
                <w:szCs w:val="28"/>
              </w:rPr>
              <w:t xml:space="preserve">єктів дорожнього сервісу) </w:t>
            </w:r>
            <w:r w:rsidR="00455F47">
              <w:rPr>
                <w:b/>
                <w:color w:val="000000" w:themeColor="text1"/>
                <w:sz w:val="28"/>
                <w:szCs w:val="28"/>
              </w:rPr>
              <w:t>(заїзди-</w:t>
            </w:r>
            <w:r w:rsidR="00A83380" w:rsidRPr="00A83380">
              <w:rPr>
                <w:b/>
                <w:color w:val="000000" w:themeColor="text1"/>
                <w:sz w:val="28"/>
                <w:szCs w:val="28"/>
              </w:rPr>
              <w:t>виїзди)</w:t>
            </w:r>
            <w:r w:rsidR="00FB314E" w:rsidRPr="00A83380">
              <w:rPr>
                <w:b/>
                <w:iCs/>
                <w:color w:val="000000" w:themeColor="text1"/>
                <w:sz w:val="28"/>
                <w:szCs w:val="28"/>
              </w:rPr>
              <w:t xml:space="preserve"> </w:t>
            </w:r>
            <w:r w:rsidRPr="00A83380">
              <w:rPr>
                <w:b/>
                <w:color w:val="000000" w:themeColor="text1"/>
                <w:sz w:val="28"/>
                <w:szCs w:val="28"/>
              </w:rPr>
              <w:t xml:space="preserve">на </w:t>
            </w:r>
            <w:r w:rsidR="0001227E" w:rsidRPr="00A83380">
              <w:rPr>
                <w:b/>
                <w:iCs/>
                <w:color w:val="000000" w:themeColor="text1"/>
                <w:sz w:val="28"/>
                <w:szCs w:val="28"/>
              </w:rPr>
              <w:t>просп. Берестейськ</w:t>
            </w:r>
            <w:r w:rsidR="00A83380">
              <w:rPr>
                <w:b/>
                <w:iCs/>
                <w:color w:val="000000" w:themeColor="text1"/>
                <w:sz w:val="28"/>
                <w:szCs w:val="28"/>
              </w:rPr>
              <w:t>ому</w:t>
            </w:r>
            <w:r w:rsidR="0001227E" w:rsidRPr="00A83380">
              <w:rPr>
                <w:b/>
                <w:iCs/>
                <w:color w:val="000000" w:themeColor="text1"/>
                <w:sz w:val="28"/>
                <w:szCs w:val="28"/>
              </w:rPr>
              <w:t>, 160-А</w:t>
            </w:r>
            <w:r w:rsidR="00032E6C" w:rsidRPr="00A83380">
              <w:rPr>
                <w:b/>
                <w:iCs/>
                <w:color w:val="000000" w:themeColor="text1"/>
                <w:sz w:val="28"/>
                <w:szCs w:val="28"/>
              </w:rPr>
              <w:t xml:space="preserve"> </w:t>
            </w:r>
            <w:r w:rsidRPr="00A83380">
              <w:rPr>
                <w:b/>
                <w:color w:val="000000" w:themeColor="text1"/>
                <w:sz w:val="28"/>
                <w:szCs w:val="28"/>
              </w:rPr>
              <w:t>у</w:t>
            </w:r>
            <w:r w:rsidRPr="00DE4A20">
              <w:rPr>
                <w:b/>
                <w:color w:val="000000" w:themeColor="text1"/>
                <w:sz w:val="28"/>
                <w:szCs w:val="28"/>
              </w:rPr>
              <w:t xml:space="preserve"> </w:t>
            </w:r>
            <w:r w:rsidR="0001227E" w:rsidRPr="00DE4A20">
              <w:rPr>
                <w:b/>
                <w:iCs/>
                <w:color w:val="000000" w:themeColor="text1"/>
                <w:sz w:val="28"/>
                <w:szCs w:val="28"/>
              </w:rPr>
              <w:t>Святошинському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243343E3" w:rsidR="00F6318B" w:rsidRDefault="00F6318B" w:rsidP="00F6318B">
      <w:pPr>
        <w:pStyle w:val="a9"/>
        <w:ind w:right="3905"/>
        <w:rPr>
          <w:bCs/>
          <w:color w:val="000000" w:themeColor="text1"/>
          <w:lang w:val="uk-UA"/>
        </w:rPr>
      </w:pPr>
    </w:p>
    <w:p w14:paraId="5DC01B27" w14:textId="77777777" w:rsidR="006A18D2" w:rsidRPr="00DE4A20" w:rsidRDefault="006A18D2" w:rsidP="00F6318B">
      <w:pPr>
        <w:pStyle w:val="a9"/>
        <w:ind w:right="3905"/>
        <w:rPr>
          <w:bCs/>
          <w:color w:val="000000" w:themeColor="text1"/>
          <w:lang w:val="uk-UA"/>
        </w:rPr>
      </w:pPr>
    </w:p>
    <w:p w14:paraId="22CB6BF4" w14:textId="0C89F972" w:rsidR="00F6318B" w:rsidRDefault="00C7069E" w:rsidP="00D26E44">
      <w:pPr>
        <w:pStyle w:val="20"/>
        <w:ind w:firstLine="709"/>
        <w:rPr>
          <w:color w:val="000000" w:themeColor="text1"/>
          <w:lang w:val="uk-UA"/>
        </w:rPr>
      </w:pPr>
      <w:r w:rsidRPr="00A83380">
        <w:rPr>
          <w:color w:val="000000" w:themeColor="text1"/>
          <w:lang w:val="uk-UA"/>
        </w:rPr>
        <w:t xml:space="preserve">Розглянувши заяву ТОВАРИСТВА З ОБМЕЖЕНОЮ ВІДПОВІДАЛЬНІСТЮ «АСТЕРАУС» (код ЄДРПОУ: 36050784, місцезнаходження юридичної особи: 04208, м. Київ, просп. </w:t>
      </w:r>
      <w:r w:rsidR="006A18D2">
        <w:rPr>
          <w:color w:val="000000" w:themeColor="text1"/>
          <w:lang w:val="uk-UA"/>
        </w:rPr>
        <w:t>Європейського Союзу</w:t>
      </w:r>
      <w:r w:rsidRPr="00A83380">
        <w:rPr>
          <w:color w:val="000000" w:themeColor="text1"/>
          <w:lang w:val="uk-UA"/>
        </w:rPr>
        <w:t>, 47) від 13 вересня 2024 року № 64125-008954084-031-03, проєкт землеустрою щодо відведення земельн</w:t>
      </w:r>
      <w:r w:rsidR="006A18D2">
        <w:rPr>
          <w:color w:val="000000" w:themeColor="text1"/>
          <w:lang w:val="uk-UA"/>
        </w:rPr>
        <w:t>их</w:t>
      </w:r>
      <w:r w:rsidRPr="00A83380">
        <w:rPr>
          <w:color w:val="000000" w:themeColor="text1"/>
          <w:lang w:val="uk-UA"/>
        </w:rPr>
        <w:t xml:space="preserve"> ділян</w:t>
      </w:r>
      <w:r w:rsidR="006A18D2">
        <w:rPr>
          <w:color w:val="000000" w:themeColor="text1"/>
          <w:lang w:val="uk-UA"/>
        </w:rPr>
        <w:t>ок</w:t>
      </w:r>
      <w:r w:rsidRPr="00A83380">
        <w:rPr>
          <w:color w:val="000000" w:themeColor="text1"/>
          <w:lang w:val="uk-UA"/>
        </w:rPr>
        <w:t xml:space="preserve"> та додані документи, керуючись статтями 9, </w:t>
      </w:r>
      <w:r w:rsidR="00D26E44">
        <w:rPr>
          <w:color w:val="000000" w:themeColor="text1"/>
          <w:lang w:val="uk-UA"/>
        </w:rPr>
        <w:t>79</w:t>
      </w:r>
      <w:r w:rsidR="00D26E44" w:rsidRPr="00D26E44">
        <w:rPr>
          <w:color w:val="000000" w:themeColor="text1"/>
          <w:vertAlign w:val="superscript"/>
          <w:lang w:val="uk-UA"/>
        </w:rPr>
        <w:t>1</w:t>
      </w:r>
      <w:r w:rsidR="00D26E44">
        <w:rPr>
          <w:color w:val="000000" w:themeColor="text1"/>
          <w:lang w:val="uk-UA"/>
        </w:rPr>
        <w:t xml:space="preserve">, </w:t>
      </w:r>
      <w:r w:rsidRPr="00A83380">
        <w:rPr>
          <w:color w:val="000000" w:themeColor="text1"/>
          <w:lang w:val="uk-UA"/>
        </w:rPr>
        <w:t>83, 93, 116, 122, 123</w:t>
      </w:r>
      <w:r w:rsidR="00A83380">
        <w:rPr>
          <w:color w:val="000000" w:themeColor="text1"/>
          <w:lang w:val="uk-UA"/>
        </w:rPr>
        <w:t xml:space="preserve">, 124, 186 </w:t>
      </w:r>
      <w:r w:rsidR="00D26E44" w:rsidRPr="00D26E44">
        <w:rPr>
          <w:color w:val="000000" w:themeColor="text1"/>
          <w:lang w:val="uk-UA"/>
        </w:rPr>
        <w:t>Земельного кодексу України, Законом України «Про оренду землі»,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72D07D6F" w14:textId="2DDE9025" w:rsidR="00D26E44" w:rsidRDefault="00D26E44" w:rsidP="00D26E44">
      <w:pPr>
        <w:pStyle w:val="20"/>
        <w:ind w:firstLine="709"/>
        <w:rPr>
          <w:color w:val="000000" w:themeColor="text1"/>
          <w:lang w:val="uk-UA"/>
        </w:rPr>
      </w:pPr>
    </w:p>
    <w:p w14:paraId="4E4CA146" w14:textId="77777777" w:rsidR="006A18D2" w:rsidRPr="00DE4A20" w:rsidRDefault="006A18D2" w:rsidP="00D26E44">
      <w:pPr>
        <w:pStyle w:val="20"/>
        <w:ind w:firstLine="709"/>
        <w:rPr>
          <w:color w:val="000000" w:themeColor="text1"/>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1F8B45C7"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D26E44">
        <w:rPr>
          <w:color w:val="000000" w:themeColor="text1"/>
          <w:sz w:val="28"/>
          <w:szCs w:val="28"/>
          <w:lang w:val="uk-UA"/>
        </w:rPr>
        <w:t>проект землеустрою щодо відведення земельних ділянок ТОВАРИСТУ З ОБМЕЖЕНОЮ ВІДПОВІДАЛЬНІСТЮ «АСТЕРАУС» для розміщення, обслуговування лінійних об</w:t>
      </w:r>
      <w:r w:rsidR="00D26E44" w:rsidRPr="00D26E44">
        <w:rPr>
          <w:color w:val="000000" w:themeColor="text1"/>
          <w:sz w:val="28"/>
          <w:szCs w:val="28"/>
          <w:lang w:val="uk-UA"/>
        </w:rPr>
        <w:t>’</w:t>
      </w:r>
      <w:r w:rsidR="00D26E44">
        <w:rPr>
          <w:color w:val="000000" w:themeColor="text1"/>
          <w:sz w:val="28"/>
          <w:szCs w:val="28"/>
          <w:lang w:val="uk-UA"/>
        </w:rPr>
        <w:t>єктів енергетичної, транспортної інфраструктури (крім об</w:t>
      </w:r>
      <w:r w:rsidR="00D26E44" w:rsidRPr="00D26E44">
        <w:rPr>
          <w:color w:val="000000" w:themeColor="text1"/>
          <w:sz w:val="28"/>
          <w:szCs w:val="28"/>
          <w:lang w:val="uk-UA"/>
        </w:rPr>
        <w:t>’</w:t>
      </w:r>
      <w:r w:rsidR="00D26E44">
        <w:rPr>
          <w:color w:val="000000" w:themeColor="text1"/>
          <w:sz w:val="28"/>
          <w:szCs w:val="28"/>
          <w:lang w:val="uk-UA"/>
        </w:rPr>
        <w:t xml:space="preserve">єктів дорожнього сервісу) (заїзди-виїзди) на </w:t>
      </w:r>
      <w:r w:rsidR="00455F47">
        <w:rPr>
          <w:color w:val="000000" w:themeColor="text1"/>
          <w:sz w:val="28"/>
          <w:szCs w:val="28"/>
          <w:lang w:val="uk-UA"/>
        </w:rPr>
        <w:br/>
      </w:r>
      <w:r w:rsidR="00D26E44">
        <w:rPr>
          <w:color w:val="000000" w:themeColor="text1"/>
          <w:sz w:val="28"/>
          <w:szCs w:val="28"/>
          <w:lang w:val="uk-UA"/>
        </w:rPr>
        <w:lastRenderedPageBreak/>
        <w:t>просп. Берестейському, 160-А у Святошинському районі м. Києва</w:t>
      </w:r>
      <w:r w:rsidR="00E13205" w:rsidRPr="00E13205">
        <w:rPr>
          <w:color w:val="000000" w:themeColor="text1"/>
          <w:sz w:val="28"/>
          <w:szCs w:val="28"/>
          <w:lang w:val="uk-UA"/>
        </w:rPr>
        <w:t xml:space="preserve"> (категорія земель – землі промисловості, транспорту, електронних комунікацій, енергетики, оборони та іншого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–12.04</w:t>
      </w:r>
      <w:r w:rsidR="00791E3E" w:rsidRPr="00791E3E">
        <w:rPr>
          <w:iCs/>
          <w:color w:val="000000" w:themeColor="text1"/>
          <w:sz w:val="28"/>
          <w:szCs w:val="28"/>
          <w:lang w:val="uk-UA"/>
        </w:rPr>
        <w:t xml:space="preserve"> </w:t>
      </w:r>
      <w:r w:rsidR="00791E3E" w:rsidRPr="00DE4A20">
        <w:rPr>
          <w:iCs/>
          <w:color w:val="000000" w:themeColor="text1"/>
          <w:sz w:val="28"/>
          <w:szCs w:val="28"/>
          <w:lang w:val="uk-UA"/>
        </w:rPr>
        <w:t>для розміщення та експлуатації будівель і споруд автомобільного транспорту та дорожнього господарства</w:t>
      </w:r>
      <w:r w:rsidR="00E13205" w:rsidRPr="00E13205">
        <w:rPr>
          <w:color w:val="000000" w:themeColor="text1"/>
          <w:sz w:val="28"/>
          <w:szCs w:val="28"/>
          <w:lang w:val="uk-UA"/>
        </w:rPr>
        <w:t xml:space="preserve">), заява ДЦ від 13 вересня 2024 </w:t>
      </w:r>
      <w:r w:rsidR="00342C2C">
        <w:rPr>
          <w:color w:val="000000" w:themeColor="text1"/>
          <w:sz w:val="28"/>
          <w:szCs w:val="28"/>
          <w:lang w:val="uk-UA"/>
        </w:rPr>
        <w:t xml:space="preserve">року </w:t>
      </w:r>
      <w:r w:rsidR="00455F47">
        <w:rPr>
          <w:color w:val="000000" w:themeColor="text1"/>
          <w:sz w:val="28"/>
          <w:szCs w:val="28"/>
          <w:lang w:val="uk-UA"/>
        </w:rPr>
        <w:br/>
      </w:r>
      <w:r w:rsidR="00E13205" w:rsidRPr="00E13205">
        <w:rPr>
          <w:color w:val="000000" w:themeColor="text1"/>
          <w:sz w:val="28"/>
          <w:szCs w:val="28"/>
          <w:lang w:val="uk-UA"/>
        </w:rPr>
        <w:t xml:space="preserve">№ 64125-008954084-031-03, справа № </w:t>
      </w:r>
      <w:r w:rsidR="00E13205" w:rsidRPr="00E13205">
        <w:rPr>
          <w:b/>
          <w:color w:val="000000" w:themeColor="text1"/>
          <w:sz w:val="28"/>
          <w:szCs w:val="28"/>
          <w:lang w:val="uk-UA"/>
        </w:rPr>
        <w:t>383920430</w:t>
      </w:r>
      <w:r w:rsidR="00E13205" w:rsidRPr="00E13205">
        <w:rPr>
          <w:color w:val="000000" w:themeColor="text1"/>
          <w:sz w:val="28"/>
          <w:szCs w:val="28"/>
          <w:lang w:val="uk-UA"/>
        </w:rPr>
        <w:t>.</w:t>
      </w:r>
    </w:p>
    <w:p w14:paraId="7A94030D" w14:textId="01AE43BC" w:rsidR="00E27368" w:rsidRDefault="00DA050D" w:rsidP="0009503E">
      <w:pPr>
        <w:ind w:firstLine="720"/>
        <w:jc w:val="both"/>
        <w:rPr>
          <w:color w:val="000000" w:themeColor="text1"/>
          <w:sz w:val="28"/>
          <w:szCs w:val="28"/>
          <w:lang w:val="uk-UA"/>
        </w:rPr>
      </w:pPr>
      <w:r>
        <w:rPr>
          <w:color w:val="000000" w:themeColor="text1"/>
          <w:sz w:val="28"/>
          <w:szCs w:val="28"/>
          <w:lang w:val="uk-UA"/>
        </w:rPr>
        <w:t xml:space="preserve">2. </w:t>
      </w:r>
      <w:r w:rsidR="007633F4" w:rsidRPr="00D26E44">
        <w:rPr>
          <w:color w:val="000000" w:themeColor="text1"/>
          <w:sz w:val="28"/>
          <w:szCs w:val="28"/>
          <w:lang w:val="uk-UA"/>
        </w:rPr>
        <w:t>Передати</w:t>
      </w:r>
      <w:r w:rsidR="0009503E" w:rsidRPr="00D26E44">
        <w:rPr>
          <w:color w:val="000000" w:themeColor="text1"/>
          <w:sz w:val="28"/>
          <w:szCs w:val="28"/>
          <w:lang w:val="uk-UA"/>
        </w:rPr>
        <w:t xml:space="preserve"> </w:t>
      </w:r>
      <w:r w:rsidR="00A264FD" w:rsidRPr="00D26E44">
        <w:rPr>
          <w:color w:val="000000" w:themeColor="text1"/>
          <w:sz w:val="28"/>
          <w:szCs w:val="28"/>
        </w:rPr>
        <w:t>ТОВАРИСТВ</w:t>
      </w:r>
      <w:r w:rsidR="00D26E44">
        <w:rPr>
          <w:color w:val="000000" w:themeColor="text1"/>
          <w:sz w:val="28"/>
          <w:szCs w:val="28"/>
          <w:lang w:val="uk-UA"/>
        </w:rPr>
        <w:t>У</w:t>
      </w:r>
      <w:r w:rsidR="00A264FD" w:rsidRPr="00D26E44">
        <w:rPr>
          <w:color w:val="000000" w:themeColor="text1"/>
          <w:sz w:val="28"/>
          <w:szCs w:val="28"/>
        </w:rPr>
        <w:t xml:space="preserve"> З ОБМЕЖЕНОЮ ВІДПОВІДАЛЬНІСТЮ «АСТЕРАУС»</w:t>
      </w:r>
      <w:r w:rsidR="0009503E" w:rsidRPr="00D26E44">
        <w:rPr>
          <w:color w:val="000000" w:themeColor="text1"/>
          <w:sz w:val="28"/>
          <w:szCs w:val="28"/>
          <w:lang w:val="uk-UA"/>
        </w:rPr>
        <w:t>,</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D26E44">
        <w:rPr>
          <w:color w:val="000000" w:themeColor="text1"/>
          <w:sz w:val="28"/>
          <w:szCs w:val="28"/>
          <w:lang w:val="uk-UA"/>
        </w:rPr>
        <w:t>в оренду на 10 років</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земельн</w:t>
      </w:r>
      <w:r w:rsidR="00791E3E">
        <w:rPr>
          <w:color w:val="000000" w:themeColor="text1"/>
          <w:sz w:val="28"/>
          <w:szCs w:val="28"/>
          <w:lang w:val="uk-UA"/>
        </w:rPr>
        <w:t>у</w:t>
      </w:r>
      <w:r w:rsidR="00F837D8" w:rsidRPr="00DE4A20">
        <w:rPr>
          <w:color w:val="000000" w:themeColor="text1"/>
          <w:sz w:val="28"/>
          <w:szCs w:val="28"/>
          <w:lang w:val="uk-UA"/>
        </w:rPr>
        <w:t xml:space="preserve"> ділянк</w:t>
      </w:r>
      <w:r w:rsidR="00791E3E">
        <w:rPr>
          <w:color w:val="000000" w:themeColor="text1"/>
          <w:sz w:val="28"/>
          <w:szCs w:val="28"/>
          <w:lang w:val="uk-UA"/>
        </w:rPr>
        <w:t>у</w:t>
      </w:r>
      <w:r w:rsidR="00F837D8" w:rsidRPr="00DE4A20">
        <w:rPr>
          <w:color w:val="000000" w:themeColor="text1"/>
          <w:sz w:val="28"/>
          <w:szCs w:val="28"/>
          <w:lang w:val="uk-UA"/>
        </w:rPr>
        <w:t xml:space="preserve"> площею </w:t>
      </w:r>
      <w:r w:rsidR="00F837D8" w:rsidRPr="00791E3E">
        <w:rPr>
          <w:iCs/>
          <w:color w:val="000000" w:themeColor="text1"/>
          <w:sz w:val="28"/>
          <w:szCs w:val="28"/>
          <w:lang w:val="uk-UA" w:eastAsia="uk-UA"/>
        </w:rPr>
        <w:t>0,0029</w:t>
      </w:r>
      <w:r w:rsidR="00791E3E">
        <w:rPr>
          <w:iCs/>
          <w:color w:val="000000" w:themeColor="text1"/>
          <w:sz w:val="28"/>
          <w:szCs w:val="28"/>
          <w:lang w:val="uk-UA" w:eastAsia="uk-UA"/>
        </w:rPr>
        <w:t xml:space="preserve"> </w:t>
      </w:r>
      <w:r w:rsidR="00F837D8" w:rsidRPr="00DE4A20">
        <w:rPr>
          <w:color w:val="000000" w:themeColor="text1"/>
          <w:sz w:val="28"/>
          <w:szCs w:val="28"/>
          <w:lang w:val="uk-UA"/>
        </w:rPr>
        <w:t>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791E3E">
        <w:rPr>
          <w:iCs/>
          <w:color w:val="000000" w:themeColor="text1"/>
          <w:sz w:val="28"/>
          <w:szCs w:val="28"/>
          <w:lang w:val="uk-UA" w:eastAsia="uk-UA"/>
        </w:rPr>
        <w:t>8000000000:75:204:0002</w:t>
      </w:r>
      <w:r w:rsidR="00791E3E">
        <w:rPr>
          <w:iCs/>
          <w:color w:val="000000" w:themeColor="text1"/>
          <w:sz w:val="28"/>
          <w:szCs w:val="28"/>
          <w:lang w:val="uk-UA" w:eastAsia="uk-UA"/>
        </w:rPr>
        <w:t xml:space="preserve">) та </w:t>
      </w:r>
      <w:r w:rsidR="00791E3E" w:rsidRPr="00DE4A20">
        <w:rPr>
          <w:color w:val="000000" w:themeColor="text1"/>
          <w:sz w:val="28"/>
          <w:szCs w:val="28"/>
          <w:lang w:val="uk-UA"/>
        </w:rPr>
        <w:t>земельн</w:t>
      </w:r>
      <w:r w:rsidR="00791E3E">
        <w:rPr>
          <w:color w:val="000000" w:themeColor="text1"/>
          <w:sz w:val="28"/>
          <w:szCs w:val="28"/>
          <w:lang w:val="uk-UA"/>
        </w:rPr>
        <w:t>у</w:t>
      </w:r>
      <w:r w:rsidR="00791E3E" w:rsidRPr="00DE4A20">
        <w:rPr>
          <w:color w:val="000000" w:themeColor="text1"/>
          <w:sz w:val="28"/>
          <w:szCs w:val="28"/>
          <w:lang w:val="uk-UA"/>
        </w:rPr>
        <w:t xml:space="preserve"> ділянк</w:t>
      </w:r>
      <w:r w:rsidR="00791E3E">
        <w:rPr>
          <w:color w:val="000000" w:themeColor="text1"/>
          <w:sz w:val="28"/>
          <w:szCs w:val="28"/>
          <w:lang w:val="uk-UA"/>
        </w:rPr>
        <w:t>у</w:t>
      </w:r>
      <w:r w:rsidR="00791E3E" w:rsidRPr="00DE4A20">
        <w:rPr>
          <w:color w:val="000000" w:themeColor="text1"/>
          <w:sz w:val="28"/>
          <w:szCs w:val="28"/>
          <w:lang w:val="uk-UA"/>
        </w:rPr>
        <w:t xml:space="preserve"> площею</w:t>
      </w:r>
      <w:r w:rsidR="00F837D8" w:rsidRPr="00791E3E">
        <w:rPr>
          <w:iCs/>
          <w:color w:val="000000" w:themeColor="text1"/>
          <w:sz w:val="28"/>
          <w:szCs w:val="28"/>
          <w:lang w:val="uk-UA" w:eastAsia="uk-UA"/>
        </w:rPr>
        <w:t xml:space="preserve"> </w:t>
      </w:r>
      <w:r w:rsidR="00791E3E" w:rsidRPr="00791E3E">
        <w:rPr>
          <w:iCs/>
          <w:color w:val="000000" w:themeColor="text1"/>
          <w:sz w:val="28"/>
          <w:szCs w:val="28"/>
          <w:lang w:val="uk-UA" w:eastAsia="uk-UA"/>
        </w:rPr>
        <w:t>0,0031</w:t>
      </w:r>
      <w:r w:rsidR="00791E3E">
        <w:rPr>
          <w:iCs/>
          <w:color w:val="000000" w:themeColor="text1"/>
          <w:sz w:val="28"/>
          <w:szCs w:val="28"/>
          <w:lang w:val="uk-UA" w:eastAsia="uk-UA"/>
        </w:rPr>
        <w:t xml:space="preserve"> га</w:t>
      </w:r>
      <w:r w:rsidR="00791E3E" w:rsidRPr="00DE4A20">
        <w:rPr>
          <w:color w:val="000000" w:themeColor="text1"/>
          <w:sz w:val="28"/>
          <w:szCs w:val="28"/>
          <w:lang w:val="uk-UA"/>
        </w:rPr>
        <w:t xml:space="preserve"> </w:t>
      </w:r>
      <w:r w:rsidR="00791E3E">
        <w:rPr>
          <w:color w:val="000000" w:themeColor="text1"/>
          <w:sz w:val="28"/>
          <w:szCs w:val="28"/>
          <w:lang w:val="uk-UA"/>
        </w:rPr>
        <w:t>(</w:t>
      </w:r>
      <w:r w:rsidR="00791E3E" w:rsidRPr="00DE4A20">
        <w:rPr>
          <w:color w:val="000000" w:themeColor="text1"/>
          <w:sz w:val="28"/>
          <w:szCs w:val="28"/>
          <w:lang w:val="uk-UA"/>
        </w:rPr>
        <w:t xml:space="preserve">кадастровий номер </w:t>
      </w:r>
      <w:r w:rsidR="00F837D8" w:rsidRPr="00791E3E">
        <w:rPr>
          <w:iCs/>
          <w:color w:val="000000" w:themeColor="text1"/>
          <w:sz w:val="28"/>
          <w:szCs w:val="28"/>
          <w:lang w:val="uk-UA" w:eastAsia="uk-UA"/>
        </w:rPr>
        <w:t>8000000000:75:204:0003</w:t>
      </w:r>
      <w:r w:rsidR="00F837D8" w:rsidRPr="00DE4A20">
        <w:rPr>
          <w:color w:val="000000" w:themeColor="text1"/>
          <w:sz w:val="28"/>
          <w:szCs w:val="28"/>
          <w:lang w:val="uk-UA"/>
        </w:rPr>
        <w:t xml:space="preserve">) </w:t>
      </w:r>
      <w:r w:rsidR="00791E3E" w:rsidRPr="00791E3E">
        <w:rPr>
          <w:color w:val="000000" w:themeColor="text1"/>
          <w:sz w:val="28"/>
          <w:szCs w:val="28"/>
          <w:lang w:val="uk-UA"/>
        </w:rPr>
        <w:t xml:space="preserve">для розміщення, обслуговування лінійних об’єктів енергетичної, транспортної інфраструктури (крім об’єктів дорожнього сервісу) (заїзди-виїзди)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12.04</w:t>
      </w:r>
      <w:r w:rsidR="00421815" w:rsidRPr="00DE4A20">
        <w:rPr>
          <w:color w:val="000000" w:themeColor="text1"/>
          <w:sz w:val="28"/>
          <w:szCs w:val="28"/>
          <w:lang w:val="uk-UA"/>
        </w:rPr>
        <w:t>)</w:t>
      </w:r>
      <w:r w:rsidR="00F837D8" w:rsidRPr="00DE4A20">
        <w:rPr>
          <w:color w:val="000000" w:themeColor="text1"/>
          <w:sz w:val="28"/>
          <w:lang w:val="uk-UA"/>
        </w:rPr>
        <w:t xml:space="preserve"> </w:t>
      </w:r>
      <w:r w:rsidR="00791E3E">
        <w:rPr>
          <w:color w:val="000000" w:themeColor="text1"/>
          <w:sz w:val="28"/>
          <w:lang w:val="uk-UA"/>
        </w:rPr>
        <w:br/>
      </w:r>
      <w:r w:rsidR="00F837D8" w:rsidRPr="00791E3E">
        <w:rPr>
          <w:color w:val="000000" w:themeColor="text1"/>
          <w:sz w:val="28"/>
          <w:lang w:val="uk-UA"/>
        </w:rPr>
        <w:t xml:space="preserve">на </w:t>
      </w:r>
      <w:r w:rsidR="00F837D8" w:rsidRPr="00791E3E">
        <w:rPr>
          <w:iCs/>
          <w:color w:val="000000" w:themeColor="text1"/>
          <w:sz w:val="28"/>
          <w:szCs w:val="28"/>
          <w:lang w:val="uk-UA"/>
        </w:rPr>
        <w:t xml:space="preserve">просп. </w:t>
      </w:r>
      <w:r w:rsidR="00F837D8" w:rsidRPr="00791E3E">
        <w:rPr>
          <w:iCs/>
          <w:color w:val="000000" w:themeColor="text1"/>
          <w:sz w:val="28"/>
          <w:szCs w:val="28"/>
        </w:rPr>
        <w:t>Берестейськ</w:t>
      </w:r>
      <w:r w:rsidR="00791E3E">
        <w:rPr>
          <w:iCs/>
          <w:color w:val="000000" w:themeColor="text1"/>
          <w:sz w:val="28"/>
          <w:szCs w:val="28"/>
          <w:lang w:val="uk-UA"/>
        </w:rPr>
        <w:t>ому</w:t>
      </w:r>
      <w:r w:rsidR="00F837D8" w:rsidRPr="00791E3E">
        <w:rPr>
          <w:iCs/>
          <w:color w:val="000000" w:themeColor="text1"/>
          <w:sz w:val="28"/>
          <w:szCs w:val="28"/>
        </w:rPr>
        <w:t>, 160-А</w:t>
      </w:r>
      <w:r w:rsidR="00F837D8" w:rsidRPr="00791E3E">
        <w:rPr>
          <w:iCs/>
          <w:color w:val="000000" w:themeColor="text1"/>
          <w:sz w:val="28"/>
          <w:szCs w:val="28"/>
          <w:lang w:val="uk-UA"/>
        </w:rPr>
        <w:t xml:space="preserve"> </w:t>
      </w:r>
      <w:r w:rsidR="00F837D8" w:rsidRPr="00791E3E">
        <w:rPr>
          <w:color w:val="000000" w:themeColor="text1"/>
          <w:sz w:val="28"/>
          <w:szCs w:val="28"/>
          <w:lang w:val="uk-UA"/>
        </w:rPr>
        <w:t xml:space="preserve">у </w:t>
      </w:r>
      <w:r w:rsidR="00F837D8" w:rsidRPr="00791E3E">
        <w:rPr>
          <w:iCs/>
          <w:color w:val="000000" w:themeColor="text1"/>
          <w:sz w:val="28"/>
          <w:szCs w:val="28"/>
        </w:rPr>
        <w:t>Святошинському</w:t>
      </w:r>
      <w:r w:rsidR="00791E3E">
        <w:rPr>
          <w:iCs/>
          <w:color w:val="000000" w:themeColor="text1"/>
          <w:sz w:val="28"/>
          <w:szCs w:val="28"/>
          <w:lang w:val="uk-UA"/>
        </w:rPr>
        <w:t xml:space="preserve"> рай</w:t>
      </w:r>
      <w:r w:rsidR="00F837D8" w:rsidRPr="00791E3E">
        <w:rPr>
          <w:color w:val="000000" w:themeColor="text1"/>
          <w:sz w:val="28"/>
          <w:szCs w:val="28"/>
          <w:lang w:val="uk-UA"/>
        </w:rPr>
        <w:t>оні міста Києва із земель комунальної власності територіальної громади міста Києва</w:t>
      </w:r>
      <w:r w:rsidR="00E27368" w:rsidRPr="00791E3E">
        <w:rPr>
          <w:color w:val="000000" w:themeColor="text1"/>
          <w:sz w:val="28"/>
          <w:szCs w:val="28"/>
          <w:lang w:val="uk-UA"/>
        </w:rPr>
        <w:t>.</w:t>
      </w:r>
    </w:p>
    <w:p w14:paraId="2A95A3DC" w14:textId="3D41EC25" w:rsidR="0009503E" w:rsidRPr="00DE4A20" w:rsidRDefault="000F751E" w:rsidP="0009503E">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791E3E">
        <w:rPr>
          <w:color w:val="000000" w:themeColor="text1"/>
          <w:sz w:val="28"/>
          <w:szCs w:val="28"/>
          <w:lang w:val="uk-UA"/>
        </w:rPr>
        <w:t>ТОВАРИСТВ</w:t>
      </w:r>
      <w:r w:rsidR="00791E3E">
        <w:rPr>
          <w:color w:val="000000" w:themeColor="text1"/>
          <w:sz w:val="28"/>
          <w:szCs w:val="28"/>
          <w:lang w:val="uk-UA"/>
        </w:rPr>
        <w:t>У</w:t>
      </w:r>
      <w:r w:rsidR="00C376CD" w:rsidRPr="00791E3E">
        <w:rPr>
          <w:color w:val="000000" w:themeColor="text1"/>
          <w:sz w:val="28"/>
          <w:szCs w:val="28"/>
          <w:lang w:val="uk-UA"/>
        </w:rPr>
        <w:t xml:space="preserve"> З ОБМЕЖЕНОЮ ВІДПОВІДАЛЬНІСТЮ «АСТЕРАУС»</w:t>
      </w:r>
      <w:r w:rsidR="0009503E" w:rsidRPr="00791E3E">
        <w:rPr>
          <w:color w:val="000000" w:themeColor="text1"/>
          <w:sz w:val="28"/>
          <w:szCs w:val="28"/>
          <w:lang w:val="uk-UA"/>
        </w:rPr>
        <w:t>:</w:t>
      </w:r>
    </w:p>
    <w:p w14:paraId="632B84AC" w14:textId="77777777" w:rsidR="00791E3E" w:rsidRPr="00791E3E" w:rsidRDefault="00791E3E" w:rsidP="00791E3E">
      <w:pPr>
        <w:tabs>
          <w:tab w:val="left" w:pos="0"/>
          <w:tab w:val="left" w:pos="1134"/>
        </w:tabs>
        <w:ind w:firstLine="680"/>
        <w:jc w:val="both"/>
        <w:rPr>
          <w:sz w:val="28"/>
          <w:szCs w:val="28"/>
          <w:lang w:val="uk-UA"/>
        </w:rPr>
      </w:pPr>
      <w:r w:rsidRPr="00791E3E">
        <w:rPr>
          <w:sz w:val="28"/>
          <w:szCs w:val="28"/>
          <w:lang w:val="uk-UA"/>
        </w:rPr>
        <w:t>3.1.</w:t>
      </w:r>
      <w:r w:rsidRPr="00791E3E">
        <w:rPr>
          <w:sz w:val="28"/>
          <w:szCs w:val="28"/>
          <w:lang w:val="uk-UA"/>
        </w:rPr>
        <w:tab/>
        <w:t>Виконувати обов’язки землекористувача відповідно до вимог статті 96 Земельного кодексу України.</w:t>
      </w:r>
    </w:p>
    <w:p w14:paraId="178D9706" w14:textId="4E4B1513" w:rsidR="00791E3E" w:rsidRPr="00791E3E" w:rsidRDefault="00791E3E" w:rsidP="00791E3E">
      <w:pPr>
        <w:tabs>
          <w:tab w:val="left" w:pos="0"/>
          <w:tab w:val="left" w:pos="1134"/>
        </w:tabs>
        <w:ind w:firstLine="680"/>
        <w:jc w:val="both"/>
        <w:rPr>
          <w:sz w:val="28"/>
          <w:szCs w:val="28"/>
          <w:lang w:val="uk-UA"/>
        </w:rPr>
      </w:pPr>
      <w:r w:rsidRPr="00791E3E">
        <w:rPr>
          <w:sz w:val="28"/>
          <w:szCs w:val="28"/>
          <w:lang w:val="uk-UA"/>
        </w:rPr>
        <w:t>3.2.</w:t>
      </w:r>
      <w:r w:rsidRPr="00791E3E">
        <w:rPr>
          <w:sz w:val="28"/>
          <w:szCs w:val="28"/>
          <w:lang w:val="uk-UA"/>
        </w:rPr>
        <w:tab/>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w:t>
      </w:r>
      <w:r w:rsidR="00E56771">
        <w:rPr>
          <w:sz w:val="28"/>
          <w:szCs w:val="28"/>
          <w:lang w:val="uk-UA"/>
        </w:rPr>
        <w:t>их</w:t>
      </w:r>
      <w:r w:rsidRPr="00791E3E">
        <w:rPr>
          <w:sz w:val="28"/>
          <w:szCs w:val="28"/>
          <w:lang w:val="uk-UA"/>
        </w:rPr>
        <w:t xml:space="preserve"> ділян</w:t>
      </w:r>
      <w:r w:rsidR="00E56771">
        <w:rPr>
          <w:sz w:val="28"/>
          <w:szCs w:val="28"/>
          <w:lang w:val="uk-UA"/>
        </w:rPr>
        <w:t>ок</w:t>
      </w:r>
      <w:r w:rsidRPr="00791E3E">
        <w:rPr>
          <w:sz w:val="28"/>
          <w:szCs w:val="28"/>
          <w:lang w:val="uk-UA"/>
        </w:rPr>
        <w:t xml:space="preserve"> (зокрема, охоронний договір на зелені насадження або інформацію уповноваженого органу про відсутність зелених насаджень на земельн</w:t>
      </w:r>
      <w:r w:rsidR="00E56771">
        <w:rPr>
          <w:sz w:val="28"/>
          <w:szCs w:val="28"/>
          <w:lang w:val="uk-UA"/>
        </w:rPr>
        <w:t>их</w:t>
      </w:r>
      <w:r w:rsidRPr="00791E3E">
        <w:rPr>
          <w:sz w:val="28"/>
          <w:szCs w:val="28"/>
          <w:lang w:val="uk-UA"/>
        </w:rPr>
        <w:t xml:space="preserve"> ділян</w:t>
      </w:r>
      <w:r w:rsidR="00E56771">
        <w:rPr>
          <w:sz w:val="28"/>
          <w:szCs w:val="28"/>
          <w:lang w:val="uk-UA"/>
        </w:rPr>
        <w:t>ках</w:t>
      </w:r>
      <w:r w:rsidRPr="00791E3E">
        <w:rPr>
          <w:sz w:val="28"/>
          <w:szCs w:val="28"/>
          <w:lang w:val="uk-UA"/>
        </w:rPr>
        <w:t>).</w:t>
      </w:r>
    </w:p>
    <w:p w14:paraId="25532D1C" w14:textId="172C999A" w:rsidR="00791E3E" w:rsidRPr="00791E3E" w:rsidRDefault="00791E3E" w:rsidP="00791E3E">
      <w:pPr>
        <w:tabs>
          <w:tab w:val="left" w:pos="0"/>
          <w:tab w:val="left" w:pos="1134"/>
        </w:tabs>
        <w:ind w:firstLine="680"/>
        <w:jc w:val="both"/>
        <w:rPr>
          <w:sz w:val="28"/>
          <w:szCs w:val="28"/>
          <w:lang w:val="uk-UA"/>
        </w:rPr>
      </w:pPr>
      <w:r w:rsidRPr="00791E3E">
        <w:rPr>
          <w:sz w:val="28"/>
          <w:szCs w:val="28"/>
          <w:lang w:val="uk-UA"/>
        </w:rPr>
        <w:t>3.</w:t>
      </w:r>
      <w:r w:rsidR="006A18D2">
        <w:rPr>
          <w:sz w:val="28"/>
          <w:szCs w:val="28"/>
          <w:lang w:val="uk-UA"/>
        </w:rPr>
        <w:t>3</w:t>
      </w:r>
      <w:r w:rsidRPr="00791E3E">
        <w:rPr>
          <w:sz w:val="28"/>
          <w:szCs w:val="28"/>
          <w:lang w:val="uk-UA"/>
        </w:rPr>
        <w:t>.</w:t>
      </w:r>
      <w:r w:rsidRPr="00791E3E">
        <w:rPr>
          <w:sz w:val="28"/>
          <w:szCs w:val="28"/>
          <w:lang w:val="uk-UA"/>
        </w:rPr>
        <w:tab/>
        <w:t>Забезпечити вільний доступ для прокладання нових, ремонту та експлуатації існуючих інженерних мереж і споруд, що знаходяться в межах земельн</w:t>
      </w:r>
      <w:r w:rsidR="00E56771">
        <w:rPr>
          <w:sz w:val="28"/>
          <w:szCs w:val="28"/>
          <w:lang w:val="uk-UA"/>
        </w:rPr>
        <w:t>их</w:t>
      </w:r>
      <w:r w:rsidRPr="00791E3E">
        <w:rPr>
          <w:sz w:val="28"/>
          <w:szCs w:val="28"/>
          <w:lang w:val="uk-UA"/>
        </w:rPr>
        <w:t xml:space="preserve"> ділян</w:t>
      </w:r>
      <w:r w:rsidR="00E56771">
        <w:rPr>
          <w:sz w:val="28"/>
          <w:szCs w:val="28"/>
          <w:lang w:val="uk-UA"/>
        </w:rPr>
        <w:t>ок</w:t>
      </w:r>
      <w:r w:rsidRPr="00791E3E">
        <w:rPr>
          <w:sz w:val="28"/>
          <w:szCs w:val="28"/>
          <w:lang w:val="uk-UA"/>
        </w:rPr>
        <w:t>.</w:t>
      </w:r>
    </w:p>
    <w:p w14:paraId="02F64086" w14:textId="0D2966B4" w:rsidR="00791E3E" w:rsidRPr="00791E3E" w:rsidRDefault="00791E3E" w:rsidP="00791E3E">
      <w:pPr>
        <w:tabs>
          <w:tab w:val="left" w:pos="0"/>
          <w:tab w:val="left" w:pos="1134"/>
        </w:tabs>
        <w:ind w:firstLine="680"/>
        <w:jc w:val="both"/>
        <w:rPr>
          <w:sz w:val="28"/>
          <w:szCs w:val="28"/>
          <w:lang w:val="uk-UA"/>
        </w:rPr>
      </w:pPr>
      <w:r w:rsidRPr="00791E3E">
        <w:rPr>
          <w:sz w:val="28"/>
          <w:szCs w:val="28"/>
          <w:lang w:val="uk-UA"/>
        </w:rPr>
        <w:t>3.</w:t>
      </w:r>
      <w:r w:rsidR="006A18D2">
        <w:rPr>
          <w:sz w:val="28"/>
          <w:szCs w:val="28"/>
          <w:lang w:val="uk-UA"/>
        </w:rPr>
        <w:t>4</w:t>
      </w:r>
      <w:r w:rsidRPr="00791E3E">
        <w:rPr>
          <w:sz w:val="28"/>
          <w:szCs w:val="28"/>
          <w:lang w:val="uk-UA"/>
        </w:rPr>
        <w:t>.</w:t>
      </w:r>
      <w:r w:rsidRPr="00791E3E">
        <w:rPr>
          <w:sz w:val="28"/>
          <w:szCs w:val="28"/>
          <w:lang w:val="uk-UA"/>
        </w:rPr>
        <w:tab/>
        <w:t>Під час використання земельн</w:t>
      </w:r>
      <w:r w:rsidR="00E56771">
        <w:rPr>
          <w:sz w:val="28"/>
          <w:szCs w:val="28"/>
          <w:lang w:val="uk-UA"/>
        </w:rPr>
        <w:t>их</w:t>
      </w:r>
      <w:r w:rsidRPr="00791E3E">
        <w:rPr>
          <w:sz w:val="28"/>
          <w:szCs w:val="28"/>
          <w:lang w:val="uk-UA"/>
        </w:rPr>
        <w:t xml:space="preserve"> ділян</w:t>
      </w:r>
      <w:r w:rsidR="00E56771">
        <w:rPr>
          <w:sz w:val="28"/>
          <w:szCs w:val="28"/>
          <w:lang w:val="uk-UA"/>
        </w:rPr>
        <w:t>ок</w:t>
      </w:r>
      <w:r w:rsidRPr="00791E3E">
        <w:rPr>
          <w:sz w:val="28"/>
          <w:szCs w:val="28"/>
          <w:lang w:val="uk-UA"/>
        </w:rPr>
        <w:t xml:space="preserve"> дотримуватися обмежень у ї</w:t>
      </w:r>
      <w:r w:rsidR="00E56771">
        <w:rPr>
          <w:sz w:val="28"/>
          <w:szCs w:val="28"/>
          <w:lang w:val="uk-UA"/>
        </w:rPr>
        <w:t>х</w:t>
      </w:r>
      <w:r w:rsidRPr="00791E3E">
        <w:rPr>
          <w:sz w:val="28"/>
          <w:szCs w:val="28"/>
          <w:lang w:val="uk-UA"/>
        </w:rPr>
        <w:t xml:space="preserve"> використанні, зареєстрованих у Державному земельному кадастрі. </w:t>
      </w:r>
    </w:p>
    <w:p w14:paraId="3C1614BE" w14:textId="5AF77371" w:rsidR="00791E3E" w:rsidRPr="00791E3E" w:rsidRDefault="00791E3E" w:rsidP="00791E3E">
      <w:pPr>
        <w:tabs>
          <w:tab w:val="left" w:pos="0"/>
          <w:tab w:val="left" w:pos="1134"/>
        </w:tabs>
        <w:ind w:firstLine="680"/>
        <w:jc w:val="both"/>
        <w:rPr>
          <w:sz w:val="28"/>
          <w:szCs w:val="28"/>
          <w:lang w:val="uk-UA"/>
        </w:rPr>
      </w:pPr>
      <w:r w:rsidRPr="00791E3E">
        <w:rPr>
          <w:sz w:val="28"/>
          <w:szCs w:val="28"/>
          <w:lang w:val="uk-UA"/>
        </w:rPr>
        <w:t>3.</w:t>
      </w:r>
      <w:r w:rsidR="006A18D2">
        <w:rPr>
          <w:sz w:val="28"/>
          <w:szCs w:val="28"/>
          <w:lang w:val="uk-UA"/>
        </w:rPr>
        <w:t>5</w:t>
      </w:r>
      <w:r w:rsidRPr="00791E3E">
        <w:rPr>
          <w:sz w:val="28"/>
          <w:szCs w:val="28"/>
          <w:lang w:val="uk-UA"/>
        </w:rPr>
        <w:t>.</w:t>
      </w:r>
      <w:r w:rsidRPr="00791E3E">
        <w:rPr>
          <w:sz w:val="28"/>
          <w:szCs w:val="28"/>
          <w:lang w:val="uk-UA"/>
        </w:rPr>
        <w:tab/>
        <w:t>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3626A27B" w14:textId="4B2E607F" w:rsidR="00791E3E" w:rsidRDefault="00791E3E" w:rsidP="00791E3E">
      <w:pPr>
        <w:tabs>
          <w:tab w:val="left" w:pos="0"/>
          <w:tab w:val="left" w:pos="1134"/>
        </w:tabs>
        <w:ind w:firstLine="680"/>
        <w:jc w:val="both"/>
        <w:rPr>
          <w:sz w:val="28"/>
          <w:szCs w:val="28"/>
          <w:lang w:val="uk-UA"/>
        </w:rPr>
      </w:pPr>
      <w:r w:rsidRPr="00791E3E">
        <w:rPr>
          <w:sz w:val="28"/>
          <w:szCs w:val="28"/>
          <w:lang w:val="uk-UA"/>
        </w:rPr>
        <w:t>3.</w:t>
      </w:r>
      <w:r w:rsidR="006A18D2">
        <w:rPr>
          <w:sz w:val="28"/>
          <w:szCs w:val="28"/>
          <w:lang w:val="uk-UA"/>
        </w:rPr>
        <w:t>6</w:t>
      </w:r>
      <w:r w:rsidRPr="00791E3E">
        <w:rPr>
          <w:sz w:val="28"/>
          <w:szCs w:val="28"/>
          <w:lang w:val="uk-UA"/>
        </w:rPr>
        <w:t>. Дотримуватися вимог Закону України «Про охорону культурної спадщини».</w:t>
      </w:r>
    </w:p>
    <w:p w14:paraId="59BE46FC" w14:textId="187E8294" w:rsidR="00455F47" w:rsidRPr="00791E3E" w:rsidRDefault="00455F47" w:rsidP="00791E3E">
      <w:pPr>
        <w:tabs>
          <w:tab w:val="left" w:pos="0"/>
          <w:tab w:val="left" w:pos="1134"/>
        </w:tabs>
        <w:ind w:firstLine="680"/>
        <w:jc w:val="both"/>
        <w:rPr>
          <w:sz w:val="28"/>
          <w:szCs w:val="28"/>
          <w:lang w:val="uk-UA"/>
        </w:rPr>
      </w:pPr>
      <w:r>
        <w:rPr>
          <w:sz w:val="28"/>
          <w:szCs w:val="28"/>
          <w:lang w:val="uk-UA"/>
        </w:rPr>
        <w:t>3.</w:t>
      </w:r>
      <w:r w:rsidR="006A18D2">
        <w:rPr>
          <w:sz w:val="28"/>
          <w:szCs w:val="28"/>
          <w:lang w:val="uk-UA"/>
        </w:rPr>
        <w:t>7</w:t>
      </w:r>
      <w:r>
        <w:rPr>
          <w:sz w:val="28"/>
          <w:szCs w:val="28"/>
          <w:lang w:val="uk-UA"/>
        </w:rPr>
        <w:t xml:space="preserve">. </w:t>
      </w:r>
      <w:r w:rsidRPr="00455F47">
        <w:rPr>
          <w:sz w:val="28"/>
          <w:szCs w:val="28"/>
          <w:lang w:val="uk-UA"/>
        </w:rPr>
        <w:t>Земельн</w:t>
      </w:r>
      <w:r>
        <w:rPr>
          <w:sz w:val="28"/>
          <w:szCs w:val="28"/>
          <w:lang w:val="uk-UA"/>
        </w:rPr>
        <w:t>і</w:t>
      </w:r>
      <w:r w:rsidRPr="00455F47">
        <w:rPr>
          <w:sz w:val="28"/>
          <w:szCs w:val="28"/>
          <w:lang w:val="uk-UA"/>
        </w:rPr>
        <w:t xml:space="preserve"> ділянк</w:t>
      </w:r>
      <w:r>
        <w:rPr>
          <w:sz w:val="28"/>
          <w:szCs w:val="28"/>
          <w:lang w:val="uk-UA"/>
        </w:rPr>
        <w:t>и</w:t>
      </w:r>
      <w:r w:rsidRPr="00455F47">
        <w:rPr>
          <w:sz w:val="28"/>
          <w:szCs w:val="28"/>
          <w:lang w:val="uk-UA"/>
        </w:rPr>
        <w:t xml:space="preserve"> в межах червоних ліній використовувати з обмеженнями відповідно до вимог містобудівного законодавства та Закону України «Про автомобільні дороги».</w:t>
      </w:r>
    </w:p>
    <w:p w14:paraId="123027CF" w14:textId="5E8A33DB" w:rsidR="00455F47" w:rsidRPr="00455F47" w:rsidRDefault="00455F47" w:rsidP="00455F47">
      <w:pPr>
        <w:tabs>
          <w:tab w:val="left" w:pos="0"/>
          <w:tab w:val="left" w:pos="1134"/>
        </w:tabs>
        <w:ind w:firstLine="680"/>
        <w:jc w:val="both"/>
        <w:rPr>
          <w:sz w:val="28"/>
          <w:szCs w:val="28"/>
          <w:lang w:val="uk-UA"/>
        </w:rPr>
      </w:pPr>
      <w:r w:rsidRPr="00455F47">
        <w:rPr>
          <w:sz w:val="28"/>
          <w:szCs w:val="28"/>
          <w:lang w:val="uk-UA"/>
        </w:rPr>
        <w:lastRenderedPageBreak/>
        <w:t>4.</w:t>
      </w:r>
      <w:r w:rsidRPr="00455F47">
        <w:rPr>
          <w:sz w:val="28"/>
          <w:szCs w:val="28"/>
          <w:lang w:val="uk-UA"/>
        </w:rPr>
        <w:tab/>
        <w:t>Попередити землекористувача, що використання земельн</w:t>
      </w:r>
      <w:r w:rsidR="00E56771">
        <w:rPr>
          <w:sz w:val="28"/>
          <w:szCs w:val="28"/>
          <w:lang w:val="uk-UA"/>
        </w:rPr>
        <w:t>их</w:t>
      </w:r>
      <w:r w:rsidRPr="00455F47">
        <w:rPr>
          <w:sz w:val="28"/>
          <w:szCs w:val="28"/>
          <w:lang w:val="uk-UA"/>
        </w:rPr>
        <w:t xml:space="preserve"> ділян</w:t>
      </w:r>
      <w:r w:rsidR="00E56771">
        <w:rPr>
          <w:sz w:val="28"/>
          <w:szCs w:val="28"/>
          <w:lang w:val="uk-UA"/>
        </w:rPr>
        <w:t>ок</w:t>
      </w:r>
      <w:r w:rsidRPr="00455F47">
        <w:rPr>
          <w:sz w:val="28"/>
          <w:szCs w:val="28"/>
          <w:lang w:val="uk-UA"/>
        </w:rPr>
        <w:t xml:space="preserve"> не за цільовим призначенням тягне за собою припинення права користування н</w:t>
      </w:r>
      <w:r w:rsidR="00E56771">
        <w:rPr>
          <w:sz w:val="28"/>
          <w:szCs w:val="28"/>
          <w:lang w:val="uk-UA"/>
        </w:rPr>
        <w:t>ими</w:t>
      </w:r>
      <w:r w:rsidRPr="00455F47">
        <w:rPr>
          <w:sz w:val="28"/>
          <w:szCs w:val="28"/>
          <w:lang w:val="uk-UA"/>
        </w:rPr>
        <w:t xml:space="preserve"> відповідно до вимог статей 141, 143 Земельного кодексу України.</w:t>
      </w:r>
    </w:p>
    <w:p w14:paraId="5C73FB5A" w14:textId="6F5D2E32" w:rsidR="00455F47" w:rsidRPr="00455F47" w:rsidRDefault="00455F47" w:rsidP="00455F47">
      <w:pPr>
        <w:tabs>
          <w:tab w:val="left" w:pos="0"/>
          <w:tab w:val="left" w:pos="1134"/>
        </w:tabs>
        <w:ind w:firstLine="680"/>
        <w:jc w:val="both"/>
        <w:rPr>
          <w:sz w:val="28"/>
          <w:szCs w:val="28"/>
          <w:lang w:val="uk-UA"/>
        </w:rPr>
      </w:pPr>
      <w:r w:rsidRPr="00455F47">
        <w:rPr>
          <w:sz w:val="28"/>
          <w:szCs w:val="28"/>
          <w:lang w:val="uk-UA"/>
        </w:rPr>
        <w:t>5.</w:t>
      </w:r>
      <w:r w:rsidRPr="00455F47">
        <w:rPr>
          <w:sz w:val="28"/>
          <w:szCs w:val="28"/>
          <w:lang w:val="uk-UA"/>
        </w:rPr>
        <w:tab/>
        <w:t>Дане рішення набирає чинності та вважається доведеним до відома заявника з дня його оприлюднення на офіційному вебсайті Київської міської ради і втрачає чинність через дванадцять місяців, у разі якщо протягом цього строку не укладений відповідний договір оренди земельн</w:t>
      </w:r>
      <w:r w:rsidR="00E56771">
        <w:rPr>
          <w:sz w:val="28"/>
          <w:szCs w:val="28"/>
          <w:lang w:val="uk-UA"/>
        </w:rPr>
        <w:t>их</w:t>
      </w:r>
      <w:r w:rsidRPr="00455F47">
        <w:rPr>
          <w:sz w:val="28"/>
          <w:szCs w:val="28"/>
          <w:lang w:val="uk-UA"/>
        </w:rPr>
        <w:t xml:space="preserve"> ділян</w:t>
      </w:r>
      <w:r w:rsidR="00E56771">
        <w:rPr>
          <w:sz w:val="28"/>
          <w:szCs w:val="28"/>
          <w:lang w:val="uk-UA"/>
        </w:rPr>
        <w:t>ок</w:t>
      </w:r>
      <w:r w:rsidRPr="00455F47">
        <w:rPr>
          <w:sz w:val="28"/>
          <w:szCs w:val="28"/>
          <w:lang w:val="uk-UA"/>
        </w:rPr>
        <w:t>.</w:t>
      </w:r>
    </w:p>
    <w:p w14:paraId="45D313E4" w14:textId="59E6BE27" w:rsidR="002D0F54" w:rsidRDefault="00455F47" w:rsidP="00455F47">
      <w:pPr>
        <w:tabs>
          <w:tab w:val="left" w:pos="0"/>
          <w:tab w:val="left" w:pos="1134"/>
        </w:tabs>
        <w:ind w:firstLine="680"/>
        <w:jc w:val="both"/>
        <w:rPr>
          <w:sz w:val="28"/>
          <w:szCs w:val="28"/>
          <w:lang w:val="uk-UA"/>
        </w:rPr>
      </w:pPr>
      <w:r w:rsidRPr="00455F47">
        <w:rPr>
          <w:sz w:val="28"/>
          <w:szCs w:val="28"/>
          <w:lang w:val="uk-UA"/>
        </w:rPr>
        <w:t>6.</w:t>
      </w:r>
      <w:r w:rsidRPr="00455F47">
        <w:rPr>
          <w:sz w:val="28"/>
          <w:szCs w:val="28"/>
          <w:lang w:val="uk-UA"/>
        </w:rPr>
        <w:tab/>
      </w:r>
      <w:r w:rsidRPr="00455F47">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0419D60F" w14:textId="6E35A289" w:rsidR="00455F47" w:rsidRDefault="00455F47" w:rsidP="00455F47">
      <w:pPr>
        <w:tabs>
          <w:tab w:val="left" w:pos="0"/>
          <w:tab w:val="left" w:pos="1134"/>
        </w:tabs>
        <w:ind w:firstLine="680"/>
        <w:jc w:val="both"/>
        <w:rPr>
          <w:sz w:val="28"/>
          <w:szCs w:val="28"/>
          <w:lang w:val="uk-UA"/>
        </w:rPr>
      </w:pPr>
    </w:p>
    <w:p w14:paraId="1AA95E9A" w14:textId="77777777" w:rsidR="00455F47" w:rsidRPr="00105124" w:rsidRDefault="00455F47" w:rsidP="00455F47">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3"/>
        <w:gridCol w:w="3595"/>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21C1E078"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В.о. заступника директора Департаменту – </w:t>
            </w:r>
          </w:p>
          <w:p w14:paraId="25CD25DA"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начальника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569D497" w:rsidR="00915073" w:rsidRDefault="00915073" w:rsidP="00915073">
            <w:pPr>
              <w:jc w:val="right"/>
              <w:rPr>
                <w:rStyle w:val="af0"/>
                <w:b w:val="0"/>
                <w:sz w:val="28"/>
                <w:szCs w:val="28"/>
                <w:lang w:val="uk-UA"/>
              </w:rPr>
            </w:pPr>
          </w:p>
          <w:p w14:paraId="780D9A91" w14:textId="77777777" w:rsidR="0012031C" w:rsidRPr="000056C5" w:rsidRDefault="0012031C"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
        <w:gridCol w:w="4840"/>
        <w:gridCol w:w="825"/>
        <w:gridCol w:w="3763"/>
        <w:gridCol w:w="105"/>
      </w:tblGrid>
      <w:tr w:rsidR="004425F4" w14:paraId="2E3E08D9" w14:textId="77777777" w:rsidTr="004425F4">
        <w:tc>
          <w:tcPr>
            <w:tcW w:w="5920" w:type="dxa"/>
            <w:gridSpan w:val="3"/>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gridSpan w:val="2"/>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gridSpan w:val="3"/>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gridSpan w:val="2"/>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3F6D0B3F" w14:textId="77777777" w:rsidTr="004425F4">
        <w:tc>
          <w:tcPr>
            <w:tcW w:w="5920" w:type="dxa"/>
            <w:gridSpan w:val="3"/>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gridSpan w:val="2"/>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r w:rsidR="00455F47" w:rsidRPr="009273E9" w14:paraId="003CB28B" w14:textId="77777777" w:rsidTr="00455F47">
        <w:trPr>
          <w:gridBefore w:val="1"/>
          <w:gridAfter w:val="1"/>
          <w:wBefore w:w="108" w:type="dxa"/>
          <w:wAfter w:w="108" w:type="dxa"/>
        </w:trPr>
        <w:tc>
          <w:tcPr>
            <w:tcW w:w="4954" w:type="dxa"/>
          </w:tcPr>
          <w:p w14:paraId="4CD8D297" w14:textId="77777777" w:rsidR="00455F47" w:rsidRPr="009273E9" w:rsidRDefault="00455F47" w:rsidP="004B04B7">
            <w:pPr>
              <w:jc w:val="both"/>
              <w:rPr>
                <w:sz w:val="28"/>
                <w:szCs w:val="28"/>
                <w:lang w:val="uk-UA" w:eastAsia="uk-UA"/>
              </w:rPr>
            </w:pPr>
          </w:p>
          <w:p w14:paraId="317B2991" w14:textId="77777777" w:rsidR="00455F47" w:rsidRPr="009273E9" w:rsidRDefault="00455F47" w:rsidP="004B04B7">
            <w:pPr>
              <w:jc w:val="both"/>
              <w:rPr>
                <w:sz w:val="28"/>
                <w:szCs w:val="28"/>
                <w:lang w:val="uk-UA" w:eastAsia="uk-UA"/>
              </w:rPr>
            </w:pPr>
          </w:p>
          <w:p w14:paraId="5CF66DD3" w14:textId="77777777" w:rsidR="00455F47" w:rsidRPr="009273E9" w:rsidRDefault="00455F47" w:rsidP="00CD41C4">
            <w:pPr>
              <w:ind w:left="-105"/>
              <w:rPr>
                <w:sz w:val="28"/>
                <w:szCs w:val="28"/>
                <w:lang w:val="uk-UA"/>
              </w:rPr>
            </w:pPr>
            <w:r w:rsidRPr="009273E9">
              <w:rPr>
                <w:sz w:val="28"/>
                <w:szCs w:val="28"/>
                <w:lang w:val="uk-UA" w:eastAsia="uk-UA"/>
              </w:rPr>
              <w:t xml:space="preserve">Постійна комісія Київської міської ради з питань </w:t>
            </w:r>
            <w:r w:rsidRPr="009273E9">
              <w:rPr>
                <w:sz w:val="28"/>
                <w:szCs w:val="28"/>
                <w:lang w:val="uk-UA"/>
              </w:rPr>
              <w:t>транспорту, зв’язку та реклами</w:t>
            </w:r>
          </w:p>
          <w:p w14:paraId="74E022CC" w14:textId="77777777" w:rsidR="00455F47" w:rsidRPr="009273E9" w:rsidRDefault="00455F47" w:rsidP="00CD41C4">
            <w:pPr>
              <w:ind w:left="-105"/>
              <w:jc w:val="both"/>
              <w:rPr>
                <w:sz w:val="28"/>
                <w:szCs w:val="28"/>
                <w:lang w:val="uk-UA"/>
              </w:rPr>
            </w:pPr>
          </w:p>
          <w:p w14:paraId="55A3E292" w14:textId="77777777" w:rsidR="00455F47" w:rsidRPr="009273E9" w:rsidRDefault="00455F47" w:rsidP="00CD41C4">
            <w:pPr>
              <w:ind w:left="-105"/>
              <w:jc w:val="both"/>
              <w:rPr>
                <w:sz w:val="28"/>
                <w:szCs w:val="28"/>
                <w:lang w:val="uk-UA" w:eastAsia="uk-UA"/>
              </w:rPr>
            </w:pPr>
            <w:r w:rsidRPr="009273E9">
              <w:rPr>
                <w:sz w:val="28"/>
                <w:szCs w:val="28"/>
                <w:lang w:val="uk-UA" w:eastAsia="uk-UA"/>
              </w:rPr>
              <w:t xml:space="preserve">Голова                                                      </w:t>
            </w:r>
          </w:p>
          <w:p w14:paraId="0B37DBA0" w14:textId="77777777" w:rsidR="00455F47" w:rsidRPr="009273E9" w:rsidRDefault="00455F47" w:rsidP="004B04B7">
            <w:pPr>
              <w:jc w:val="both"/>
              <w:rPr>
                <w:sz w:val="28"/>
                <w:szCs w:val="28"/>
                <w:lang w:val="uk-UA" w:eastAsia="uk-UA"/>
              </w:rPr>
            </w:pPr>
          </w:p>
          <w:p w14:paraId="78F141C5" w14:textId="0FCF9D60" w:rsidR="00455F47" w:rsidRPr="009273E9" w:rsidRDefault="00455F47" w:rsidP="004B04B7">
            <w:pPr>
              <w:jc w:val="both"/>
              <w:rPr>
                <w:sz w:val="28"/>
                <w:szCs w:val="28"/>
                <w:lang w:val="uk-UA" w:eastAsia="uk-UA"/>
              </w:rPr>
            </w:pPr>
          </w:p>
        </w:tc>
        <w:tc>
          <w:tcPr>
            <w:tcW w:w="4684" w:type="dxa"/>
            <w:gridSpan w:val="2"/>
          </w:tcPr>
          <w:p w14:paraId="5A7508B1" w14:textId="77777777" w:rsidR="00455F47" w:rsidRPr="009273E9" w:rsidRDefault="00455F47" w:rsidP="004B04B7">
            <w:pPr>
              <w:jc w:val="right"/>
              <w:rPr>
                <w:rStyle w:val="af0"/>
                <w:b w:val="0"/>
                <w:sz w:val="28"/>
                <w:szCs w:val="28"/>
              </w:rPr>
            </w:pPr>
          </w:p>
          <w:p w14:paraId="56DB5E51" w14:textId="77777777" w:rsidR="00455F47" w:rsidRPr="009273E9" w:rsidRDefault="00455F47" w:rsidP="004B04B7">
            <w:pPr>
              <w:jc w:val="right"/>
              <w:rPr>
                <w:rStyle w:val="af0"/>
                <w:b w:val="0"/>
                <w:sz w:val="28"/>
                <w:szCs w:val="28"/>
              </w:rPr>
            </w:pPr>
          </w:p>
          <w:p w14:paraId="38BE3878" w14:textId="77777777" w:rsidR="00455F47" w:rsidRPr="009273E9" w:rsidRDefault="00455F47" w:rsidP="004B04B7">
            <w:pPr>
              <w:jc w:val="right"/>
              <w:rPr>
                <w:rStyle w:val="af0"/>
                <w:b w:val="0"/>
                <w:sz w:val="28"/>
                <w:szCs w:val="28"/>
              </w:rPr>
            </w:pPr>
          </w:p>
          <w:p w14:paraId="4EBA8052" w14:textId="77777777" w:rsidR="00455F47" w:rsidRPr="009273E9" w:rsidRDefault="00455F47" w:rsidP="004B04B7">
            <w:pPr>
              <w:jc w:val="right"/>
              <w:rPr>
                <w:sz w:val="28"/>
                <w:szCs w:val="28"/>
                <w:lang w:val="uk-UA" w:eastAsia="uk-UA"/>
              </w:rPr>
            </w:pPr>
          </w:p>
          <w:p w14:paraId="63D9B54F" w14:textId="77777777" w:rsidR="00455F47" w:rsidRPr="009273E9" w:rsidRDefault="00455F47" w:rsidP="004B04B7">
            <w:pPr>
              <w:jc w:val="right"/>
              <w:rPr>
                <w:sz w:val="28"/>
                <w:szCs w:val="28"/>
                <w:lang w:val="uk-UA" w:eastAsia="uk-UA"/>
              </w:rPr>
            </w:pPr>
          </w:p>
          <w:p w14:paraId="45502599" w14:textId="77777777" w:rsidR="00455F47" w:rsidRPr="009273E9" w:rsidRDefault="00455F47" w:rsidP="004B04B7">
            <w:pPr>
              <w:jc w:val="right"/>
              <w:rPr>
                <w:sz w:val="28"/>
                <w:szCs w:val="28"/>
                <w:lang w:val="uk-UA" w:eastAsia="uk-UA"/>
              </w:rPr>
            </w:pPr>
          </w:p>
          <w:p w14:paraId="2EBF3739" w14:textId="77777777" w:rsidR="00455F47" w:rsidRPr="009273E9" w:rsidRDefault="00455F47" w:rsidP="00CD41C4">
            <w:pPr>
              <w:ind w:right="-114"/>
              <w:jc w:val="right"/>
              <w:rPr>
                <w:sz w:val="28"/>
                <w:szCs w:val="28"/>
                <w:lang w:val="uk-UA" w:eastAsia="uk-UA"/>
              </w:rPr>
            </w:pPr>
            <w:r w:rsidRPr="009273E9">
              <w:rPr>
                <w:sz w:val="28"/>
                <w:szCs w:val="28"/>
                <w:lang w:val="uk-UA" w:eastAsia="uk-UA"/>
              </w:rPr>
              <w:t>Олексій ОКОПНИЙ</w:t>
            </w:r>
          </w:p>
          <w:p w14:paraId="78B65AF9" w14:textId="77777777" w:rsidR="00455F47" w:rsidRPr="009273E9" w:rsidRDefault="00455F47" w:rsidP="004B04B7">
            <w:pPr>
              <w:jc w:val="right"/>
              <w:rPr>
                <w:sz w:val="28"/>
                <w:szCs w:val="28"/>
                <w:lang w:val="uk-UA" w:eastAsia="uk-UA"/>
              </w:rPr>
            </w:pPr>
          </w:p>
          <w:p w14:paraId="06CCF76D" w14:textId="50D4D3D6" w:rsidR="00455F47" w:rsidRPr="009273E9" w:rsidRDefault="00455F47" w:rsidP="004B04B7">
            <w:pPr>
              <w:jc w:val="right"/>
              <w:rPr>
                <w:sz w:val="28"/>
                <w:szCs w:val="28"/>
                <w:lang w:val="uk-UA" w:eastAsia="uk-UA"/>
              </w:rPr>
            </w:pPr>
          </w:p>
        </w:tc>
      </w:tr>
    </w:tbl>
    <w:p w14:paraId="78663272" w14:textId="0F29DBDD" w:rsidR="00692C91" w:rsidRDefault="00692C91" w:rsidP="003045CE">
      <w:pPr>
        <w:tabs>
          <w:tab w:val="left" w:pos="6379"/>
        </w:tabs>
        <w:jc w:val="both"/>
        <w:rPr>
          <w:color w:val="000000"/>
          <w:sz w:val="28"/>
          <w:szCs w:val="28"/>
          <w:lang w:val="uk-UA" w:eastAsia="uk-UA"/>
        </w:rPr>
      </w:pPr>
    </w:p>
    <w:p w14:paraId="27622FC7" w14:textId="2F97300C" w:rsidR="0098169A" w:rsidRPr="006600D7" w:rsidRDefault="006600D7" w:rsidP="00B85A4E">
      <w:pPr>
        <w:rPr>
          <w:b/>
          <w:bCs/>
          <w:color w:val="000000"/>
          <w:sz w:val="28"/>
          <w:szCs w:val="28"/>
          <w:lang w:val="en-US" w:eastAsia="uk-UA"/>
        </w:rPr>
      </w:pPr>
      <w:r>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D5D30" w14:textId="77777777" w:rsidR="000B1D5B" w:rsidRDefault="000B1D5B">
      <w:r>
        <w:separator/>
      </w:r>
    </w:p>
  </w:endnote>
  <w:endnote w:type="continuationSeparator" w:id="0">
    <w:p w14:paraId="6218CEBC" w14:textId="77777777" w:rsidR="000B1D5B" w:rsidRDefault="000B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15524" w14:textId="77777777" w:rsidR="000B1D5B" w:rsidRDefault="000B1D5B">
      <w:r>
        <w:separator/>
      </w:r>
    </w:p>
  </w:footnote>
  <w:footnote w:type="continuationSeparator" w:id="0">
    <w:p w14:paraId="34E3CED2" w14:textId="77777777" w:rsidR="000B1D5B" w:rsidRDefault="000B1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95284180">
    <w:abstractNumId w:val="10"/>
  </w:num>
  <w:num w:numId="2" w16cid:durableId="1747025846">
    <w:abstractNumId w:val="6"/>
  </w:num>
  <w:num w:numId="3" w16cid:durableId="1308245927">
    <w:abstractNumId w:val="9"/>
  </w:num>
  <w:num w:numId="4" w16cid:durableId="384260035">
    <w:abstractNumId w:val="0"/>
  </w:num>
  <w:num w:numId="5" w16cid:durableId="939215848">
    <w:abstractNumId w:val="8"/>
  </w:num>
  <w:num w:numId="6" w16cid:durableId="1505893793">
    <w:abstractNumId w:val="4"/>
  </w:num>
  <w:num w:numId="7" w16cid:durableId="124006843">
    <w:abstractNumId w:val="5"/>
  </w:num>
  <w:num w:numId="8" w16cid:durableId="515271450">
    <w:abstractNumId w:val="7"/>
  </w:num>
  <w:num w:numId="9" w16cid:durableId="413402544">
    <w:abstractNumId w:val="2"/>
  </w:num>
  <w:num w:numId="10" w16cid:durableId="1289824133">
    <w:abstractNumId w:val="1"/>
  </w:num>
  <w:num w:numId="11" w16cid:durableId="1118837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1D5B"/>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31C"/>
    <w:rsid w:val="00120DD7"/>
    <w:rsid w:val="00125855"/>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55F47"/>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707"/>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571C"/>
    <w:rsid w:val="00692C91"/>
    <w:rsid w:val="006962AA"/>
    <w:rsid w:val="006A18D2"/>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1E3E"/>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83380"/>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85A4E"/>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8786C"/>
    <w:rsid w:val="00C96D29"/>
    <w:rsid w:val="00CA1448"/>
    <w:rsid w:val="00CA4613"/>
    <w:rsid w:val="00CA6FE8"/>
    <w:rsid w:val="00CB3F81"/>
    <w:rsid w:val="00CB4B22"/>
    <w:rsid w:val="00CC1AE0"/>
    <w:rsid w:val="00CC2385"/>
    <w:rsid w:val="00CD114E"/>
    <w:rsid w:val="00CD41C4"/>
    <w:rsid w:val="00CE6FE3"/>
    <w:rsid w:val="00CF5078"/>
    <w:rsid w:val="00CF7C0F"/>
    <w:rsid w:val="00D0105B"/>
    <w:rsid w:val="00D02912"/>
    <w:rsid w:val="00D039C1"/>
    <w:rsid w:val="00D100D5"/>
    <w:rsid w:val="00D11AEB"/>
    <w:rsid w:val="00D26E44"/>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56771"/>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824</Words>
  <Characters>4697</Characters>
  <Application>Microsoft Office Word</Application>
  <DocSecurity>0</DocSecurity>
  <Lines>39</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5510</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Абреу Олена Миколаївна</cp:lastModifiedBy>
  <cp:revision>6</cp:revision>
  <cp:lastPrinted>2024-10-08T14:04:00Z</cp:lastPrinted>
  <dcterms:created xsi:type="dcterms:W3CDTF">2024-10-08T12:19:00Z</dcterms:created>
  <dcterms:modified xsi:type="dcterms:W3CDTF">2024-10-23T11:34:00Z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