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42582891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36"/>
      </w:tblGrid>
      <w:tr w:rsidR="00F6318B" w:rsidRPr="007E2864" w14:paraId="6C1844F6" w14:textId="77777777" w:rsidTr="00D449F0">
        <w:trPr>
          <w:trHeight w:val="2500"/>
        </w:trPr>
        <w:tc>
          <w:tcPr>
            <w:tcW w:w="4536" w:type="dxa"/>
            <w:shd w:val="clear" w:color="auto" w:fill="auto"/>
            <w:hideMark/>
          </w:tcPr>
          <w:p w14:paraId="22427F3E" w14:textId="3D709930" w:rsidR="00F6318B" w:rsidRPr="00B0502F" w:rsidRDefault="00E2725F" w:rsidP="00D449F0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49F0" w:rsidRPr="00D449F0">
              <w:rPr>
                <w:b/>
                <w:sz w:val="28"/>
                <w:szCs w:val="28"/>
                <w:highlight w:val="white"/>
                <w:lang w:eastAsia="uk-UA"/>
              </w:rPr>
              <w:t>приватн</w:t>
            </w:r>
            <w:r w:rsidR="00D449F0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proofErr w:type="spellEnd"/>
            <w:r w:rsidR="00D449F0" w:rsidRPr="00D449F0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D449F0" w:rsidRPr="00D449F0">
              <w:rPr>
                <w:b/>
                <w:sz w:val="28"/>
                <w:szCs w:val="28"/>
                <w:highlight w:val="white"/>
                <w:lang w:eastAsia="uk-UA"/>
              </w:rPr>
              <w:t>акціонерн</w:t>
            </w:r>
            <w:r w:rsidR="00D449F0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proofErr w:type="spellEnd"/>
            <w:r w:rsidR="00D449F0" w:rsidRPr="00D449F0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D449F0" w:rsidRPr="00D449F0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D449F0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D449F0" w:rsidRPr="00D449F0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D449F0">
              <w:rPr>
                <w:b/>
                <w:sz w:val="28"/>
                <w:szCs w:val="28"/>
                <w:highlight w:val="white"/>
                <w:lang w:eastAsia="uk-UA"/>
              </w:rPr>
              <w:t>«ДТЕК КИЇВСЬКІ ЕЛЕКТОРОМЕРЕЖІ»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26 грудня 2012 року </w:t>
            </w:r>
            <w:r w:rsidR="00D449F0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63-6-00685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380511844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380511844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4449056F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D449F0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D449F0" w:rsidRPr="00D449F0">
        <w:rPr>
          <w:snapToGrid w:val="0"/>
          <w:sz w:val="28"/>
          <w:lang w:val="uk-UA"/>
        </w:rPr>
        <w:t>приватн</w:t>
      </w:r>
      <w:r w:rsidR="00D449F0">
        <w:rPr>
          <w:snapToGrid w:val="0"/>
          <w:sz w:val="28"/>
          <w:lang w:val="uk-UA"/>
        </w:rPr>
        <w:t>ого</w:t>
      </w:r>
      <w:r w:rsidR="00D449F0" w:rsidRPr="00D449F0">
        <w:rPr>
          <w:snapToGrid w:val="0"/>
          <w:sz w:val="28"/>
          <w:lang w:val="uk-UA"/>
        </w:rPr>
        <w:t xml:space="preserve"> акціонерн</w:t>
      </w:r>
      <w:r w:rsidR="00D449F0">
        <w:rPr>
          <w:snapToGrid w:val="0"/>
          <w:sz w:val="28"/>
          <w:lang w:val="uk-UA"/>
        </w:rPr>
        <w:t>ого</w:t>
      </w:r>
      <w:r w:rsidR="00D449F0" w:rsidRPr="00D449F0">
        <w:rPr>
          <w:snapToGrid w:val="0"/>
          <w:sz w:val="28"/>
          <w:lang w:val="uk-UA"/>
        </w:rPr>
        <w:t xml:space="preserve"> товариств</w:t>
      </w:r>
      <w:r w:rsidR="00D449F0">
        <w:rPr>
          <w:snapToGrid w:val="0"/>
          <w:sz w:val="28"/>
          <w:lang w:val="uk-UA"/>
        </w:rPr>
        <w:t xml:space="preserve">а </w:t>
      </w:r>
      <w:r w:rsidRPr="00D449F0">
        <w:rPr>
          <w:snapToGrid w:val="0"/>
          <w:sz w:val="28"/>
          <w:lang w:val="uk-UA"/>
        </w:rPr>
        <w:t>«ДТЕК КИЇВСЬКІ ЕЛЕКТОРОМЕРЕЖІ»</w:t>
      </w:r>
      <w:r>
        <w:rPr>
          <w:snapToGrid w:val="0"/>
          <w:sz w:val="28"/>
          <w:lang w:val="uk-UA"/>
        </w:rPr>
        <w:t xml:space="preserve"> </w:t>
      </w:r>
      <w:r w:rsidR="00D449F0">
        <w:rPr>
          <w:snapToGrid w:val="0"/>
          <w:sz w:val="28"/>
          <w:lang w:val="uk-UA"/>
        </w:rPr>
        <w:t xml:space="preserve">                                   </w:t>
      </w:r>
      <w:r>
        <w:rPr>
          <w:snapToGrid w:val="0"/>
          <w:sz w:val="28"/>
          <w:lang w:val="uk-UA"/>
        </w:rPr>
        <w:t xml:space="preserve">від </w:t>
      </w:r>
      <w:r w:rsidR="005C6107" w:rsidRPr="00D449F0">
        <w:rPr>
          <w:snapToGrid w:val="0"/>
          <w:sz w:val="28"/>
          <w:lang w:val="uk-UA"/>
        </w:rPr>
        <w:t>29 вересня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D449F0">
        <w:rPr>
          <w:snapToGrid w:val="0"/>
          <w:sz w:val="28"/>
          <w:lang w:val="uk-UA"/>
        </w:rPr>
        <w:t>380511844</w:t>
      </w:r>
      <w:r w:rsidR="00B178B5">
        <w:rPr>
          <w:snapToGrid w:val="0"/>
          <w:sz w:val="28"/>
          <w:lang w:val="uk-UA"/>
        </w:rPr>
        <w:t>,</w:t>
      </w:r>
      <w:r w:rsidR="00D449F0">
        <w:rPr>
          <w:snapToGrid w:val="0"/>
          <w:sz w:val="28"/>
          <w:lang w:val="uk-UA"/>
        </w:rPr>
        <w:t xml:space="preserve"> від 08 листопада 2022 року                                     № 1/04/33244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D449F0">
      <w:pPr>
        <w:pStyle w:val="ParagraphStyle"/>
        <w:ind w:right="-1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C021CD5" w:rsidR="00C72FE2" w:rsidRPr="000F0CD4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D449F0"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приватн</w:t>
      </w:r>
      <w:r w:rsid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D449F0"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акціонерн</w:t>
      </w:r>
      <w:r w:rsid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D449F0"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товариств</w:t>
      </w:r>
      <w:r w:rsid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449F0"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«ДТЕК КИЇВСЬКІ ЕЛЕКТОРОМЕРЕЖІ»</w:t>
      </w:r>
      <w:r w:rsidR="00D449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D449F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від 26 грудня 2012 року № 63-6-00685 </w:t>
      </w:r>
      <w:r w:rsidRPr="00D449F0">
        <w:rPr>
          <w:rFonts w:ascii="Times New Roman" w:hAnsi="Times New Roman"/>
          <w:sz w:val="28"/>
          <w:szCs w:val="28"/>
          <w:lang w:val="uk-UA"/>
        </w:rPr>
        <w:t xml:space="preserve">для будівництва, експлуатації та обслуговування </w:t>
      </w:r>
      <w:r w:rsidR="000F0CD4">
        <w:rPr>
          <w:rFonts w:ascii="Times New Roman" w:hAnsi="Times New Roman"/>
          <w:sz w:val="28"/>
          <w:szCs w:val="28"/>
          <w:lang w:val="uk-UA"/>
        </w:rPr>
        <w:t xml:space="preserve">трансформаторної підстанції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F0CD4"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Дніпровськ</w:t>
      </w:r>
      <w:r w:rsidR="000F0C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0F0CD4"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набережн</w:t>
      </w:r>
      <w:r w:rsidR="000F0C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Pr="00D449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0C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(3-й мікрорайон </w:t>
      </w:r>
      <w:r w:rsidR="000F0CD4" w:rsidRPr="000F0C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житлового </w:t>
      </w:r>
      <w:r w:rsidRPr="000F0C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масиву</w:t>
      </w:r>
      <w:r w:rsidR="000F0CD4" w:rsidRPr="000F0C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F0C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Позняки</w:t>
      </w:r>
      <w:proofErr w:type="spellEnd"/>
      <w:r w:rsidRPr="000F0C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-Західні) у Дарницькому районі</w:t>
      </w:r>
      <w:r w:rsidRPr="000F0C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 w:rsidRPr="000F0CD4">
        <w:rPr>
          <w:rFonts w:ascii="Times New Roman" w:hAnsi="Times New Roman"/>
          <w:sz w:val="28"/>
          <w:szCs w:val="28"/>
          <w:lang w:val="uk-UA"/>
        </w:rPr>
        <w:t>м. Києва</w:t>
      </w:r>
      <w:r w:rsidR="00D449F0" w:rsidRPr="000F0CD4">
        <w:rPr>
          <w:rFonts w:ascii="Times New Roman" w:hAnsi="Times New Roman"/>
          <w:sz w:val="28"/>
          <w:szCs w:val="28"/>
          <w:lang w:val="uk-UA"/>
        </w:rPr>
        <w:t xml:space="preserve"> (кадастровий номер 8000000000:90:145:0036; площа </w:t>
      </w:r>
      <w:r w:rsidR="00D449F0" w:rsidRPr="000F0CD4">
        <w:rPr>
          <w:rFonts w:ascii="Times New Roman" w:hAnsi="Times New Roman"/>
          <w:sz w:val="28"/>
          <w:szCs w:val="28"/>
          <w:highlight w:val="white"/>
          <w:lang w:val="uk-UA" w:eastAsia="uk-UA"/>
        </w:rPr>
        <w:t>0,1344</w:t>
      </w:r>
      <w:r w:rsidR="00D449F0" w:rsidRPr="000F0CD4">
        <w:rPr>
          <w:rFonts w:ascii="Times New Roman" w:hAnsi="Times New Roman"/>
          <w:sz w:val="28"/>
          <w:szCs w:val="28"/>
          <w:lang w:val="uk-UA"/>
        </w:rPr>
        <w:t xml:space="preserve"> га; </w:t>
      </w:r>
      <w:r w:rsidRPr="000F0CD4">
        <w:rPr>
          <w:rFonts w:ascii="Times New Roman" w:hAnsi="Times New Roman"/>
          <w:sz w:val="28"/>
          <w:szCs w:val="28"/>
          <w:lang w:val="uk-UA"/>
        </w:rPr>
        <w:t>категорія земель -</w:t>
      </w:r>
      <w:r w:rsidR="000F0CD4" w:rsidRPr="000F0C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0CD4" w:rsidRPr="000F0C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636957">
        <w:rPr>
          <w:rFonts w:ascii="Times New Roman" w:hAnsi="Times New Roman"/>
          <w:sz w:val="28"/>
          <w:szCs w:val="28"/>
          <w:lang w:val="uk-UA"/>
        </w:rPr>
        <w:t>;</w:t>
      </w:r>
      <w:r w:rsidRPr="000F0C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0F0CD4">
        <w:rPr>
          <w:rFonts w:ascii="Times New Roman" w:hAnsi="Times New Roman"/>
          <w:sz w:val="28"/>
          <w:szCs w:val="28"/>
          <w:lang w:val="uk-UA"/>
        </w:rPr>
        <w:t xml:space="preserve">код виду цільового призначення </w:t>
      </w:r>
      <w:r w:rsidR="00636957">
        <w:rPr>
          <w:rFonts w:ascii="Times New Roman" w:hAnsi="Times New Roman"/>
          <w:sz w:val="28"/>
          <w:szCs w:val="28"/>
          <w:lang w:val="uk-UA"/>
        </w:rPr>
        <w:t>– 14.02;</w:t>
      </w:r>
      <w:r w:rsidRPr="000F0CD4">
        <w:rPr>
          <w:rFonts w:ascii="Times New Roman" w:hAnsi="Times New Roman"/>
          <w:sz w:val="28"/>
          <w:szCs w:val="28"/>
          <w:lang w:val="uk-UA"/>
        </w:rPr>
        <w:t xml:space="preserve"> справа № 380511844).</w:t>
      </w:r>
    </w:p>
    <w:p w14:paraId="4237E4A4" w14:textId="55CA364A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26 грудня 2012 року № 63-6-00685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4585C9DB" w:rsidR="00C72FE2" w:rsidRDefault="000F0CD4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0F0CD4">
        <w:rPr>
          <w:rFonts w:ascii="Times New Roman" w:hAnsi="Times New Roman"/>
          <w:sz w:val="28"/>
          <w:szCs w:val="28"/>
          <w:lang w:val="uk-UA"/>
        </w:rPr>
        <w:t>риватн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0F0CD4">
        <w:rPr>
          <w:rFonts w:ascii="Times New Roman" w:hAnsi="Times New Roman"/>
          <w:sz w:val="28"/>
          <w:szCs w:val="28"/>
          <w:lang w:val="uk-UA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0F0CD4">
        <w:rPr>
          <w:rFonts w:ascii="Times New Roman" w:hAnsi="Times New Roman"/>
          <w:sz w:val="28"/>
          <w:szCs w:val="28"/>
          <w:lang w:val="uk-UA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F0C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0F0CD4">
        <w:rPr>
          <w:rFonts w:ascii="Times New Roman" w:hAnsi="Times New Roman"/>
          <w:sz w:val="28"/>
          <w:szCs w:val="28"/>
          <w:lang w:val="uk-UA"/>
        </w:rPr>
        <w:t xml:space="preserve">«ДТЕК КИЇВСЬКІ ЕЛЕКТОРОМЕРЕЖІ» </w:t>
      </w:r>
      <w:r w:rsidRPr="00FC3138">
        <w:rPr>
          <w:rFonts w:ascii="Times New Roman" w:hAnsi="Times New Roman"/>
          <w:sz w:val="28"/>
          <w:szCs w:val="28"/>
          <w:lang w:val="uk-UA"/>
        </w:rPr>
        <w:t>у мі</w:t>
      </w:r>
      <w:r>
        <w:rPr>
          <w:rFonts w:ascii="Times New Roman" w:hAnsi="Times New Roman"/>
          <w:sz w:val="28"/>
          <w:szCs w:val="28"/>
          <w:lang w:val="uk-UA"/>
        </w:rPr>
        <w:t xml:space="preserve">сячний строк з дати оприлюднення цього рішення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26 грудня 2012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63-6-00685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1BE0444F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0F0CD4">
              <w:rPr>
                <w:snapToGrid w:val="0"/>
                <w:sz w:val="28"/>
                <w:szCs w:val="28"/>
                <w:lang w:val="uk-UA" w:eastAsia="en-US"/>
              </w:rPr>
              <w:t xml:space="preserve">землеустрою та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E2864" w:rsidRPr="008420F7" w:rsidRDefault="007E2864" w:rsidP="007E286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033E81F1" w:rsidR="007E2864" w:rsidRPr="00562252" w:rsidRDefault="000F0CD4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298506B6" w:rsidR="001057BA" w:rsidRPr="00CB7BE4" w:rsidRDefault="000F0CD4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249321FA" w:rsidR="00034DE5" w:rsidRPr="000F0CD4" w:rsidRDefault="000F0CD4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F0CD4" w:rsidRPr="00E80871" w14:paraId="23CB302F" w14:textId="77777777" w:rsidTr="0050300F">
        <w:trPr>
          <w:trHeight w:val="953"/>
        </w:trPr>
        <w:tc>
          <w:tcPr>
            <w:tcW w:w="5988" w:type="dxa"/>
            <w:vAlign w:val="bottom"/>
          </w:tcPr>
          <w:p w14:paraId="408835D9" w14:textId="77777777" w:rsidR="000F0CD4" w:rsidRPr="00E80871" w:rsidRDefault="000F0CD4" w:rsidP="0050300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4486A1B2" w14:textId="77777777" w:rsidR="000F0CD4" w:rsidRPr="00E80871" w:rsidRDefault="000F0CD4" w:rsidP="005030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</w:p>
          <w:p w14:paraId="7BF5F7A9" w14:textId="77777777" w:rsidR="000F0CD4" w:rsidRPr="00E80871" w:rsidRDefault="000F0CD4" w:rsidP="005030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та паливно-енергетичного комплексу</w:t>
            </w:r>
          </w:p>
          <w:p w14:paraId="262B11F8" w14:textId="77777777" w:rsidR="000F0CD4" w:rsidRPr="00E80871" w:rsidRDefault="000F0CD4" w:rsidP="005030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D5D2F6F" w14:textId="77777777" w:rsidR="000F0CD4" w:rsidRPr="00E80871" w:rsidRDefault="000F0CD4" w:rsidP="005030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5AF19515" w14:textId="77777777" w:rsidR="000F0CD4" w:rsidRPr="00E80871" w:rsidRDefault="000F0CD4" w:rsidP="005030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0F125B8" w14:textId="77777777" w:rsidR="000F0CD4" w:rsidRDefault="000F0CD4" w:rsidP="0050300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3E40A437" w14:textId="77777777" w:rsidR="000F0CD4" w:rsidRDefault="000F0CD4" w:rsidP="0050300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0E89771" w14:textId="77777777" w:rsidR="000F0CD4" w:rsidRDefault="000F0CD4" w:rsidP="0050300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06979B" w14:textId="77777777" w:rsidR="000F0CD4" w:rsidRDefault="000F0CD4" w:rsidP="0050300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5F2C8B6" w14:textId="77777777" w:rsidR="000F0CD4" w:rsidRDefault="000F0CD4" w:rsidP="0050300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E0AB8D3" w14:textId="77777777" w:rsidR="000F0CD4" w:rsidRDefault="000F0CD4" w:rsidP="0050300F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C612DCD" w14:textId="77777777" w:rsidR="000F0CD4" w:rsidRDefault="000F0CD4" w:rsidP="0050300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Олександр БРОДСЬКИЙ</w:t>
            </w:r>
          </w:p>
          <w:p w14:paraId="4726DF53" w14:textId="77777777" w:rsidR="000F0CD4" w:rsidRDefault="000F0CD4" w:rsidP="0050300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952426D" w14:textId="77777777" w:rsidR="000F0CD4" w:rsidRPr="00E80871" w:rsidRDefault="000F0CD4" w:rsidP="0050300F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Тарас КРИВОРУЧКО</w:t>
            </w:r>
          </w:p>
        </w:tc>
      </w:tr>
    </w:tbl>
    <w:p w14:paraId="511D233B" w14:textId="77777777" w:rsidR="0035033E" w:rsidRPr="005464BD" w:rsidRDefault="0035033E" w:rsidP="000F0CD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0CD4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11A4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36957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3CCD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178B5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49F0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liya.pop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3973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4458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2021-11-24T11:02:00Z</cp:lastPrinted>
  <dcterms:created xsi:type="dcterms:W3CDTF">2022-12-15T07:58:00Z</dcterms:created>
  <dcterms:modified xsi:type="dcterms:W3CDTF">2022-12-15T07:58:00Z</dcterms:modified>
</cp:coreProperties>
</file>