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372778051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372778051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423F4B">
        <w:rPr>
          <w:b/>
          <w:bCs/>
          <w:color w:val="auto"/>
          <w:sz w:val="24"/>
          <w:szCs w:val="24"/>
          <w:lang w:val="ru-RU"/>
        </w:rPr>
        <w:t>ПЗН-76748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423F4B">
        <w:rPr>
          <w:b/>
          <w:bCs/>
          <w:color w:val="auto"/>
          <w:sz w:val="24"/>
          <w:szCs w:val="24"/>
          <w:lang w:val="ru-RU"/>
        </w:rPr>
        <w:t>29.01.2025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09D5D4B7" w:rsidR="00E17376" w:rsidRDefault="00423F4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423F4B">
        <w:rPr>
          <w:b/>
          <w:i/>
          <w:iCs/>
          <w:color w:val="auto"/>
          <w:sz w:val="24"/>
          <w:szCs w:val="24"/>
        </w:rPr>
        <w:t xml:space="preserve">Про передачу громадянину Снігуру Владиславу Олександровичу у приватну власність земельної ділянки для ведення колективного садівництва на вул. 4-тій Приозерній, 1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423F4B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6B4E16C4" w14:textId="77777777" w:rsidR="00423F4B" w:rsidRPr="00423F4B" w:rsidRDefault="00423F4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  <w:lang w:val="ru-RU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6326B50" w:rsidR="00E659C4" w:rsidRPr="00104BBD" w:rsidRDefault="00423F4B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Снігур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Владислав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09.01.2025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372778051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4340E309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8000000000:96:020:0011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53674DB1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4-а Приозерн</w:t>
            </w:r>
            <w:r w:rsidR="00423F4B">
              <w:rPr>
                <w:b w:val="0"/>
                <w:i/>
                <w:color w:val="auto"/>
                <w:sz w:val="24"/>
                <w:szCs w:val="24"/>
              </w:rPr>
              <w:t>а, 1,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0,0554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03DA0DDE" w:rsidR="00E659C4" w:rsidRPr="0061239E" w:rsidRDefault="00423F4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1022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6382F936" w:rsidR="00E659C4" w:rsidRPr="00104BBD" w:rsidRDefault="00423F4B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AB1CB5D" w14:textId="68547FD4" w:rsidR="00E659C4" w:rsidRPr="0061239E" w:rsidRDefault="00423F4B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423F4B" w:rsidRPr="00104BBD" w14:paraId="5E9566B3" w14:textId="77777777" w:rsidTr="00B509A0">
        <w:tc>
          <w:tcPr>
            <w:tcW w:w="3652" w:type="dxa"/>
          </w:tcPr>
          <w:p w14:paraId="6829AAFB" w14:textId="329F7F8F" w:rsidR="00423F4B" w:rsidRPr="003076EF" w:rsidRDefault="00423F4B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21914F21" w14:textId="10060A6B" w:rsidR="00423F4B" w:rsidRPr="003076EF" w:rsidRDefault="00423F4B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3A1173D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423F4B" w:rsidRPr="00423F4B">
        <w:rPr>
          <w:color w:val="auto"/>
          <w:sz w:val="24"/>
          <w:szCs w:val="24"/>
        </w:rPr>
        <w:t xml:space="preserve">Про передачу громадянину Снігуру Владиславу Олександровичу у приватну власність земельної ділянки для ведення колективного садівництва на вул. 4-тій Приозерній, 1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423F4B" w:rsidRPr="00423F4B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165D20C5" w14:textId="77777777" w:rsidR="00B304B3" w:rsidRPr="00B304B3" w:rsidRDefault="00B304B3" w:rsidP="00B304B3">
      <w:pPr>
        <w:spacing w:after="12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304B3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DE31853" w:rsidR="00E12AC0" w:rsidRPr="00104BBD" w:rsidRDefault="00B304B3" w:rsidP="00B304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D64E4">
              <w:rPr>
                <w:i/>
                <w:color w:val="auto"/>
                <w:sz w:val="24"/>
                <w:szCs w:val="24"/>
              </w:rPr>
              <w:t>Земельна ділянка забудована садови</w:t>
            </w:r>
            <w:r>
              <w:rPr>
                <w:i/>
                <w:color w:val="auto"/>
                <w:sz w:val="24"/>
                <w:szCs w:val="24"/>
              </w:rPr>
              <w:t>м будинком загальною площею 190,3</w:t>
            </w:r>
            <w:r w:rsidRPr="00FD64E4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64E4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FD64E4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власності</w:t>
            </w:r>
            <w:r>
              <w:rPr>
                <w:i/>
                <w:color w:val="auto"/>
                <w:sz w:val="24"/>
                <w:szCs w:val="24"/>
              </w:rPr>
              <w:t xml:space="preserve"> Снігуру Владиславу Олександровичу</w:t>
            </w:r>
            <w:r w:rsidRPr="00FD64E4"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FD64E4">
              <w:rPr>
                <w:i/>
                <w:color w:val="auto"/>
                <w:sz w:val="24"/>
                <w:szCs w:val="24"/>
              </w:rPr>
              <w:t>реєстраційний номер о</w:t>
            </w:r>
            <w:r>
              <w:rPr>
                <w:i/>
                <w:color w:val="auto"/>
                <w:sz w:val="24"/>
                <w:szCs w:val="24"/>
              </w:rPr>
              <w:t>б'єкта нерухомого майна 2082337780000</w:t>
            </w:r>
            <w:r w:rsidRPr="00FD64E4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14.05.2020 № 36531200</w:t>
            </w:r>
            <w:r w:rsidRPr="00FD64E4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>
              <w:rPr>
                <w:i/>
                <w:color w:val="auto"/>
                <w:sz w:val="24"/>
                <w:szCs w:val="24"/>
              </w:rPr>
              <w:t xml:space="preserve">еєстрацію права власності від </w:t>
            </w:r>
            <w:r w:rsidR="003D7E25" w:rsidRPr="003D7E25">
              <w:rPr>
                <w:i/>
                <w:color w:val="auto"/>
                <w:sz w:val="24"/>
                <w:szCs w:val="24"/>
                <w:lang w:val="ru-RU"/>
              </w:rPr>
              <w:t>29</w:t>
            </w:r>
            <w:r w:rsidR="003D7E25" w:rsidRPr="003D7E25">
              <w:rPr>
                <w:i/>
                <w:color w:val="auto"/>
                <w:sz w:val="24"/>
                <w:szCs w:val="24"/>
              </w:rPr>
              <w:t>.</w:t>
            </w:r>
            <w:r w:rsidR="003D7E25" w:rsidRPr="003D7E25">
              <w:rPr>
                <w:i/>
                <w:color w:val="auto"/>
                <w:sz w:val="24"/>
                <w:szCs w:val="24"/>
                <w:lang w:val="ru-RU"/>
              </w:rPr>
              <w:t>01</w:t>
            </w:r>
            <w:r w:rsidR="003D7E25" w:rsidRPr="003D7E25">
              <w:rPr>
                <w:i/>
                <w:color w:val="auto"/>
                <w:sz w:val="24"/>
                <w:szCs w:val="24"/>
              </w:rPr>
              <w:t>.2025 № 410396316</w:t>
            </w:r>
            <w:r w:rsidRPr="00FD64E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F652A2F" w:rsidR="00E12AC0" w:rsidRPr="00104BBD" w:rsidRDefault="00B304B3" w:rsidP="002E7E4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D64E4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(довідка (витяг)</w:t>
            </w:r>
            <w:r w:rsidR="002E7E40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 w:rsidRPr="00FD64E4"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FD64E4">
              <w:rPr>
                <w:i/>
                <w:color w:val="auto"/>
                <w:sz w:val="24"/>
                <w:szCs w:val="24"/>
              </w:rPr>
              <w:t>надана</w:t>
            </w:r>
            <w:r>
              <w:rPr>
                <w:i/>
                <w:color w:val="auto"/>
                <w:sz w:val="24"/>
                <w:szCs w:val="24"/>
              </w:rPr>
              <w:t xml:space="preserve"> Департаментом</w:t>
            </w:r>
            <w:r w:rsidRPr="00FD64E4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2E7E40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від 17.01.2022</w:t>
            </w:r>
            <w:r w:rsidRPr="00FD64E4">
              <w:rPr>
                <w:i/>
                <w:color w:val="auto"/>
                <w:sz w:val="24"/>
                <w:szCs w:val="24"/>
              </w:rPr>
              <w:t xml:space="preserve"> </w:t>
            </w:r>
            <w:r w:rsidR="002E7E40">
              <w:rPr>
                <w:i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i/>
                <w:color w:val="auto"/>
                <w:sz w:val="24"/>
                <w:szCs w:val="24"/>
              </w:rPr>
              <w:t>№ 74/0/12-53/12-03-22</w:t>
            </w:r>
            <w:r w:rsidRPr="00FD64E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17814225" w14:textId="630EC36F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0,9267 га (кадастровий номер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8000000000:96:020:0001). Строк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54D356D0" w14:textId="6A3BA558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</w:t>
            </w:r>
            <w:r w:rsidR="003D7E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лянку площею              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3D7E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0,9267 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га (кадастровий номер 8000000000:96:020:0001) поділено та сформовано 11 земельних ділянок, у тому числі 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0,0554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8000000000:96:020:0011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AB64D71" w14:textId="055CCF77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переда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ти громадянину Снігуру В.О.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власність земельн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ділянку площею  0,0554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ведення колективного садівництва на  </w:t>
            </w:r>
            <w:r w:rsidR="003F0CCC">
              <w:rPr>
                <w:rFonts w:ascii="Times New Roman" w:hAnsi="Times New Roman" w:cs="Times New Roman"/>
                <w:i/>
                <w:color w:val="auto"/>
              </w:rPr>
              <w:t>вул. 4-тій Приозерній, 1</w:t>
            </w:r>
            <w:r w:rsidRPr="00B304B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EC5C6C2" w14:textId="02571EE3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           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20.07.2023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</w:t>
            </w:r>
            <w:r w:rsidR="002E7E4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1457</w:t>
            </w:r>
            <w:r w:rsidR="003D7E2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обслуговуючий кооператив «Садово - дачний кооператив «Орхідея -3» надав згоду на припинення права оренди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0,0554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</w:t>
            </w:r>
            <w:r w:rsidR="003F0CC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ий номер  8000000000:96:020:0011</w:t>
            </w: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466F119" w14:textId="77777777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C3BFFC8" w14:textId="77777777" w:rsidR="00B304B3" w:rsidRPr="00B304B3" w:rsidRDefault="00B304B3" w:rsidP="00B30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4D0823C" w:rsidR="00017352" w:rsidRPr="00104BBD" w:rsidRDefault="00B304B3" w:rsidP="00B304B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B304B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33EBC9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3D7E25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2E7E40">
        <w:rPr>
          <w:color w:val="auto"/>
          <w:sz w:val="24"/>
          <w:szCs w:val="24"/>
        </w:rPr>
        <w:t xml:space="preserve">                           </w:t>
      </w:r>
      <w:bookmarkStart w:id="0" w:name="_GoBack"/>
      <w:bookmarkEnd w:id="0"/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DD95CE5" w14:textId="77777777" w:rsidR="003F0CCC" w:rsidRPr="003F0CCC" w:rsidRDefault="003F0CCC" w:rsidP="003F0CCC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3F0CCC">
        <w:rPr>
          <w:sz w:val="24"/>
          <w:szCs w:val="24"/>
        </w:rPr>
        <w:t>Проєкт</w:t>
      </w:r>
      <w:proofErr w:type="spellEnd"/>
      <w:r w:rsidRPr="003F0CCC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CD9E38" w14:textId="77777777" w:rsidR="003F0CCC" w:rsidRPr="003F0CCC" w:rsidRDefault="003F0CCC" w:rsidP="003F0CCC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3F0CCC">
        <w:rPr>
          <w:sz w:val="24"/>
          <w:szCs w:val="24"/>
        </w:rPr>
        <w:t>Проєкт</w:t>
      </w:r>
      <w:proofErr w:type="spellEnd"/>
      <w:r w:rsidRPr="003F0CCC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93BD32A" w14:textId="77777777" w:rsidR="003F0CCC" w:rsidRPr="003F0CCC" w:rsidRDefault="003F0CCC" w:rsidP="003F0CCC">
      <w:pPr>
        <w:pStyle w:val="1"/>
        <w:spacing w:after="0"/>
        <w:ind w:firstLine="403"/>
        <w:jc w:val="both"/>
        <w:rPr>
          <w:sz w:val="24"/>
          <w:szCs w:val="24"/>
        </w:rPr>
      </w:pPr>
      <w:proofErr w:type="spellStart"/>
      <w:r w:rsidRPr="003F0CCC">
        <w:rPr>
          <w:sz w:val="24"/>
          <w:szCs w:val="24"/>
        </w:rPr>
        <w:t>Проєкт</w:t>
      </w:r>
      <w:proofErr w:type="spellEnd"/>
      <w:r w:rsidRPr="003F0CCC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2512D915" w:rsidR="00921DA0" w:rsidRDefault="003F0CCC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3F0CCC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3F0CCC">
        <w:rPr>
          <w:color w:val="auto"/>
          <w:sz w:val="24"/>
          <w:szCs w:val="24"/>
        </w:rPr>
        <w:t>проєкту</w:t>
      </w:r>
      <w:proofErr w:type="spellEnd"/>
      <w:r w:rsidRPr="003F0CCC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</w:p>
    <w:p w14:paraId="5F1EBB71" w14:textId="77777777" w:rsidR="003F0CCC" w:rsidRPr="00104BBD" w:rsidRDefault="003F0CCC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423F4B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B304B3">
      <w:headerReference w:type="default" r:id="rId11"/>
      <w:footerReference w:type="default" r:id="rId12"/>
      <w:pgSz w:w="11907" w:h="16839" w:code="9"/>
      <w:pgMar w:top="993" w:right="567" w:bottom="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8B5E553" w:rsidR="00862990" w:rsidRPr="007B7541" w:rsidRDefault="004A7340" w:rsidP="003F0CC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423F4B">
      <w:rPr>
        <w:sz w:val="12"/>
        <w:szCs w:val="12"/>
        <w:lang w:val="ru-RU"/>
      </w:rPr>
      <w:t>ПЗН-76748</w:t>
    </w:r>
    <w:r w:rsidR="00862990">
      <w:rPr>
        <w:sz w:val="12"/>
        <w:szCs w:val="12"/>
      </w:rPr>
      <w:t xml:space="preserve"> від </w:t>
    </w:r>
    <w:r w:rsidR="00200540" w:rsidRPr="00423F4B">
      <w:rPr>
        <w:sz w:val="12"/>
        <w:szCs w:val="12"/>
        <w:lang w:val="ru-RU"/>
      </w:rPr>
      <w:t>29.01.2025</w:t>
    </w:r>
    <w:r w:rsidR="003D7E25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372778051</w:t>
    </w:r>
    <w:r w:rsidR="003F0CCC">
      <w:rPr>
        <w:sz w:val="12"/>
        <w:szCs w:val="12"/>
      </w:rPr>
      <w:t xml:space="preserve">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30898549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2E7E40" w:rsidRPr="002E7E40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E7E40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3D7E25"/>
    <w:rsid w:val="003F0CCC"/>
    <w:rsid w:val="00401087"/>
    <w:rsid w:val="004223BA"/>
    <w:rsid w:val="00423F4B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3448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04B3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1E07-B7CB-490E-9509-98C95047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6777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2025-01-29T10:01:00Z</dcterms:created>
  <dcterms:modified xsi:type="dcterms:W3CDTF">2025-02-04T07:08:00Z</dcterms:modified>
</cp:coreProperties>
</file>