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370599521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370599521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A23CBD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A23CBD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133C824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A23CBD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A23CBD">
        <w:rPr>
          <w:b/>
          <w:bCs/>
          <w:i w:val="0"/>
          <w:iCs w:val="0"/>
          <w:sz w:val="24"/>
          <w:szCs w:val="24"/>
        </w:rPr>
        <w:t>ПЗ</w:t>
      </w:r>
      <w:r w:rsidR="00B87AD3" w:rsidRPr="00A23CBD">
        <w:rPr>
          <w:b/>
          <w:bCs/>
          <w:i w:val="0"/>
          <w:iCs w:val="0"/>
          <w:sz w:val="24"/>
          <w:szCs w:val="24"/>
        </w:rPr>
        <w:t>Н</w:t>
      </w:r>
      <w:r w:rsidR="00C55118" w:rsidRPr="00A23CBD">
        <w:rPr>
          <w:b/>
          <w:bCs/>
          <w:i w:val="0"/>
          <w:sz w:val="24"/>
          <w:szCs w:val="24"/>
          <w:lang w:val="ru-RU"/>
        </w:rPr>
        <w:t>-45885</w:t>
      </w:r>
      <w:r w:rsidR="007B72F8" w:rsidRPr="00A23CBD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A23CBD">
        <w:rPr>
          <w:b/>
          <w:bCs/>
          <w:i w:val="0"/>
          <w:sz w:val="24"/>
          <w:szCs w:val="24"/>
          <w:lang w:val="ru-RU"/>
        </w:rPr>
        <w:t>14.12.2022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50038706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proofErr w:type="spellStart"/>
      <w:r w:rsidR="00BF3B45" w:rsidRPr="00BF3B45">
        <w:rPr>
          <w:b/>
          <w:i/>
          <w:color w:val="auto"/>
          <w:sz w:val="24"/>
          <w:szCs w:val="24"/>
          <w:lang w:val="ru-RU" w:bidi="ar-SA"/>
        </w:rPr>
        <w:t>товариств</w:t>
      </w:r>
      <w:r w:rsidR="00BF3B45">
        <w:rPr>
          <w:b/>
          <w:i/>
          <w:color w:val="auto"/>
          <w:sz w:val="24"/>
          <w:szCs w:val="24"/>
          <w:lang w:val="ru-RU" w:bidi="ar-SA"/>
        </w:rPr>
        <w:t>у</w:t>
      </w:r>
      <w:proofErr w:type="spellEnd"/>
      <w:r w:rsidR="00BF3B45" w:rsidRPr="00BF3B45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BF3B45" w:rsidRPr="00BF3B45">
        <w:rPr>
          <w:b/>
          <w:i/>
          <w:color w:val="auto"/>
          <w:sz w:val="24"/>
          <w:szCs w:val="24"/>
          <w:lang w:val="ru-RU" w:bidi="ar-SA"/>
        </w:rPr>
        <w:t>обмеженою</w:t>
      </w:r>
      <w:proofErr w:type="spellEnd"/>
      <w:r w:rsidR="00BF3B45" w:rsidRPr="00BF3B45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BF3B45" w:rsidRPr="00BF3B45">
        <w:rPr>
          <w:b/>
          <w:i/>
          <w:color w:val="auto"/>
          <w:sz w:val="24"/>
          <w:szCs w:val="24"/>
          <w:lang w:val="ru-RU" w:bidi="ar-SA"/>
        </w:rPr>
        <w:t>відповідальністю</w:t>
      </w:r>
      <w:proofErr w:type="spellEnd"/>
      <w:r w:rsidR="00BF3B45" w:rsidRPr="00BF3B45">
        <w:rPr>
          <w:b/>
          <w:i/>
          <w:color w:val="auto"/>
          <w:sz w:val="24"/>
          <w:szCs w:val="24"/>
          <w:lang w:val="ru-RU" w:bidi="ar-SA"/>
        </w:rPr>
        <w:t xml:space="preserve"> </w:t>
      </w:r>
      <w:r w:rsidR="000B1E6A" w:rsidRPr="00BF3B45">
        <w:rPr>
          <w:b/>
          <w:i/>
          <w:color w:val="auto"/>
          <w:sz w:val="24"/>
          <w:szCs w:val="24"/>
          <w:lang w:val="ru-RU" w:bidi="ar-SA"/>
        </w:rPr>
        <w:t>«МОЛОДІЖНИЙ ЖИТЛОВИЙ КОМПЛЕКС «ОБОЛОНЬ»</w:t>
      </w:r>
      <w:r w:rsidR="000B1E6A" w:rsidRPr="000B1E6A">
        <w:rPr>
          <w:color w:val="auto"/>
          <w:sz w:val="20"/>
          <w:szCs w:val="20"/>
          <w:lang w:bidi="ar-SA"/>
        </w:rPr>
        <w:t xml:space="preserve">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земельної ділянки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29 квітня 20</w:t>
      </w:r>
      <w:r w:rsidR="00E84F46">
        <w:rPr>
          <w:b/>
          <w:i/>
          <w:iCs/>
          <w:sz w:val="24"/>
          <w:szCs w:val="24"/>
        </w:rPr>
        <w:t>05</w:t>
      </w:r>
      <w:r w:rsidR="00531BB2" w:rsidRPr="00B2685F">
        <w:rPr>
          <w:b/>
          <w:i/>
          <w:iCs/>
          <w:sz w:val="24"/>
          <w:szCs w:val="24"/>
        </w:rPr>
        <w:t xml:space="preserve"> року </w:t>
      </w:r>
      <w:r w:rsidR="00BF3B45">
        <w:rPr>
          <w:b/>
          <w:i/>
          <w:iCs/>
          <w:sz w:val="24"/>
          <w:szCs w:val="24"/>
        </w:rPr>
        <w:t xml:space="preserve">                        </w:t>
      </w:r>
      <w:r w:rsidR="00531BB2" w:rsidRPr="00B2685F">
        <w:rPr>
          <w:b/>
          <w:i/>
          <w:iCs/>
          <w:sz w:val="24"/>
          <w:szCs w:val="24"/>
        </w:rPr>
        <w:t>№ 85-6-00198</w:t>
      </w:r>
      <w:r w:rsidR="00BF3B45">
        <w:rPr>
          <w:b/>
          <w:i/>
          <w:iCs/>
          <w:sz w:val="24"/>
          <w:szCs w:val="24"/>
        </w:rPr>
        <w:t xml:space="preserve"> (зі змінами)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D8AE992" w:rsidR="00E94376" w:rsidRPr="000B1E6A" w:rsidRDefault="00BF3B45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Товариство з обмеженою відповідальністю «МОЛОДІЖНИЙ ЖИТЛОВИЙ КОМПЛЕКС «ОБОЛОНЬ» (ЄДРПОУ 21618448)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BF3B4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BF3B4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BF3B4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BF3B4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BF3B4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2D266212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BF3B45">
              <w:rPr>
                <w:i/>
                <w:sz w:val="24"/>
                <w:szCs w:val="24"/>
              </w:rPr>
              <w:t>Качкалда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Євгенія Іванівна</w:t>
            </w:r>
          </w:p>
          <w:p w14:paraId="348D2482" w14:textId="30B87B69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Адреса засновника: Україна, 04210, м. К</w:t>
            </w:r>
            <w:r>
              <w:rPr>
                <w:i/>
                <w:sz w:val="24"/>
                <w:szCs w:val="24"/>
              </w:rPr>
              <w:t xml:space="preserve">иїв, </w:t>
            </w:r>
            <w:proofErr w:type="spellStart"/>
            <w:r>
              <w:rPr>
                <w:i/>
                <w:sz w:val="24"/>
                <w:szCs w:val="24"/>
              </w:rPr>
              <w:t>просп</w:t>
            </w:r>
            <w:proofErr w:type="spellEnd"/>
            <w:r>
              <w:rPr>
                <w:i/>
                <w:sz w:val="24"/>
                <w:szCs w:val="24"/>
              </w:rPr>
              <w:t>. Героїв Сталінграда.</w:t>
            </w:r>
          </w:p>
          <w:p w14:paraId="25BE4C25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50 000,00 грн</w:t>
            </w:r>
          </w:p>
          <w:p w14:paraId="107BF4C5" w14:textId="7D9B7A92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10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7E69EE6C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BF3B45">
              <w:rPr>
                <w:i/>
                <w:sz w:val="24"/>
                <w:szCs w:val="24"/>
              </w:rPr>
              <w:t>Суховерський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Михайло Іванович</w:t>
            </w:r>
          </w:p>
          <w:p w14:paraId="40ECA2AA" w14:textId="1609498D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 xml:space="preserve">Адреса засновника: Україна, 04210, місто Київ, </w:t>
            </w:r>
            <w:proofErr w:type="spellStart"/>
            <w:r>
              <w:rPr>
                <w:i/>
                <w:sz w:val="24"/>
                <w:szCs w:val="24"/>
              </w:rPr>
              <w:t>просп</w:t>
            </w:r>
            <w:proofErr w:type="spellEnd"/>
            <w:r>
              <w:rPr>
                <w:i/>
                <w:sz w:val="24"/>
                <w:szCs w:val="24"/>
              </w:rPr>
              <w:t>. Героїв Сталінграда.</w:t>
            </w:r>
          </w:p>
          <w:p w14:paraId="5129304B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75 000,00 грн</w:t>
            </w:r>
          </w:p>
          <w:p w14:paraId="342E9399" w14:textId="25D5CE44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15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79E13310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BF3B45">
              <w:rPr>
                <w:i/>
                <w:sz w:val="24"/>
                <w:szCs w:val="24"/>
              </w:rPr>
              <w:t>Алубіна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Зінаїда Іванівна</w:t>
            </w:r>
          </w:p>
          <w:p w14:paraId="4F70EEE3" w14:textId="202E423F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Адреса засновника: Україна, 04210, м. К</w:t>
            </w:r>
            <w:r>
              <w:rPr>
                <w:i/>
                <w:sz w:val="24"/>
                <w:szCs w:val="24"/>
              </w:rPr>
              <w:t xml:space="preserve">иїв, </w:t>
            </w:r>
            <w:proofErr w:type="spellStart"/>
            <w:r>
              <w:rPr>
                <w:i/>
                <w:sz w:val="24"/>
                <w:szCs w:val="24"/>
              </w:rPr>
              <w:t>просп</w:t>
            </w:r>
            <w:proofErr w:type="spellEnd"/>
            <w:r>
              <w:rPr>
                <w:i/>
                <w:sz w:val="24"/>
                <w:szCs w:val="24"/>
              </w:rPr>
              <w:t>. Героїв Сталінграда.</w:t>
            </w:r>
            <w:r w:rsidRPr="00BF3B45">
              <w:rPr>
                <w:i/>
                <w:sz w:val="24"/>
                <w:szCs w:val="24"/>
              </w:rPr>
              <w:t>.</w:t>
            </w:r>
          </w:p>
          <w:p w14:paraId="3A8960E4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75 000,00 грн</w:t>
            </w:r>
          </w:p>
          <w:p w14:paraId="4356F048" w14:textId="564557F8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15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794CD1BF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BF3B45">
              <w:rPr>
                <w:i/>
                <w:sz w:val="24"/>
                <w:szCs w:val="24"/>
              </w:rPr>
              <w:t>Кардаш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Олена Іванівна</w:t>
            </w:r>
          </w:p>
          <w:p w14:paraId="13177331" w14:textId="46B4E90C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 xml:space="preserve">Адреса засновника: Україна, 04210, м. Київ, </w:t>
            </w:r>
            <w:proofErr w:type="spellStart"/>
            <w:r w:rsidRPr="00BF3B45">
              <w:rPr>
                <w:i/>
                <w:sz w:val="24"/>
                <w:szCs w:val="24"/>
              </w:rPr>
              <w:t>просп</w:t>
            </w:r>
            <w:proofErr w:type="spellEnd"/>
            <w:r w:rsidRPr="00BF3B45">
              <w:rPr>
                <w:i/>
                <w:sz w:val="24"/>
                <w:szCs w:val="24"/>
              </w:rPr>
              <w:t>. Героїв Сталінграда.</w:t>
            </w:r>
          </w:p>
          <w:p w14:paraId="05AADA5F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25 000,00 грн</w:t>
            </w:r>
          </w:p>
          <w:p w14:paraId="06883180" w14:textId="331B2708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31DFBDD0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Антонов Василь Іванович</w:t>
            </w:r>
          </w:p>
          <w:p w14:paraId="6F81A4E2" w14:textId="06E56C53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Адреса засновника: Україна, 04210, м. Київ,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просп</w:t>
            </w:r>
            <w:proofErr w:type="spellEnd"/>
            <w:r>
              <w:rPr>
                <w:i/>
                <w:sz w:val="24"/>
                <w:szCs w:val="24"/>
              </w:rPr>
              <w:t>. Героїв Сталінграда.</w:t>
            </w:r>
            <w:r w:rsidRPr="00BF3B45">
              <w:rPr>
                <w:i/>
                <w:sz w:val="24"/>
                <w:szCs w:val="24"/>
              </w:rPr>
              <w:t xml:space="preserve"> </w:t>
            </w:r>
          </w:p>
          <w:p w14:paraId="5B9F6783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100 000,00 грн</w:t>
            </w:r>
          </w:p>
          <w:p w14:paraId="0D52FEB6" w14:textId="219A2818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20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440231BB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Соболь Віктор Іванович</w:t>
            </w:r>
          </w:p>
          <w:p w14:paraId="233AB3D1" w14:textId="5F38B881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 xml:space="preserve">Адреса засновника: Україна, 04210, місто Київ, </w:t>
            </w:r>
            <w:proofErr w:type="spellStart"/>
            <w:r w:rsidRPr="00BF3B45">
              <w:rPr>
                <w:i/>
                <w:sz w:val="24"/>
                <w:szCs w:val="24"/>
              </w:rPr>
              <w:t>просп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Героїв Сталінграда. </w:t>
            </w:r>
          </w:p>
          <w:p w14:paraId="1E112D73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75 000,00 грн</w:t>
            </w:r>
          </w:p>
          <w:p w14:paraId="1409440F" w14:textId="08A5BE5A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15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4284BE87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BF3B45">
              <w:rPr>
                <w:i/>
                <w:sz w:val="24"/>
                <w:szCs w:val="24"/>
              </w:rPr>
              <w:t>Вербій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Дарія Григорівна</w:t>
            </w:r>
          </w:p>
          <w:p w14:paraId="798E1B07" w14:textId="06561453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 xml:space="preserve">Адреса засновника: Україна, 04210, м. Київ, </w:t>
            </w:r>
            <w:proofErr w:type="spellStart"/>
            <w:r w:rsidRPr="00BF3B45">
              <w:rPr>
                <w:i/>
                <w:sz w:val="24"/>
                <w:szCs w:val="24"/>
              </w:rPr>
              <w:t>просп</w:t>
            </w:r>
            <w:proofErr w:type="spellEnd"/>
            <w:r w:rsidRPr="00BF3B45">
              <w:rPr>
                <w:i/>
                <w:sz w:val="24"/>
                <w:szCs w:val="24"/>
              </w:rPr>
              <w:t>. Героїв Сталінград</w:t>
            </w:r>
            <w:r>
              <w:rPr>
                <w:i/>
                <w:sz w:val="24"/>
                <w:szCs w:val="24"/>
              </w:rPr>
              <w:t>а.</w:t>
            </w:r>
          </w:p>
          <w:p w14:paraId="5BAFE183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25 000,00 грн</w:t>
            </w:r>
          </w:p>
          <w:p w14:paraId="056B561B" w14:textId="3075C81C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  <w:p w14:paraId="01D2F26D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proofErr w:type="spellStart"/>
            <w:r w:rsidRPr="00BF3B45">
              <w:rPr>
                <w:i/>
                <w:sz w:val="24"/>
                <w:szCs w:val="24"/>
              </w:rPr>
              <w:t>Гладишко</w:t>
            </w:r>
            <w:proofErr w:type="spellEnd"/>
            <w:r w:rsidRPr="00BF3B45">
              <w:rPr>
                <w:i/>
                <w:sz w:val="24"/>
                <w:szCs w:val="24"/>
              </w:rPr>
              <w:t xml:space="preserve"> Ірина Петрівна</w:t>
            </w:r>
          </w:p>
          <w:p w14:paraId="14AADDF2" w14:textId="79CAB912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Адреса засновника: Україна, 04210, м. Ки</w:t>
            </w:r>
            <w:r>
              <w:rPr>
                <w:i/>
                <w:sz w:val="24"/>
                <w:szCs w:val="24"/>
              </w:rPr>
              <w:t>їв, пр. Героїв Сталінграда.</w:t>
            </w:r>
          </w:p>
          <w:p w14:paraId="7A11560B" w14:textId="77777777" w:rsidR="00BF3B45" w:rsidRPr="00BF3B45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Розмір внеску до статутного фонду: 75 000,00 грн</w:t>
            </w:r>
          </w:p>
          <w:p w14:paraId="6643096C" w14:textId="439CE9BC" w:rsidR="00E94376" w:rsidRPr="00123E08" w:rsidRDefault="00BF3B45" w:rsidP="00BF3B4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</w:rPr>
              <w:t>Частка (%): 15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3B45">
              <w:rPr>
                <w:i/>
                <w:sz w:val="24"/>
                <w:szCs w:val="24"/>
              </w:rPr>
              <w:t>%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C7A8B69" w14:textId="328EF695" w:rsidR="00E94376" w:rsidRPr="00037B84" w:rsidRDefault="00BF3B45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1481B053" w14:textId="77777777" w:rsidR="00E94376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DE4334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21.09.2022</w:t>
            </w:r>
            <w:r w:rsidR="00905988" w:rsidRPr="00DE4334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370599521</w:t>
            </w:r>
          </w:p>
          <w:p w14:paraId="2B2E18F9" w14:textId="77777777" w:rsidR="00BF3B45" w:rsidRDefault="00F80A7E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від 20.09.2022 № 90 (</w:t>
            </w:r>
            <w:proofErr w:type="spellStart"/>
            <w:r>
              <w:rPr>
                <w:b/>
                <w:i/>
                <w:sz w:val="24"/>
                <w:szCs w:val="24"/>
              </w:rPr>
              <w:t>вх</w:t>
            </w:r>
            <w:proofErr w:type="spellEnd"/>
            <w:r>
              <w:rPr>
                <w:b/>
                <w:i/>
                <w:sz w:val="24"/>
                <w:szCs w:val="24"/>
              </w:rPr>
              <w:t>. від 21.09.2022 № 08/15210)</w:t>
            </w:r>
          </w:p>
          <w:p w14:paraId="3026A563" w14:textId="0C9DD7B8" w:rsidR="008D621E" w:rsidRPr="008D621E" w:rsidRDefault="008D621E" w:rsidP="008D621E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8D621E">
              <w:rPr>
                <w:b/>
                <w:i/>
                <w:sz w:val="24"/>
                <w:szCs w:val="24"/>
              </w:rPr>
              <w:t>від 14</w:t>
            </w:r>
            <w:r>
              <w:rPr>
                <w:b/>
                <w:i/>
                <w:sz w:val="24"/>
                <w:szCs w:val="24"/>
              </w:rPr>
              <w:t>.12.</w:t>
            </w:r>
            <w:r w:rsidRPr="008D621E">
              <w:rPr>
                <w:b/>
                <w:i/>
                <w:sz w:val="24"/>
                <w:szCs w:val="24"/>
              </w:rPr>
              <w:t>2022 № 137(</w:t>
            </w:r>
            <w:proofErr w:type="spellStart"/>
            <w:r w:rsidRPr="008D621E">
              <w:rPr>
                <w:b/>
                <w:i/>
                <w:sz w:val="24"/>
                <w:szCs w:val="24"/>
              </w:rPr>
              <w:t>вх</w:t>
            </w:r>
            <w:proofErr w:type="spellEnd"/>
            <w:r w:rsidRPr="008D621E">
              <w:rPr>
                <w:b/>
                <w:i/>
                <w:sz w:val="24"/>
                <w:szCs w:val="24"/>
              </w:rPr>
              <w:t xml:space="preserve">. від </w:t>
            </w:r>
            <w:r>
              <w:rPr>
                <w:b/>
                <w:i/>
                <w:sz w:val="24"/>
                <w:szCs w:val="24"/>
              </w:rPr>
              <w:t>14.12</w:t>
            </w:r>
            <w:r w:rsidRPr="008D621E">
              <w:rPr>
                <w:b/>
                <w:i/>
                <w:sz w:val="24"/>
                <w:szCs w:val="24"/>
              </w:rPr>
              <w:t xml:space="preserve">.2022 № </w:t>
            </w:r>
            <w:r>
              <w:rPr>
                <w:b/>
                <w:i/>
                <w:sz w:val="24"/>
                <w:szCs w:val="24"/>
              </w:rPr>
              <w:t>057/9701</w:t>
            </w:r>
            <w:r w:rsidRPr="008D621E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8000000000:91:179:0507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Тираспольська, 43  у Подільському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BF3B4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0,9132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1FA6A998" w:rsidR="008A338E" w:rsidRPr="00123E08" w:rsidRDefault="00CC4E46" w:rsidP="00F80A7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F80A7E">
              <w:rPr>
                <w:b/>
                <w:i/>
                <w:sz w:val="24"/>
                <w:szCs w:val="24"/>
              </w:rPr>
              <w:t>3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</w:t>
            </w:r>
            <w:r w:rsidR="00F80A7E">
              <w:rPr>
                <w:b/>
                <w:i/>
                <w:sz w:val="24"/>
                <w:szCs w:val="24"/>
              </w:rPr>
              <w:t>и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3D6CB63E" w:rsidR="006764C8" w:rsidRPr="00056A2A" w:rsidRDefault="00776E89" w:rsidP="00F80A7E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F80A7E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56D5531" w:rsidR="006764C8" w:rsidRPr="00F80A7E" w:rsidRDefault="00F80A7E" w:rsidP="00F80A7E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F80A7E">
              <w:rPr>
                <w:b/>
                <w:i/>
                <w:sz w:val="24"/>
                <w:szCs w:val="24"/>
              </w:rPr>
              <w:t xml:space="preserve">02.07 – для іншої житлової забудови (для будівництва, експлуатації та обслуговування молодіжного житлового комплексу) 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F80A7E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5F08B013" w14:textId="77777777" w:rsidR="00DE4334" w:rsidRDefault="00DE4334" w:rsidP="00DE4334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68F37627" w:rsidR="006D7E33" w:rsidRPr="00056A2A" w:rsidRDefault="00DE4334" w:rsidP="00DE4334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DE4334">
              <w:rPr>
                <w:b/>
                <w:i/>
                <w:sz w:val="24"/>
                <w:szCs w:val="24"/>
                <w:shd w:val="clear" w:color="auto" w:fill="FFFFFF"/>
              </w:rPr>
              <w:t>13 213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DE4334">
              <w:rPr>
                <w:b/>
                <w:i/>
                <w:sz w:val="24"/>
                <w:szCs w:val="24"/>
                <w:shd w:val="clear" w:color="auto" w:fill="FFFFFF"/>
              </w:rPr>
              <w:t>163</w:t>
            </w:r>
            <w:r>
              <w:rPr>
                <w:b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грн </w:t>
            </w:r>
            <w:r w:rsidRPr="00DE4334">
              <w:rPr>
                <w:b/>
                <w:i/>
                <w:sz w:val="24"/>
                <w:szCs w:val="24"/>
                <w:shd w:val="clear" w:color="auto" w:fill="FFFFFF"/>
              </w:rPr>
              <w:t xml:space="preserve">54 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коп.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3B8C9E40" w14:textId="77777777" w:rsidR="00C27B63" w:rsidRDefault="00F80A7E" w:rsidP="00512FF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80A7E">
              <w:rPr>
                <w:b w:val="0"/>
                <w:i/>
                <w:sz w:val="24"/>
                <w:szCs w:val="24"/>
              </w:rPr>
              <w:t xml:space="preserve">Земельна ділянка забудована. </w:t>
            </w:r>
            <w:r w:rsidR="00C27B63">
              <w:rPr>
                <w:b w:val="0"/>
                <w:i/>
                <w:sz w:val="24"/>
                <w:szCs w:val="24"/>
              </w:rPr>
              <w:t>Н</w:t>
            </w:r>
            <w:r w:rsidRPr="00F80A7E">
              <w:rPr>
                <w:b w:val="0"/>
                <w:i/>
                <w:sz w:val="24"/>
                <w:szCs w:val="24"/>
              </w:rPr>
              <w:t xml:space="preserve">а ділянці розташований наземний паркінг </w:t>
            </w:r>
            <w:r>
              <w:rPr>
                <w:b w:val="0"/>
                <w:i/>
                <w:sz w:val="24"/>
                <w:szCs w:val="24"/>
              </w:rPr>
              <w:t xml:space="preserve">відкритого типу </w:t>
            </w:r>
            <w:r w:rsidR="00C27B63">
              <w:rPr>
                <w:b w:val="0"/>
                <w:i/>
                <w:sz w:val="24"/>
                <w:szCs w:val="24"/>
              </w:rPr>
              <w:t xml:space="preserve">загальною площею                 8634,3 </w:t>
            </w:r>
            <w:proofErr w:type="spellStart"/>
            <w:r w:rsidR="00C27B63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="00C27B63">
              <w:rPr>
                <w:b w:val="0"/>
                <w:i/>
                <w:sz w:val="24"/>
                <w:szCs w:val="24"/>
              </w:rPr>
              <w:t xml:space="preserve">. м (кількість поверхів – 4) </w:t>
            </w:r>
            <w:r w:rsidRPr="00F80A7E">
              <w:rPr>
                <w:b w:val="0"/>
                <w:i/>
                <w:sz w:val="24"/>
                <w:szCs w:val="24"/>
              </w:rPr>
              <w:t>для автомобілів, декілька побутови</w:t>
            </w:r>
            <w:r w:rsidR="00C27B63">
              <w:rPr>
                <w:b w:val="0"/>
                <w:i/>
                <w:sz w:val="24"/>
                <w:szCs w:val="24"/>
              </w:rPr>
              <w:t>х</w:t>
            </w:r>
            <w:r w:rsidRPr="00F80A7E">
              <w:rPr>
                <w:b w:val="0"/>
                <w:i/>
                <w:sz w:val="24"/>
                <w:szCs w:val="24"/>
              </w:rPr>
              <w:t xml:space="preserve"> вагончиків, не закінчене будівництво мийки самообслуговування зі спорудою операторської. Ділянка частково огороджена, встановлен</w:t>
            </w:r>
            <w:r w:rsidR="00C27B63">
              <w:rPr>
                <w:b w:val="0"/>
                <w:i/>
                <w:sz w:val="24"/>
                <w:szCs w:val="24"/>
              </w:rPr>
              <w:t>о шлагбауми для заїзду і виїзду</w:t>
            </w:r>
            <w:r w:rsidR="00512FF3">
              <w:rPr>
                <w:b w:val="0"/>
                <w:i/>
                <w:sz w:val="24"/>
                <w:szCs w:val="24"/>
              </w:rPr>
              <w:t>. Згідно із сертифікатом, виданим Державною архітектурно-будівельною інспекцією України від 10.09.2021 № ІУ122210907211</w:t>
            </w:r>
            <w:r w:rsidR="00C27B63">
              <w:rPr>
                <w:b w:val="0"/>
                <w:i/>
                <w:sz w:val="24"/>
                <w:szCs w:val="24"/>
              </w:rPr>
              <w:t xml:space="preserve"> </w:t>
            </w:r>
            <w:r w:rsidR="00512FF3">
              <w:rPr>
                <w:b w:val="0"/>
                <w:i/>
                <w:sz w:val="24"/>
                <w:szCs w:val="24"/>
              </w:rPr>
              <w:t xml:space="preserve">засвідчено відповідність закінченого будівництвом об’єкта (черги, окремого пускового комплексу) проектній документації та підтверджує його готовність до експлуатації (будівництво житлового комплексу </w:t>
            </w:r>
            <w:r w:rsidR="00512FF3">
              <w:rPr>
                <w:b w:val="0"/>
                <w:i/>
                <w:sz w:val="24"/>
                <w:szCs w:val="24"/>
                <w:lang w:val="en-US"/>
              </w:rPr>
              <w:t>XVI</w:t>
            </w:r>
            <w:r w:rsidR="00512FF3">
              <w:rPr>
                <w:b w:val="0"/>
                <w:i/>
                <w:sz w:val="24"/>
                <w:szCs w:val="24"/>
              </w:rPr>
              <w:t xml:space="preserve"> черга, наземний паркінг відкритого типу) </w:t>
            </w:r>
            <w:r w:rsidR="00C27B63">
              <w:rPr>
                <w:b w:val="0"/>
                <w:i/>
                <w:sz w:val="24"/>
                <w:szCs w:val="24"/>
              </w:rPr>
              <w:t>(</w:t>
            </w:r>
            <w:r w:rsidR="00C27B63" w:rsidRPr="00F80A7E">
              <w:rPr>
                <w:b w:val="0"/>
                <w:i/>
                <w:sz w:val="24"/>
                <w:szCs w:val="24"/>
              </w:rPr>
              <w:t>акт</w:t>
            </w:r>
            <w:r w:rsidR="00512FF3">
              <w:rPr>
                <w:b w:val="0"/>
                <w:i/>
                <w:sz w:val="24"/>
                <w:szCs w:val="24"/>
              </w:rPr>
              <w:t xml:space="preserve"> </w:t>
            </w:r>
            <w:r w:rsidR="00C27B63" w:rsidRPr="00F80A7E">
              <w:rPr>
                <w:b w:val="0"/>
                <w:i/>
                <w:sz w:val="24"/>
                <w:szCs w:val="24"/>
              </w:rPr>
              <w:t>обстеження земельної ділянки</w:t>
            </w:r>
            <w:r w:rsidR="00512FF3">
              <w:rPr>
                <w:b w:val="0"/>
                <w:i/>
                <w:sz w:val="24"/>
                <w:szCs w:val="24"/>
              </w:rPr>
              <w:t xml:space="preserve"> від 25.10.2022 </w:t>
            </w:r>
            <w:r w:rsidR="00C27B63" w:rsidRPr="00F80A7E">
              <w:rPr>
                <w:b w:val="0"/>
                <w:i/>
                <w:sz w:val="24"/>
                <w:szCs w:val="24"/>
              </w:rPr>
              <w:t>№ А-22-0048/07</w:t>
            </w:r>
            <w:r w:rsidR="00C27B63">
              <w:rPr>
                <w:b w:val="0"/>
                <w:i/>
                <w:sz w:val="24"/>
                <w:szCs w:val="24"/>
              </w:rPr>
              <w:t>).</w:t>
            </w:r>
          </w:p>
          <w:p w14:paraId="0DBADD61" w14:textId="77777777" w:rsidR="00E2186E" w:rsidRDefault="00E2186E" w:rsidP="00512FF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2186E">
              <w:rPr>
                <w:b w:val="0"/>
                <w:i/>
                <w:sz w:val="24"/>
                <w:szCs w:val="24"/>
              </w:rPr>
              <w:t>Відповідно до наказу Департаменту містобудування та архітектури від 19.07.2022 № 437 присвоєно об’єкту нерухомого майна – наземному паркінгу відкритого типу літера «К» відповідно до сертифікату, що підтверджує його готовність до експлуатації № ІУ122210907211, виданого Державною архітектурно-будівельною інспекцією України 07.09.2021 адресу – вул. Тираспольська, 60-А у Подільському районі м. Києва.</w:t>
            </w:r>
          </w:p>
          <w:p w14:paraId="506E57A9" w14:textId="731C51D8" w:rsidR="008D621E" w:rsidRPr="00E2186E" w:rsidRDefault="008D621E" w:rsidP="008D621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8D621E" w:rsidRPr="00037B84" w14:paraId="4827D6DF" w14:textId="77777777" w:rsidTr="00B312AA">
        <w:trPr>
          <w:cantSplit/>
          <w:trHeight w:val="2106"/>
        </w:trPr>
        <w:tc>
          <w:tcPr>
            <w:tcW w:w="2972" w:type="dxa"/>
          </w:tcPr>
          <w:p w14:paraId="45D0353D" w14:textId="77777777" w:rsidR="008D621E" w:rsidRPr="00776E89" w:rsidRDefault="008D621E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163E9B3F" w14:textId="073DDD6E" w:rsidR="008D621E" w:rsidRDefault="008D621E" w:rsidP="008D621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Відповідно до листа т</w:t>
            </w:r>
            <w:r w:rsidRPr="008D621E">
              <w:rPr>
                <w:b w:val="0"/>
                <w:i/>
                <w:sz w:val="24"/>
                <w:szCs w:val="24"/>
              </w:rPr>
              <w:t>овариств</w:t>
            </w:r>
            <w:r>
              <w:rPr>
                <w:b w:val="0"/>
                <w:i/>
                <w:sz w:val="24"/>
                <w:szCs w:val="24"/>
              </w:rPr>
              <w:t>а</w:t>
            </w:r>
            <w:r w:rsidRPr="008D621E">
              <w:rPr>
                <w:b w:val="0"/>
                <w:i/>
                <w:sz w:val="24"/>
                <w:szCs w:val="24"/>
              </w:rPr>
              <w:t xml:space="preserve"> з обмеженою відповідальністю «МОЛОДІЖНИЙ ЖИТЛОВИЙ КОМПЛЕКС «ОБОЛОНЬ» (</w:t>
            </w:r>
            <w:r>
              <w:rPr>
                <w:b w:val="0"/>
                <w:i/>
                <w:sz w:val="24"/>
                <w:szCs w:val="24"/>
              </w:rPr>
              <w:t>далі – Товариство) від 14.12.2022 № 137</w:t>
            </w:r>
            <w:r w:rsidR="00552267">
              <w:rPr>
                <w:b w:val="0"/>
                <w:i/>
                <w:sz w:val="24"/>
                <w:szCs w:val="24"/>
              </w:rPr>
              <w:t xml:space="preserve">                        </w:t>
            </w:r>
            <w:r w:rsidR="00552267" w:rsidRPr="00552267">
              <w:rPr>
                <w:b w:val="0"/>
                <w:i/>
                <w:sz w:val="24"/>
                <w:szCs w:val="24"/>
              </w:rPr>
              <w:t>(</w:t>
            </w:r>
            <w:proofErr w:type="spellStart"/>
            <w:r w:rsidR="00552267" w:rsidRPr="00552267">
              <w:rPr>
                <w:b w:val="0"/>
                <w:i/>
                <w:sz w:val="24"/>
                <w:szCs w:val="24"/>
              </w:rPr>
              <w:t>вх</w:t>
            </w:r>
            <w:proofErr w:type="spellEnd"/>
            <w:r w:rsidR="00552267" w:rsidRPr="00552267">
              <w:rPr>
                <w:b w:val="0"/>
                <w:i/>
                <w:sz w:val="24"/>
                <w:szCs w:val="24"/>
              </w:rPr>
              <w:t>. від 14.12.2022 № 057/9701)</w:t>
            </w:r>
            <w:r>
              <w:rPr>
                <w:b w:val="0"/>
                <w:i/>
                <w:sz w:val="24"/>
                <w:szCs w:val="24"/>
              </w:rPr>
              <w:t xml:space="preserve"> на земельній ділянці з кадастровим номером </w:t>
            </w:r>
            <w:r w:rsidRPr="008D621E">
              <w:rPr>
                <w:b w:val="0"/>
                <w:i/>
                <w:sz w:val="24"/>
                <w:szCs w:val="24"/>
              </w:rPr>
              <w:t>8000000000:91:179:0507</w:t>
            </w:r>
            <w:r>
              <w:rPr>
                <w:b w:val="0"/>
                <w:i/>
                <w:sz w:val="24"/>
                <w:szCs w:val="24"/>
              </w:rPr>
              <w:t xml:space="preserve"> згідно з дозволом на будівництво і Генеральним планом заплановано будівництво автоматизованого 9-рівневого підземного паркінгу (будівництво не розпочато).</w:t>
            </w:r>
          </w:p>
          <w:p w14:paraId="5F973DB9" w14:textId="35C6A739" w:rsidR="008D621E" w:rsidRPr="00F80A7E" w:rsidRDefault="008D621E" w:rsidP="008D621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Наразі Товариством ще не в повному обсязі реалізовано продаж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паркомісць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наземного паркінгу</w:t>
            </w:r>
            <w:r w:rsidR="00277C8C">
              <w:rPr>
                <w:b w:val="0"/>
                <w:i/>
                <w:sz w:val="24"/>
                <w:szCs w:val="24"/>
              </w:rPr>
              <w:t xml:space="preserve"> відкритого типу, у зв’язку з чим є необхідність поновити дію договору оренди</w:t>
            </w:r>
            <w:r w:rsidR="00552267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512FF3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512FF3" w:rsidRPr="00037B84" w:rsidRDefault="00512FF3" w:rsidP="00512FF3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80A7E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9DB1617" w:rsidR="00512FF3" w:rsidRPr="00512FF3" w:rsidRDefault="00512FF3" w:rsidP="00512FF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12FF3">
              <w:rPr>
                <w:b w:val="0"/>
                <w:i/>
                <w:sz w:val="24"/>
                <w:szCs w:val="24"/>
              </w:rPr>
              <w:t xml:space="preserve">Детальний план території не затверджено. </w:t>
            </w:r>
          </w:p>
        </w:tc>
      </w:tr>
      <w:tr w:rsidR="00512FF3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512FF3" w:rsidRPr="00776E89" w:rsidRDefault="00512FF3" w:rsidP="00512FF3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512FF3" w:rsidRPr="00037B84" w:rsidRDefault="00512FF3" w:rsidP="00512FF3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п</w:t>
            </w:r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512FF3" w:rsidRPr="00037B84" w:rsidRDefault="00512FF3" w:rsidP="00512FF3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згідно</w:t>
            </w:r>
            <w:r w:rsidRPr="004D4B3C">
              <w:rPr>
                <w:b w:val="0"/>
                <w:i/>
                <w:sz w:val="24"/>
                <w:szCs w:val="24"/>
              </w:rPr>
              <w:t xml:space="preserve"> з Генпланом</w:t>
            </w:r>
            <w:r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6A93D2B" w14:textId="77777777" w:rsidR="00512FF3" w:rsidRDefault="00512FF3" w:rsidP="00512FF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12FF3">
              <w:rPr>
                <w:b w:val="0"/>
                <w:i/>
                <w:sz w:val="24"/>
                <w:szCs w:val="24"/>
              </w:rPr>
              <w:t>Території сільськогосподарські (існуючі).</w:t>
            </w:r>
          </w:p>
          <w:p w14:paraId="49BF4673" w14:textId="1917F5EF" w:rsidR="00512FF3" w:rsidRPr="00512FF3" w:rsidRDefault="00512FF3" w:rsidP="00512FF3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02FB5">
              <w:rPr>
                <w:b w:val="0"/>
                <w:i/>
                <w:sz w:val="24"/>
                <w:szCs w:val="24"/>
              </w:rPr>
              <w:t>Рішенням Київської міської ради від 18.11.2004 № 817/2227  припинено державній агрофірмі «Квіти України» право користування частиною земельної ділянки та віднесено її до земель запасу житлової та громадської забудови.</w:t>
            </w:r>
            <w:r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12FF3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B548AF4" w14:textId="77777777" w:rsidR="00BB6886" w:rsidRDefault="00BB6886" w:rsidP="00BB6886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B6886">
              <w:rPr>
                <w:b w:val="0"/>
                <w:i/>
                <w:sz w:val="24"/>
                <w:szCs w:val="24"/>
              </w:rPr>
              <w:t>Згідно з даними Державного реєстру речових прав на н</w:t>
            </w:r>
            <w:r>
              <w:rPr>
                <w:b w:val="0"/>
                <w:i/>
                <w:sz w:val="24"/>
                <w:szCs w:val="24"/>
              </w:rPr>
              <w:t xml:space="preserve">ерухоме майно земельна ділянка </w:t>
            </w:r>
            <w:r w:rsidRPr="00BB6886">
              <w:rPr>
                <w:b w:val="0"/>
                <w:i/>
                <w:sz w:val="24"/>
                <w:szCs w:val="24"/>
              </w:rPr>
              <w:t xml:space="preserve">перебуває у комунальній власності територіальної громади міста Києва. </w:t>
            </w:r>
          </w:p>
          <w:p w14:paraId="0EC5BAC8" w14:textId="23952260" w:rsidR="00823CCF" w:rsidRPr="00BB6886" w:rsidRDefault="00BB6886" w:rsidP="00BB6886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BB6886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- землі житлової та громадської забудови, код виду цільового призначення - 02.07.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BB6886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BB6886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BB6886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BB6886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E1640A6" w:rsidR="00823CCF" w:rsidRPr="00BB6886" w:rsidRDefault="00BB6886" w:rsidP="00B312AA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B6886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(зі змінами та доповненнями)</w:t>
            </w:r>
            <w:r w:rsidRPr="00BB6886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  <w:tr w:rsidR="00552267" w:rsidRPr="00037B84" w14:paraId="3D93E907" w14:textId="77777777" w:rsidTr="00430CA4">
        <w:trPr>
          <w:cantSplit/>
          <w:trHeight w:val="1413"/>
        </w:trPr>
        <w:tc>
          <w:tcPr>
            <w:tcW w:w="2972" w:type="dxa"/>
          </w:tcPr>
          <w:p w14:paraId="5E69F1D3" w14:textId="4E2944CA" w:rsidR="00552267" w:rsidRPr="00BB6886" w:rsidRDefault="00552267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BB6886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7174579D" w14:textId="77777777" w:rsidR="00552267" w:rsidRPr="00552267" w:rsidRDefault="00552267" w:rsidP="0055226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</w:rPr>
              <w:t>Земельна ділянка (кадастровий номер 8000000000:91:179:0143) передавалась Товариству в оренду на 15 років для будівництва, експлуатації та обслуговування молодіжного житлового комплексу відповідно до рішення Київської міської ради від 18.11.2004  № 817/2227 та договору оренди  від 29.04.2005 № 85-6-00198.</w:t>
            </w:r>
          </w:p>
          <w:p w14:paraId="0AEF694A" w14:textId="77777777" w:rsidR="00552267" w:rsidRDefault="00552267" w:rsidP="0055226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</w:rPr>
              <w:t xml:space="preserve">Цей договір поновлено договором від 31.08.2020 № 668 на підставі висновку до кадастрової справи № 360582072 постійної комісії Київської міської ради з питань містобудування, архітектури та землекористування до протоколу № 3/106 засідання від 02.06.2020 (термін до 31.08.2035).  </w:t>
            </w:r>
          </w:p>
          <w:p w14:paraId="78DDACB7" w14:textId="77777777" w:rsidR="00277C8C" w:rsidRDefault="00277C8C" w:rsidP="0055226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38814665" w14:textId="2B18FE39" w:rsidR="00552267" w:rsidRPr="00552267" w:rsidRDefault="00552267" w:rsidP="0055226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</w:rPr>
              <w:t>На підставі технічної документації щодо поділу  земельної ділянки з кадастровим номером 800000000:91:179:0143 сформовано 13 земельних ділянок з кадастровими номерами:</w:t>
            </w:r>
          </w:p>
          <w:p w14:paraId="216F1561" w14:textId="52767505" w:rsidR="00552267" w:rsidRPr="00BB6886" w:rsidRDefault="00552267" w:rsidP="00552267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</w:rPr>
              <w:t>800000000:91:179:0501,  800000000:91:179:0502, 800000000:91:179:0503, 800000000:91:179:0504, 800000000:91:179:0505, 800000000:91:179:0506, 800000000:91:179:0507, 800000000:91:179:0508, 800000000:91:179:0509, 800000000:91:179:0510, 800000000:91:179:0511, 800000000:91:179:0512,  800000000:91:179:0513.</w:t>
            </w:r>
          </w:p>
        </w:tc>
      </w:tr>
      <w:tr w:rsidR="00BB6886" w:rsidRPr="00037B84" w14:paraId="1D6225F3" w14:textId="77777777" w:rsidTr="00430CA4">
        <w:trPr>
          <w:cantSplit/>
          <w:trHeight w:val="1413"/>
        </w:trPr>
        <w:tc>
          <w:tcPr>
            <w:tcW w:w="2972" w:type="dxa"/>
          </w:tcPr>
          <w:p w14:paraId="62790032" w14:textId="55C3A8A2" w:rsidR="00BB6886" w:rsidRPr="00BB6886" w:rsidRDefault="00BB6886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CCC898" w14:textId="09DC5108" w:rsidR="00BB6886" w:rsidRDefault="00BB6886" w:rsidP="00BB68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BB68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 ради від 08.08.2021                                              № 2090/2131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BB68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внесено зміни до договору оренди від 29.04.2005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№ 85-6-00198 (зі змінами, </w:t>
            </w:r>
            <w:r w:rsidRPr="00BB68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визначивши об'єктами оренди цього договору земельні ділянки з кадастровими номерами: 8000000000:91:179:0505,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BB68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8000000000:91:179:0507, 8000000000:91:179:0508, 8000000000:91:179:0512, площами 2,1221 га, 0,9132 га, 0,7107 га, 0,0174 га відповідно, для будівництва, експлуатації та обслуговування молодіжного житлового комплексу на вул. Тираспольській, 43 у Подільському районі міста Києва та визначивши 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трок дії договору до 31.12.2022</w:t>
            </w:r>
            <w:r w:rsidRPr="00BB68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(договір про внесення змін до договору від 21.10.2021 № 797).</w:t>
            </w:r>
          </w:p>
          <w:p w14:paraId="641D5720" w14:textId="77777777" w:rsidR="00277C8C" w:rsidRDefault="00277C8C" w:rsidP="00BB68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5504EFC3" w14:textId="6B316E39" w:rsidR="00552267" w:rsidRPr="00552267" w:rsidRDefault="00552267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Ухвалою Подільського районного суду м. Києва від 01.12.2021 у справі № 758/10187/21</w:t>
            </w:r>
            <w:r w:rsid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, залишеною без змін </w:t>
            </w:r>
            <w:r w:rsidR="006718FE"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постанов</w:t>
            </w:r>
            <w:r w:rsid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ою</w:t>
            </w:r>
            <w:r w:rsidR="006718FE"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Київського апеляційного суду</w:t>
            </w:r>
            <w:r w:rsid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6718FE"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06.07.2022</w:t>
            </w:r>
            <w:r w:rsid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та </w:t>
            </w:r>
            <w:r w:rsidR="006718FE"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</w:t>
            </w:r>
            <w:r w:rsidR="006718FE" w:rsidRP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остановою Верховного суду України від 05.09.2022</w:t>
            </w: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:</w:t>
            </w:r>
          </w:p>
          <w:p w14:paraId="396EE05C" w14:textId="43C60968" w:rsidR="00552267" w:rsidRPr="00552267" w:rsidRDefault="00552267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- </w:t>
            </w:r>
            <w:r w:rsidR="006718FE" w:rsidRP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заборонено </w:t>
            </w: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Державній інспекції архітектури та містобудування України приймати в установленому порядку в експлуатацію закінчений будівництвом об`єкт (видавати сертифікат про прийняття в експлуатацію закінченого будівництвом об`єкта) мийку на 6 постів, будівництво якого здійснюється на земельній ділянці з кадастровим номером 8000000000:91:179:0507, площею 0,9132 га;</w:t>
            </w:r>
          </w:p>
          <w:p w14:paraId="6DA1FF10" w14:textId="1025DFE5" w:rsidR="00552267" w:rsidRPr="00552267" w:rsidRDefault="00552267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- заборонено суб`єктам державної реєстрації прав на нерухоме майно та державним реєстраторам прав на нерухоме майно в тому числі особам, які виконують функції державного реєстратора прав, вчиняти будь-які реєстраційні дії щодо державної реєстрації права власності на нерухоме майно - будівлю мийки на 6 постів,  будівництво якого здійснюється на земельній ділянці з кадастровим номером 8000000000:91:179:0507, площею 0,9132 га, в тому числі як на об`єкт незавершеного будівництва.</w:t>
            </w:r>
          </w:p>
          <w:p w14:paraId="64510836" w14:textId="77777777" w:rsidR="006718FE" w:rsidRDefault="006718FE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DB2DF2B" w14:textId="77777777" w:rsidR="00B7281A" w:rsidRDefault="00552267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</w:t>
            </w:r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довідки</w:t>
            </w: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ГУ ДПС у м. Києві від </w:t>
            </w:r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30</w:t>
            </w: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.11.2022                              № </w:t>
            </w:r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176345</w:t>
            </w: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30</w:t>
            </w:r>
            <w:r w:rsidRPr="0055226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.11.2022 Товариство не </w:t>
            </w:r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має податкового боргу, недоїмки зі сплати єдиного внеску, іншої заборгованості з платежів (у тому числі розстроченої, відстроченої, </w:t>
            </w:r>
            <w:proofErr w:type="spellStart"/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реструктуризованої</w:t>
            </w:r>
            <w:proofErr w:type="spellEnd"/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), контроль за сприянням яких покладено на контролюючі органи.</w:t>
            </w:r>
          </w:p>
          <w:p w14:paraId="5C0C0EAE" w14:textId="30DEDD59" w:rsidR="00277C8C" w:rsidRDefault="006718FE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Києві від 09.12.2022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</w:t>
            </w:r>
            <w:r w:rsidRP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31054/5/26-15-13-01-05 станом на 01.12.2022 </w:t>
            </w:r>
            <w:r w:rsidR="00B7281A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Товариство </w:t>
            </w:r>
            <w:r w:rsidRPr="006718F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включено до переліку підприємств-боржників зі сплати земельного податку та орендної плати за землю.</w:t>
            </w:r>
          </w:p>
          <w:p w14:paraId="70BAAFAD" w14:textId="77777777" w:rsidR="006718FE" w:rsidRDefault="006718FE" w:rsidP="005522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59201BE8" w14:textId="41AFB708" w:rsidR="006718FE" w:rsidRPr="006718FE" w:rsidRDefault="006718FE" w:rsidP="006718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718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ради.</w:t>
            </w:r>
          </w:p>
          <w:p w14:paraId="4506BC49" w14:textId="183051A5" w:rsidR="006718FE" w:rsidRDefault="006718FE" w:rsidP="006718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2E720DE5" w14:textId="77777777" w:rsidR="006718FE" w:rsidRPr="006718FE" w:rsidRDefault="006718FE" w:rsidP="006718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bookmarkStart w:id="0" w:name="_GoBack"/>
            <w:bookmarkEnd w:id="0"/>
            <w:r w:rsidRPr="006718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lastRenderedPageBreak/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88BC7B5" w14:textId="77777777" w:rsidR="006718FE" w:rsidRPr="006718FE" w:rsidRDefault="006718FE" w:rsidP="006718F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57095DD9" w14:textId="55794976" w:rsidR="00BB6886" w:rsidRPr="00BB6886" w:rsidRDefault="006718FE" w:rsidP="006718FE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718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</w:t>
            </w:r>
            <w:proofErr w:type="spellStart"/>
            <w:r w:rsidRPr="006718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6718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про поновлення цього договору оренди, який передається до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5A2D3C6A" w14:textId="77777777" w:rsidR="00E2186E" w:rsidRDefault="00E2186E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3DE5E268" w14:textId="6E735914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46A5364" w:rsidR="006A19DF" w:rsidRPr="00DE433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="00DE4334" w:rsidRPr="00DE4334">
        <w:rPr>
          <w:b/>
          <w:sz w:val="24"/>
          <w:szCs w:val="24"/>
        </w:rPr>
        <w:t>396 394 грн 91 коп.</w:t>
      </w:r>
      <w:r w:rsidR="00DE4334">
        <w:rPr>
          <w:b/>
          <w:sz w:val="24"/>
          <w:szCs w:val="24"/>
        </w:rPr>
        <w:t xml:space="preserve"> (3%).</w:t>
      </w:r>
    </w:p>
    <w:p w14:paraId="3A1F723D" w14:textId="77777777" w:rsidR="00E2186E" w:rsidRDefault="00E2186E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0FD8F8B4" w14:textId="239C3163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85A5C25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E2186E">
        <w:rPr>
          <w:i w:val="0"/>
          <w:sz w:val="24"/>
          <w:szCs w:val="24"/>
        </w:rPr>
        <w:t>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BF3B45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BF3B45">
          <w:rPr>
            <w:i w:val="0"/>
            <w:sz w:val="12"/>
            <w:szCs w:val="12"/>
            <w:lang w:val="ru-RU"/>
          </w:rPr>
          <w:t>-45885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BF3B45">
          <w:rPr>
            <w:i w:val="0"/>
            <w:sz w:val="12"/>
            <w:szCs w:val="12"/>
            <w:lang w:val="ru-RU"/>
          </w:rPr>
          <w:t>14.12.2022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BF3B45">
          <w:rPr>
            <w:i w:val="0"/>
            <w:sz w:val="12"/>
            <w:szCs w:val="12"/>
            <w:lang w:val="ru-RU"/>
          </w:rPr>
          <w:t>370599521</w:t>
        </w:r>
      </w:p>
      <w:p w14:paraId="0BF67CBB" w14:textId="76271E0C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57606" w:rsidRPr="00A5760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5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77C8C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70E03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2FF3"/>
    <w:rsid w:val="005156AF"/>
    <w:rsid w:val="00531BB2"/>
    <w:rsid w:val="00532056"/>
    <w:rsid w:val="00533D8E"/>
    <w:rsid w:val="00540515"/>
    <w:rsid w:val="00543C2B"/>
    <w:rsid w:val="00552267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43B73"/>
    <w:rsid w:val="006638C7"/>
    <w:rsid w:val="00664BE9"/>
    <w:rsid w:val="00664F25"/>
    <w:rsid w:val="006718FE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D621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C4F62"/>
    <w:rsid w:val="009D6B57"/>
    <w:rsid w:val="009E6239"/>
    <w:rsid w:val="009F0D03"/>
    <w:rsid w:val="009F4C72"/>
    <w:rsid w:val="00A12E00"/>
    <w:rsid w:val="00A23CBD"/>
    <w:rsid w:val="00A26962"/>
    <w:rsid w:val="00A33A51"/>
    <w:rsid w:val="00A426A3"/>
    <w:rsid w:val="00A57606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281A"/>
    <w:rsid w:val="00B734EF"/>
    <w:rsid w:val="00B736BD"/>
    <w:rsid w:val="00B75EAF"/>
    <w:rsid w:val="00B82614"/>
    <w:rsid w:val="00B87AD3"/>
    <w:rsid w:val="00BA5124"/>
    <w:rsid w:val="00BB6886"/>
    <w:rsid w:val="00BF1120"/>
    <w:rsid w:val="00BF3B45"/>
    <w:rsid w:val="00C241ED"/>
    <w:rsid w:val="00C27B63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3069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DE4334"/>
    <w:rsid w:val="00E05220"/>
    <w:rsid w:val="00E2186E"/>
    <w:rsid w:val="00E27308"/>
    <w:rsid w:val="00E40910"/>
    <w:rsid w:val="00E514AE"/>
    <w:rsid w:val="00E5752E"/>
    <w:rsid w:val="00E7338E"/>
    <w:rsid w:val="00E77A9B"/>
    <w:rsid w:val="00E84F46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80A7E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List Paragraph"/>
    <w:basedOn w:val="a"/>
    <w:uiPriority w:val="34"/>
    <w:qFormat/>
    <w:rsid w:val="00E2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2741-2D50-494E-8FE2-2106D739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11846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Поп Лілія Володимирівна</cp:lastModifiedBy>
  <cp:revision>13</cp:revision>
  <cp:lastPrinted>2023-01-04T08:49:00Z</cp:lastPrinted>
  <dcterms:created xsi:type="dcterms:W3CDTF">2022-12-14T15:47:00Z</dcterms:created>
  <dcterms:modified xsi:type="dcterms:W3CDTF">2023-01-04T08:50:00Z</dcterms:modified>
</cp:coreProperties>
</file>