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364120273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364120273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ПЗН-62346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13.02.2024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55249059" w:rsidR="00AB6376" w:rsidRPr="00182017" w:rsidRDefault="00182017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182017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«АРМОРГАРАНТ»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182017">
        <w:rPr>
          <w:rStyle w:val="ac"/>
          <w:b/>
          <w:color w:val="000000" w:themeColor="text1"/>
          <w:sz w:val="24"/>
          <w:szCs w:val="24"/>
        </w:rPr>
        <w:t>оренд</w:t>
      </w:r>
      <w:proofErr w:type="spellEnd"/>
      <w:r w:rsidR="004C4066">
        <w:rPr>
          <w:rStyle w:val="ac"/>
          <w:b/>
          <w:color w:val="000000" w:themeColor="text1"/>
          <w:sz w:val="24"/>
          <w:szCs w:val="24"/>
          <w:lang w:val="uk-UA"/>
        </w:rPr>
        <w:t>у</w:t>
      </w:r>
      <w:r w:rsidRPr="001820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для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експлуатації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та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обслуговування</w:t>
      </w:r>
      <w:proofErr w:type="spellEnd"/>
      <w:r w:rsidRPr="00182017">
        <w:rPr>
          <w:b/>
          <w:i/>
          <w:sz w:val="24"/>
          <w:szCs w:val="24"/>
        </w:rPr>
        <w:t xml:space="preserve"> СТО </w:t>
      </w:r>
      <w:proofErr w:type="spellStart"/>
      <w:r w:rsidRPr="00182017">
        <w:rPr>
          <w:b/>
          <w:i/>
          <w:sz w:val="24"/>
          <w:szCs w:val="24"/>
        </w:rPr>
        <w:t>та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мийки</w:t>
      </w:r>
      <w:proofErr w:type="spellEnd"/>
      <w:r w:rsidRPr="00182017">
        <w:rPr>
          <w:b/>
          <w:i/>
          <w:sz w:val="24"/>
          <w:szCs w:val="24"/>
        </w:rPr>
        <w:t xml:space="preserve"> з </w:t>
      </w:r>
      <w:proofErr w:type="spellStart"/>
      <w:r w:rsidRPr="00182017">
        <w:rPr>
          <w:b/>
          <w:i/>
          <w:sz w:val="24"/>
          <w:szCs w:val="24"/>
        </w:rPr>
        <w:t>об’єктами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автотранспортного</w:t>
      </w:r>
      <w:proofErr w:type="spellEnd"/>
      <w:r w:rsidRPr="00182017">
        <w:rPr>
          <w:b/>
          <w:i/>
          <w:sz w:val="24"/>
          <w:szCs w:val="24"/>
        </w:rPr>
        <w:t xml:space="preserve"> </w:t>
      </w:r>
      <w:proofErr w:type="spellStart"/>
      <w:r w:rsidRPr="00182017">
        <w:rPr>
          <w:b/>
          <w:i/>
          <w:sz w:val="24"/>
          <w:szCs w:val="24"/>
        </w:rPr>
        <w:t>обслуговування</w:t>
      </w:r>
      <w:proofErr w:type="spellEnd"/>
      <w:r w:rsidRPr="00182017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182017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182017">
        <w:rPr>
          <w:b/>
          <w:i/>
          <w:iCs/>
          <w:color w:val="000000" w:themeColor="text1"/>
          <w:sz w:val="24"/>
          <w:szCs w:val="24"/>
        </w:rPr>
        <w:t>Березняківській</w:t>
      </w:r>
      <w:proofErr w:type="spellEnd"/>
      <w:r w:rsidRPr="00182017">
        <w:rPr>
          <w:b/>
          <w:i/>
          <w:iCs/>
          <w:color w:val="000000" w:themeColor="text1"/>
          <w:sz w:val="24"/>
          <w:szCs w:val="24"/>
        </w:rPr>
        <w:t xml:space="preserve">, 21-а </w:t>
      </w:r>
      <w:r w:rsidRPr="00182017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182017">
        <w:rPr>
          <w:b/>
          <w:i/>
          <w:iCs/>
          <w:color w:val="000000" w:themeColor="text1"/>
          <w:sz w:val="24"/>
          <w:szCs w:val="24"/>
        </w:rPr>
        <w:t>Дніпровському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182017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2017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182017">
        <w:trPr>
          <w:cantSplit/>
          <w:trHeight w:val="74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57CF8091" w:rsidR="00AB6376" w:rsidRPr="00182017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ТОВАРИСТВО З ОБМЕЖЕНОЮ ВІДПОВІДАЛЬНІСТЮ «АРМОРГАРАНТ»</w:t>
            </w:r>
            <w:r w:rsidR="00182017">
              <w:rPr>
                <w:b w:val="0"/>
                <w:i/>
                <w:sz w:val="24"/>
                <w:szCs w:val="24"/>
                <w:lang w:val="uk-UA"/>
              </w:rPr>
              <w:t xml:space="preserve"> (далі – ТОВ </w:t>
            </w:r>
            <w:r w:rsidR="00182017" w:rsidRPr="00433810">
              <w:rPr>
                <w:b w:val="0"/>
                <w:i/>
                <w:sz w:val="24"/>
                <w:szCs w:val="24"/>
              </w:rPr>
              <w:t>«АРМОРГАРАНТ»</w:t>
            </w:r>
            <w:r w:rsidR="00182017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692247" w14:paraId="095E8B0B" w14:textId="77777777" w:rsidTr="003C1C75">
        <w:trPr>
          <w:cantSplit/>
          <w:trHeight w:val="1828"/>
        </w:trPr>
        <w:tc>
          <w:tcPr>
            <w:tcW w:w="3266" w:type="dxa"/>
          </w:tcPr>
          <w:p w14:paraId="60B7E346" w14:textId="77777777" w:rsidR="00AB6376" w:rsidRPr="00692247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9224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FBD069B" w14:textId="10A03C19" w:rsidR="00AB6376" w:rsidRPr="00692247" w:rsidRDefault="00FB5D25" w:rsidP="00182017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9224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2F506798" w14:textId="77777777" w:rsidR="003C1C75" w:rsidRPr="003C1C75" w:rsidRDefault="003C1C75" w:rsidP="003C1C7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МАСОЛ ДЕНИС ВАСИЛЬОВИЧ</w:t>
            </w:r>
          </w:p>
          <w:p w14:paraId="405127C1" w14:textId="77777777" w:rsidR="003C1C75" w:rsidRPr="00692247" w:rsidRDefault="003C1C75" w:rsidP="003C1C7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69096, Запорізька обл., м. Запоріжжя,</w:t>
            </w:r>
          </w:p>
          <w:p w14:paraId="3AA2EF49" w14:textId="4EDC309A" w:rsidR="003C1C75" w:rsidRPr="003C1C75" w:rsidRDefault="003C1C75" w:rsidP="003C1C7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 вул. Маршала </w:t>
            </w:r>
            <w:proofErr w:type="spellStart"/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Чуйкова</w:t>
            </w:r>
            <w:proofErr w:type="spellEnd"/>
          </w:p>
          <w:p w14:paraId="17C29EC9" w14:textId="77777777" w:rsidR="003C1C75" w:rsidRPr="003C1C75" w:rsidRDefault="003C1C75" w:rsidP="003C1C75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КЛЕЦКО ОЛЬГА АНАТОЛІЇВНА</w:t>
            </w:r>
          </w:p>
          <w:p w14:paraId="613E0F21" w14:textId="77777777" w:rsidR="003C1C75" w:rsidRPr="00692247" w:rsidRDefault="003C1C75" w:rsidP="003C1C7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3C1C75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 45034, </w:t>
            </w: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Волинська обл., Ковельський район,</w:t>
            </w:r>
          </w:p>
          <w:p w14:paraId="71B35F5E" w14:textId="4EDC2179" w:rsidR="00AB6376" w:rsidRPr="00692247" w:rsidRDefault="003C1C75" w:rsidP="003C1C75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 xml:space="preserve">смт. </w:t>
            </w:r>
            <w:proofErr w:type="spellStart"/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Люблинець</w:t>
            </w:r>
            <w:proofErr w:type="spellEnd"/>
            <w:r w:rsidRPr="00692247"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  <w:t>, вул. Шкільна</w:t>
            </w:r>
          </w:p>
        </w:tc>
      </w:tr>
      <w:tr w:rsidR="00692247" w:rsidRPr="00692247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692247" w:rsidRPr="00692247" w:rsidRDefault="00692247" w:rsidP="00692247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92247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692247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692247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1412B3A2" w14:textId="46EEB12F" w:rsidR="00692247" w:rsidRPr="00692247" w:rsidRDefault="00692247" w:rsidP="00692247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692247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</w:p>
        </w:tc>
        <w:tc>
          <w:tcPr>
            <w:tcW w:w="6090" w:type="dxa"/>
          </w:tcPr>
          <w:p w14:paraId="7E319C5C" w14:textId="77777777" w:rsidR="00692247" w:rsidRPr="003C1C75" w:rsidRDefault="00692247" w:rsidP="00692247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1F1F1F"/>
                <w:lang w:eastAsia="ru-RU" w:bidi="ar-SA"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МАСОЛ ДЕНИС ВАСИЛЬОВИЧ</w:t>
            </w:r>
          </w:p>
          <w:p w14:paraId="2C8207C6" w14:textId="4D4E4594" w:rsidR="00692247" w:rsidRPr="00692247" w:rsidRDefault="00692247" w:rsidP="00692247">
            <w:pPr>
              <w:widowControl/>
              <w:shd w:val="clear" w:color="auto" w:fill="FFFFFF"/>
              <w:textAlignment w:val="baseline"/>
              <w:rPr>
                <w:b/>
                <w:i/>
              </w:rPr>
            </w:pPr>
            <w:r w:rsidRPr="00692247">
              <w:rPr>
                <w:rFonts w:ascii="Times New Roman" w:eastAsia="Times New Roman" w:hAnsi="Times New Roman" w:cs="Times New Roman"/>
                <w:i/>
                <w:color w:val="1F1F1F"/>
                <w:bdr w:val="none" w:sz="0" w:space="0" w:color="auto" w:frame="1"/>
                <w:lang w:eastAsia="ru-RU" w:bidi="ar-SA"/>
              </w:rPr>
              <w:t>КЛЕЦКО ОЛЬГА АНАТОЛІЇВНА</w:t>
            </w:r>
          </w:p>
        </w:tc>
      </w:tr>
      <w:tr w:rsidR="00692247" w:rsidRPr="00692247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692247" w:rsidRPr="00692247" w:rsidRDefault="00692247" w:rsidP="0069224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92247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692247" w:rsidRPr="00692247" w:rsidRDefault="00692247" w:rsidP="0069224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92247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9224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92247">
              <w:rPr>
                <w:b w:val="0"/>
                <w:i/>
                <w:sz w:val="24"/>
                <w:szCs w:val="24"/>
                <w:lang w:val="uk-UA"/>
              </w:rPr>
              <w:t>19.01.2024</w:t>
            </w:r>
            <w:r w:rsidRPr="00692247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92247">
              <w:rPr>
                <w:b w:val="0"/>
                <w:i/>
                <w:sz w:val="24"/>
                <w:szCs w:val="24"/>
                <w:lang w:val="uk-UA"/>
              </w:rPr>
              <w:t>№ 364120273</w:t>
            </w:r>
          </w:p>
        </w:tc>
      </w:tr>
    </w:tbl>
    <w:p w14:paraId="18291978" w14:textId="77777777" w:rsidR="00AB6376" w:rsidRPr="00692247" w:rsidRDefault="00AB6376" w:rsidP="00AB6376">
      <w:pPr>
        <w:spacing w:line="1" w:lineRule="exact"/>
      </w:pPr>
    </w:p>
    <w:p w14:paraId="7ADFED16" w14:textId="77777777" w:rsidR="002E6951" w:rsidRPr="00692247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692247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92247">
        <w:rPr>
          <w:sz w:val="24"/>
          <w:szCs w:val="24"/>
          <w:lang w:val="uk-UA"/>
        </w:rPr>
        <w:t>Відомості про земельну ділянку (кадастровий № 8000000000:90:140:0097).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692247" w14:paraId="0F887576" w14:textId="77777777" w:rsidTr="003C1C75">
        <w:trPr>
          <w:trHeight w:hRule="exact" w:val="365"/>
        </w:trPr>
        <w:tc>
          <w:tcPr>
            <w:tcW w:w="3260" w:type="dxa"/>
            <w:shd w:val="clear" w:color="auto" w:fill="FFFFFF"/>
          </w:tcPr>
          <w:p w14:paraId="78A21176" w14:textId="7777777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692247" w:rsidRDefault="00AB6376" w:rsidP="003C1C75">
            <w:pPr>
              <w:pStyle w:val="a4"/>
              <w:shd w:val="clear" w:color="auto" w:fill="auto"/>
              <w:spacing w:line="233" w:lineRule="auto"/>
              <w:ind w:left="132"/>
              <w:rPr>
                <w:sz w:val="24"/>
                <w:szCs w:val="24"/>
                <w:lang w:val="uk-UA"/>
              </w:rPr>
            </w:pPr>
            <w:r w:rsidRPr="00692247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вул. </w:t>
            </w:r>
            <w:proofErr w:type="spellStart"/>
            <w:r w:rsidRPr="00692247">
              <w:rPr>
                <w:i/>
                <w:iCs/>
                <w:sz w:val="24"/>
                <w:szCs w:val="24"/>
                <w:lang w:val="uk-UA"/>
              </w:rPr>
              <w:t>Березняківська</w:t>
            </w:r>
            <w:proofErr w:type="spellEnd"/>
            <w:r w:rsidRPr="00692247">
              <w:rPr>
                <w:i/>
                <w:iCs/>
                <w:sz w:val="24"/>
                <w:szCs w:val="24"/>
                <w:lang w:val="uk-UA"/>
              </w:rPr>
              <w:t>, 21-а</w:t>
            </w:r>
          </w:p>
        </w:tc>
      </w:tr>
      <w:tr w:rsidR="00AB6376" w:rsidRPr="00692247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692247" w:rsidRDefault="00AB6376" w:rsidP="003C1C75">
            <w:pPr>
              <w:pStyle w:val="a4"/>
              <w:shd w:val="clear" w:color="auto" w:fill="auto"/>
              <w:ind w:left="132"/>
              <w:rPr>
                <w:sz w:val="24"/>
                <w:szCs w:val="24"/>
                <w:lang w:val="uk-UA"/>
              </w:rPr>
            </w:pPr>
            <w:r w:rsidRPr="00692247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0,2197</w:t>
            </w:r>
            <w:r w:rsidRPr="00692247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692247" w14:paraId="2123D0C7" w14:textId="77777777" w:rsidTr="00692247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692247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692247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35C090A5" w:rsidR="00AB6376" w:rsidRPr="00692247" w:rsidRDefault="00AB6376" w:rsidP="003C1C75">
            <w:pPr>
              <w:pStyle w:val="a4"/>
              <w:shd w:val="clear" w:color="auto" w:fill="auto"/>
              <w:ind w:left="132"/>
              <w:rPr>
                <w:sz w:val="24"/>
                <w:szCs w:val="24"/>
                <w:lang w:val="uk-UA"/>
              </w:rPr>
            </w:pPr>
            <w:r w:rsidRPr="00692247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3C1C75" w:rsidRPr="00692247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69224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692247" w14:paraId="632BE715" w14:textId="77777777" w:rsidTr="00F144F2">
        <w:trPr>
          <w:trHeight w:hRule="exact" w:val="990"/>
        </w:trPr>
        <w:tc>
          <w:tcPr>
            <w:tcW w:w="3260" w:type="dxa"/>
            <w:shd w:val="clear" w:color="auto" w:fill="FFFFFF"/>
          </w:tcPr>
          <w:p w14:paraId="760D2ABF" w14:textId="3063F54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1774CA" w:rsidRPr="0069224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745BF47" w:rsidR="00AB6376" w:rsidRPr="00692247" w:rsidRDefault="001774CA" w:rsidP="00692247">
            <w:pPr>
              <w:pStyle w:val="a4"/>
              <w:shd w:val="clear" w:color="auto" w:fill="auto"/>
              <w:ind w:left="132" w:right="134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692247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AB6376" w:rsidRPr="00692247" w14:paraId="759231D0" w14:textId="77777777" w:rsidTr="00692247">
        <w:trPr>
          <w:trHeight w:hRule="exact" w:val="1286"/>
        </w:trPr>
        <w:tc>
          <w:tcPr>
            <w:tcW w:w="3260" w:type="dxa"/>
            <w:shd w:val="clear" w:color="auto" w:fill="FFFFFF"/>
          </w:tcPr>
          <w:p w14:paraId="264D090A" w14:textId="7777777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0E881861" w:rsidR="00D83BE9" w:rsidRPr="00692247" w:rsidRDefault="00AB6376" w:rsidP="00692247">
            <w:pPr>
              <w:pStyle w:val="a4"/>
              <w:shd w:val="clear" w:color="auto" w:fill="auto"/>
              <w:ind w:left="132" w:right="134"/>
              <w:rPr>
                <w:i/>
                <w:sz w:val="24"/>
                <w:szCs w:val="24"/>
                <w:lang w:val="uk-UA"/>
              </w:rPr>
            </w:pPr>
            <w:r w:rsidRPr="00692247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69224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1774CA" w:rsidRPr="00692247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3C1C75" w:rsidRPr="00692247">
              <w:rPr>
                <w:i/>
                <w:sz w:val="24"/>
                <w:szCs w:val="24"/>
                <w:lang w:val="uk-UA"/>
              </w:rPr>
              <w:t>для експлуатації та обслуговування СТО та мийки з об’єктами автотранспортного обслуговування</w:t>
            </w:r>
            <w:r w:rsidR="001774CA" w:rsidRPr="0069224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692247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69224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692247">
              <w:rPr>
                <w:sz w:val="24"/>
                <w:szCs w:val="24"/>
                <w:lang w:val="uk-UA"/>
              </w:rPr>
              <w:br/>
            </w:r>
            <w:r w:rsidRPr="00692247">
              <w:rPr>
                <w:sz w:val="24"/>
                <w:szCs w:val="24"/>
                <w:lang w:val="uk-UA"/>
              </w:rPr>
              <w:t xml:space="preserve"> </w:t>
            </w:r>
            <w:r w:rsidR="00AB6376" w:rsidRPr="00692247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30470E78" w:rsidR="00AB6376" w:rsidRPr="00692247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692247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692247" w:rsidRPr="0069224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9 586</w:t>
            </w:r>
            <w:r w:rsidR="0069224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92247" w:rsidRPr="0069224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333</w:t>
            </w:r>
            <w:r w:rsidR="00692247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Pr="00692247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692247">
              <w:rPr>
                <w:rStyle w:val="ac"/>
                <w:sz w:val="24"/>
                <w:szCs w:val="24"/>
                <w:lang w:val="uk-UA"/>
              </w:rPr>
              <w:t>08</w:t>
            </w:r>
            <w:r w:rsidRPr="00692247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24FCDE91" w:rsidR="00AB6376" w:rsidRDefault="00AB6376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087E5FF5" w14:textId="1797F8F3" w:rsidR="003C1C75" w:rsidRDefault="003C1C75" w:rsidP="003C1C75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7333E9F5" w14:textId="77777777" w:rsidR="003C1C75" w:rsidRPr="007B1BE8" w:rsidRDefault="003C1C75" w:rsidP="003C1C75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2"/>
          <w:szCs w:val="24"/>
          <w:lang w:val="uk-UA"/>
        </w:rPr>
      </w:pPr>
    </w:p>
    <w:p w14:paraId="29A33F6F" w14:textId="77777777" w:rsidR="003C1C75" w:rsidRDefault="003C1C75" w:rsidP="003C1C75">
      <w:pPr>
        <w:pStyle w:val="1"/>
        <w:shd w:val="clear" w:color="auto" w:fill="auto"/>
        <w:ind w:right="4536" w:firstLine="11"/>
        <w:jc w:val="both"/>
        <w:rPr>
          <w:i w:val="0"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76C560A9" w14:textId="24F52961" w:rsidR="003C1C75" w:rsidRDefault="003C1C75" w:rsidP="003C1C75">
      <w:pPr>
        <w:pStyle w:val="1"/>
        <w:shd w:val="clear" w:color="auto" w:fill="auto"/>
        <w:ind w:right="142" w:firstLine="11"/>
        <w:jc w:val="both"/>
        <w:rPr>
          <w:b/>
          <w:sz w:val="24"/>
          <w:szCs w:val="24"/>
          <w:lang w:val="uk-UA"/>
        </w:rPr>
      </w:pPr>
      <w:r w:rsidRPr="009748EC">
        <w:rPr>
          <w:i w:val="0"/>
          <w:sz w:val="24"/>
          <w:szCs w:val="24"/>
          <w:lang w:val="uk-UA"/>
        </w:rPr>
        <w:t>(Київської міської державної адміністрації)</w:t>
      </w:r>
      <w:r>
        <w:rPr>
          <w:i w:val="0"/>
          <w:sz w:val="24"/>
          <w:szCs w:val="24"/>
          <w:lang w:val="uk-UA"/>
        </w:rPr>
        <w:t xml:space="preserve">:            </w:t>
      </w:r>
      <w:r w:rsidRPr="0097755B">
        <w:rPr>
          <w:b/>
          <w:sz w:val="24"/>
          <w:szCs w:val="24"/>
          <w:lang w:val="uk-UA"/>
        </w:rPr>
        <w:t xml:space="preserve">від </w:t>
      </w:r>
      <w:r w:rsidR="007B2575">
        <w:rPr>
          <w:b/>
          <w:sz w:val="24"/>
          <w:szCs w:val="24"/>
          <w:lang w:val="uk-UA"/>
        </w:rPr>
        <w:t>30</w:t>
      </w:r>
      <w:r w:rsidRPr="0097755B">
        <w:rPr>
          <w:b/>
          <w:sz w:val="24"/>
          <w:szCs w:val="24"/>
          <w:lang w:val="uk-UA"/>
        </w:rPr>
        <w:t>.</w:t>
      </w:r>
      <w:r w:rsidR="007B2575">
        <w:rPr>
          <w:b/>
          <w:sz w:val="24"/>
          <w:szCs w:val="24"/>
          <w:lang w:val="uk-UA"/>
        </w:rPr>
        <w:t>11</w:t>
      </w:r>
      <w:r w:rsidRPr="0097755B">
        <w:rPr>
          <w:b/>
          <w:sz w:val="24"/>
          <w:szCs w:val="24"/>
          <w:lang w:val="uk-UA"/>
        </w:rPr>
        <w:t>.20</w:t>
      </w:r>
      <w:r>
        <w:rPr>
          <w:b/>
          <w:sz w:val="24"/>
          <w:szCs w:val="24"/>
          <w:lang w:val="uk-UA"/>
        </w:rPr>
        <w:t>1</w:t>
      </w:r>
      <w:r w:rsidR="007B2575">
        <w:rPr>
          <w:b/>
          <w:sz w:val="24"/>
          <w:szCs w:val="24"/>
          <w:lang w:val="uk-UA"/>
        </w:rPr>
        <w:t>5</w:t>
      </w:r>
      <w:r w:rsidRPr="0097755B">
        <w:rPr>
          <w:b/>
          <w:sz w:val="24"/>
          <w:szCs w:val="24"/>
          <w:lang w:val="uk-UA"/>
        </w:rPr>
        <w:t xml:space="preserve"> № </w:t>
      </w:r>
      <w:r w:rsidR="007B2575">
        <w:rPr>
          <w:b/>
          <w:sz w:val="24"/>
          <w:szCs w:val="24"/>
          <w:lang w:val="uk-UA"/>
        </w:rPr>
        <w:t>16965</w:t>
      </w:r>
      <w:r w:rsidRPr="0097755B">
        <w:rPr>
          <w:b/>
          <w:sz w:val="24"/>
          <w:szCs w:val="24"/>
          <w:lang w:val="uk-UA"/>
        </w:rPr>
        <w:t>/0/</w:t>
      </w:r>
      <w:r w:rsidR="007B2575">
        <w:rPr>
          <w:b/>
          <w:sz w:val="24"/>
          <w:szCs w:val="24"/>
          <w:lang w:val="uk-UA"/>
        </w:rPr>
        <w:t>12</w:t>
      </w:r>
      <w:r>
        <w:rPr>
          <w:b/>
          <w:sz w:val="24"/>
          <w:szCs w:val="24"/>
          <w:lang w:val="uk-UA"/>
        </w:rPr>
        <w:t>/09-1</w:t>
      </w:r>
      <w:r w:rsidR="007B2575">
        <w:rPr>
          <w:b/>
          <w:sz w:val="24"/>
          <w:szCs w:val="24"/>
          <w:lang w:val="uk-UA"/>
        </w:rPr>
        <w:t>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3C1C75" w:rsidRPr="006B5C27" w14:paraId="4B19C16C" w14:textId="77777777" w:rsidTr="00E3556B">
        <w:tc>
          <w:tcPr>
            <w:tcW w:w="5098" w:type="dxa"/>
          </w:tcPr>
          <w:p w14:paraId="0D1A1D59" w14:textId="77777777" w:rsidR="003C1C75" w:rsidRPr="003B0350" w:rsidRDefault="003C1C75" w:rsidP="00E3556B">
            <w:pPr>
              <w:rPr>
                <w:rFonts w:ascii="Times New Roman" w:hAnsi="Times New Roman" w:cs="Times New Roman"/>
                <w:sz w:val="16"/>
              </w:rPr>
            </w:pPr>
          </w:p>
          <w:p w14:paraId="3DE48CD0" w14:textId="67E5C903" w:rsidR="003C1C75" w:rsidRPr="006B5C27" w:rsidRDefault="003C1C75" w:rsidP="007B2575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B5C27">
              <w:rPr>
                <w:rFonts w:ascii="Times New Roman" w:hAnsi="Times New Roman" w:cs="Times New Roman"/>
              </w:rPr>
              <w:t xml:space="preserve">Головним управлінням </w:t>
            </w:r>
            <w:proofErr w:type="spellStart"/>
            <w:r w:rsidRPr="006B5C27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6B5C27">
              <w:rPr>
                <w:rFonts w:ascii="Times New Roman" w:hAnsi="Times New Roman" w:cs="Times New Roman"/>
              </w:rPr>
              <w:t xml:space="preserve"> у               </w:t>
            </w:r>
            <w:r w:rsidR="007B2575">
              <w:rPr>
                <w:rFonts w:ascii="Times New Roman" w:hAnsi="Times New Roman" w:cs="Times New Roman"/>
              </w:rPr>
              <w:t>Волинській</w:t>
            </w:r>
            <w:r w:rsidRPr="006B5C27">
              <w:rPr>
                <w:rFonts w:ascii="Times New Roman" w:hAnsi="Times New Roman" w:cs="Times New Roman"/>
              </w:rPr>
              <w:t xml:space="preserve"> області</w:t>
            </w:r>
            <w:r w:rsidRPr="006B5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03FAEB39" w14:textId="77777777" w:rsidR="003C1C75" w:rsidRDefault="003C1C75" w:rsidP="00E3556B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uk-UA"/>
              </w:rPr>
            </w:pPr>
          </w:p>
          <w:p w14:paraId="4C1E8D26" w14:textId="0CC60FED" w:rsidR="003C1C75" w:rsidRPr="006B5C27" w:rsidRDefault="003C1C75" w:rsidP="007B2575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6B5C27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7B2575">
              <w:rPr>
                <w:b/>
                <w:sz w:val="24"/>
                <w:szCs w:val="24"/>
                <w:lang w:val="uk-UA"/>
              </w:rPr>
              <w:t>2</w:t>
            </w:r>
            <w:r w:rsidRPr="006B5C27">
              <w:rPr>
                <w:b/>
                <w:sz w:val="24"/>
                <w:szCs w:val="24"/>
                <w:lang w:val="uk-UA"/>
              </w:rPr>
              <w:t>.</w:t>
            </w:r>
            <w:r w:rsidR="007B2575">
              <w:rPr>
                <w:b/>
                <w:sz w:val="24"/>
                <w:szCs w:val="24"/>
                <w:lang w:val="uk-UA"/>
              </w:rPr>
              <w:t>10</w:t>
            </w:r>
            <w:r w:rsidRPr="006B5C27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7B2575"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№ </w:t>
            </w:r>
            <w:r w:rsidR="007B2575">
              <w:rPr>
                <w:b/>
                <w:sz w:val="24"/>
                <w:szCs w:val="24"/>
                <w:lang w:val="uk-UA"/>
              </w:rPr>
              <w:t>8527</w:t>
            </w:r>
            <w:r w:rsidRPr="006B5C27">
              <w:rPr>
                <w:b/>
                <w:sz w:val="24"/>
                <w:szCs w:val="24"/>
                <w:lang w:val="uk-UA"/>
              </w:rPr>
              <w:t>/8</w:t>
            </w:r>
            <w:r w:rsidR="007B2575">
              <w:rPr>
                <w:b/>
                <w:sz w:val="24"/>
                <w:szCs w:val="24"/>
                <w:lang w:val="uk-UA"/>
              </w:rPr>
              <w:t>2</w:t>
            </w:r>
            <w:r w:rsidRPr="006B5C2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7B2575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</w:tbl>
    <w:p w14:paraId="07301F0A" w14:textId="77777777" w:rsidR="00F144F2" w:rsidRDefault="00F144F2" w:rsidP="00F144F2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</w:p>
    <w:p w14:paraId="0B621386" w14:textId="0EA18F29" w:rsidR="00F144F2" w:rsidRDefault="00F144F2" w:rsidP="00F144F2">
      <w:pPr>
        <w:pStyle w:val="1"/>
        <w:shd w:val="clear" w:color="auto" w:fill="auto"/>
        <w:spacing w:after="40" w:line="233" w:lineRule="auto"/>
        <w:ind w:firstLine="426"/>
        <w:jc w:val="both"/>
        <w:rPr>
          <w:i w:val="0"/>
          <w:sz w:val="24"/>
          <w:szCs w:val="24"/>
          <w:lang w:val="uk-UA"/>
        </w:rPr>
      </w:pPr>
      <w:r w:rsidRPr="00404061">
        <w:rPr>
          <w:i w:val="0"/>
          <w:sz w:val="24"/>
          <w:szCs w:val="24"/>
          <w:lang w:val="uk-UA"/>
        </w:rPr>
        <w:lastRenderedPageBreak/>
        <w:t>На замовлення зацікавленої особи та враховуючи рішення Київської міської ради</w:t>
      </w:r>
      <w:r w:rsidRPr="00404061"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</w:t>
      </w:r>
      <w:r>
        <w:rPr>
          <w:i w:val="0"/>
          <w:sz w:val="24"/>
          <w:szCs w:val="24"/>
          <w:lang w:val="uk-UA"/>
        </w:rPr>
        <w:t>устрою щодо інвентаризації земель</w:t>
      </w:r>
      <w:r w:rsidR="003B0350">
        <w:rPr>
          <w:i w:val="0"/>
          <w:sz w:val="24"/>
          <w:szCs w:val="24"/>
          <w:lang w:val="uk-UA"/>
        </w:rPr>
        <w:t xml:space="preserve"> з метою приведення обмежень у використанні земельної ділянки до вимог діючого законодавства та уточнення щодо угідь на вказаній земельній ділянці, на підставі якої внесені зазначені відомості</w:t>
      </w:r>
      <w:r w:rsidR="003B0350" w:rsidRPr="000F751E">
        <w:rPr>
          <w:sz w:val="28"/>
          <w:szCs w:val="28"/>
          <w:lang w:val="uk-UA"/>
        </w:rPr>
        <w:t xml:space="preserve"> </w:t>
      </w:r>
      <w:r w:rsidR="003B0350" w:rsidRPr="003B0350">
        <w:rPr>
          <w:i w:val="0"/>
          <w:sz w:val="24"/>
          <w:szCs w:val="24"/>
          <w:lang w:val="uk-UA"/>
        </w:rPr>
        <w:t>до Державного земельного кадастру</w:t>
      </w:r>
      <w:r>
        <w:rPr>
          <w:i w:val="0"/>
          <w:sz w:val="24"/>
          <w:szCs w:val="24"/>
          <w:lang w:val="uk-UA"/>
        </w:rPr>
        <w:t>.</w:t>
      </w:r>
    </w:p>
    <w:p w14:paraId="3D84FA20" w14:textId="77777777" w:rsidR="003C1C75" w:rsidRPr="0097755B" w:rsidRDefault="003C1C75" w:rsidP="003C1C7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</w:t>
      </w:r>
      <w:r w:rsidRPr="0097755B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97755B">
        <w:rPr>
          <w:i w:val="0"/>
          <w:sz w:val="24"/>
          <w:szCs w:val="24"/>
          <w:lang w:val="uk-UA"/>
        </w:rPr>
        <w:t>проєкт</w:t>
      </w:r>
      <w:proofErr w:type="spellEnd"/>
      <w:r w:rsidRPr="0097755B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17C821B" w14:textId="77777777" w:rsidR="003C1C75" w:rsidRPr="00B33C76" w:rsidRDefault="003C1C75" w:rsidP="003C1C75">
      <w:pPr>
        <w:pStyle w:val="1"/>
        <w:shd w:val="clear" w:color="auto" w:fill="auto"/>
        <w:ind w:firstLine="284"/>
        <w:jc w:val="both"/>
        <w:rPr>
          <w:i w:val="0"/>
          <w:sz w:val="24"/>
          <w:szCs w:val="24"/>
          <w:lang w:val="uk-UA"/>
        </w:rPr>
      </w:pPr>
      <w:r w:rsidRPr="00B33C7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0980F8B" w14:textId="77777777" w:rsidR="003C1C75" w:rsidRPr="00B33C76" w:rsidRDefault="003C1C75" w:rsidP="003C1C75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33C7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498F0C8" w14:textId="77777777" w:rsidR="003C1C75" w:rsidRPr="00D71F60" w:rsidRDefault="003C1C75" w:rsidP="003C1C75">
      <w:pPr>
        <w:pStyle w:val="1"/>
        <w:shd w:val="clear" w:color="auto" w:fill="auto"/>
        <w:ind w:firstLine="440"/>
        <w:jc w:val="both"/>
        <w:rPr>
          <w:sz w:val="12"/>
          <w:szCs w:val="24"/>
          <w:lang w:val="uk-UA"/>
        </w:rPr>
      </w:pPr>
    </w:p>
    <w:p w14:paraId="6A5A05B7" w14:textId="77777777" w:rsidR="003C1C75" w:rsidRPr="00B33C76" w:rsidRDefault="003C1C75" w:rsidP="003C1C75">
      <w:pPr>
        <w:pStyle w:val="a7"/>
        <w:shd w:val="clear" w:color="auto" w:fill="auto"/>
        <w:ind w:left="426" w:hanging="142"/>
        <w:rPr>
          <w:sz w:val="24"/>
          <w:szCs w:val="24"/>
          <w:lang w:val="uk-UA"/>
        </w:rPr>
      </w:pPr>
      <w:r w:rsidRPr="00B33C7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3C1C75" w:rsidRPr="00B33C76" w14:paraId="4C60F8CD" w14:textId="77777777" w:rsidTr="00D71F60">
        <w:trPr>
          <w:cantSplit/>
          <w:trHeight w:val="2262"/>
        </w:trPr>
        <w:tc>
          <w:tcPr>
            <w:tcW w:w="3260" w:type="dxa"/>
          </w:tcPr>
          <w:p w14:paraId="1A9A2E40" w14:textId="77777777" w:rsidR="003C1C75" w:rsidRPr="00D71F60" w:rsidRDefault="003C1C75" w:rsidP="00D71F60">
            <w:pPr>
              <w:pStyle w:val="1"/>
              <w:shd w:val="clear" w:color="auto" w:fill="auto"/>
              <w:ind w:left="30"/>
              <w:rPr>
                <w:i w:val="0"/>
                <w:sz w:val="24"/>
                <w:szCs w:val="24"/>
                <w:lang w:val="uk-UA"/>
              </w:rPr>
            </w:pPr>
            <w:r w:rsidRPr="00D71F60">
              <w:rPr>
                <w:i w:val="0"/>
                <w:sz w:val="24"/>
                <w:szCs w:val="24"/>
                <w:lang w:val="uk-UA"/>
              </w:rPr>
              <w:t>Наявність будівель і споруд на ділянці:</w:t>
            </w:r>
          </w:p>
        </w:tc>
        <w:tc>
          <w:tcPr>
            <w:tcW w:w="6096" w:type="dxa"/>
          </w:tcPr>
          <w:p w14:paraId="27ED0EE4" w14:textId="4AD1306B" w:rsidR="003C1C75" w:rsidRPr="00D71F60" w:rsidRDefault="003C1C75" w:rsidP="00D71F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1F60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4D5CDA" w:rsidRPr="00D71F60">
              <w:rPr>
                <w:rFonts w:ascii="Times New Roman" w:hAnsi="Times New Roman" w:cs="Times New Roman"/>
                <w:i/>
              </w:rPr>
              <w:t xml:space="preserve">нежитловою будівлею     </w:t>
            </w:r>
            <w:r w:rsidRPr="00D71F60">
              <w:rPr>
                <w:rFonts w:ascii="Times New Roman" w:hAnsi="Times New Roman" w:cs="Times New Roman"/>
                <w:i/>
              </w:rPr>
              <w:t xml:space="preserve"> (літ. </w:t>
            </w:r>
            <w:r w:rsidR="004D5CDA" w:rsidRPr="00D71F60">
              <w:rPr>
                <w:rFonts w:ascii="Times New Roman" w:hAnsi="Times New Roman" w:cs="Times New Roman"/>
                <w:i/>
              </w:rPr>
              <w:t>А</w:t>
            </w:r>
            <w:r w:rsidRPr="00D71F60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 w:rsidR="004D5CDA" w:rsidRPr="00D71F60">
              <w:rPr>
                <w:rFonts w:ascii="Times New Roman" w:hAnsi="Times New Roman" w:cs="Times New Roman"/>
                <w:i/>
              </w:rPr>
              <w:t>250</w:t>
            </w:r>
            <w:r w:rsidRPr="00D71F6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71F60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D71F60">
              <w:rPr>
                <w:rFonts w:ascii="Times New Roman" w:hAnsi="Times New Roman" w:cs="Times New Roman"/>
                <w:i/>
              </w:rPr>
              <w:t>, як</w:t>
            </w:r>
            <w:r w:rsidR="004D5CDA" w:rsidRPr="00D71F60">
              <w:rPr>
                <w:rFonts w:ascii="Times New Roman" w:hAnsi="Times New Roman" w:cs="Times New Roman"/>
                <w:i/>
              </w:rPr>
              <w:t>а</w:t>
            </w:r>
            <w:r w:rsidRPr="00D71F60">
              <w:rPr>
                <w:rFonts w:ascii="Times New Roman" w:hAnsi="Times New Roman" w:cs="Times New Roman"/>
                <w:i/>
              </w:rPr>
              <w:t xml:space="preserve"> перебуває у власності </w:t>
            </w:r>
            <w:r w:rsidR="004D5CDA" w:rsidRPr="00D71F60">
              <w:rPr>
                <w:rFonts w:ascii="Times New Roman" w:hAnsi="Times New Roman" w:cs="Times New Roman"/>
                <w:i/>
              </w:rPr>
              <w:t>ТОВ «АРМОРГАРАНТ»</w:t>
            </w:r>
            <w:r w:rsidR="004D5CDA" w:rsidRPr="00D71F60">
              <w:rPr>
                <w:i/>
              </w:rPr>
              <w:t xml:space="preserve">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D71F60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4D5CDA" w:rsidRPr="00D71F60">
              <w:rPr>
                <w:rFonts w:ascii="Times New Roman" w:hAnsi="Times New Roman" w:cs="Times New Roman"/>
                <w:i/>
                <w:color w:val="000000" w:themeColor="text1"/>
              </w:rPr>
              <w:t>05.08.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201</w:t>
            </w:r>
            <w:r w:rsidR="004D5CDA" w:rsidRPr="00D71F6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 w:rsidR="004D5CDA" w:rsidRPr="00D71F60">
              <w:rPr>
                <w:rFonts w:ascii="Times New Roman" w:hAnsi="Times New Roman" w:cs="Times New Roman"/>
                <w:i/>
                <w:color w:val="000000" w:themeColor="text1"/>
              </w:rPr>
              <w:t>6681978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 w:rsidR="004D5CDA"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</w:t>
            </w:r>
            <w:r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.02.2024 № </w:t>
            </w:r>
            <w:r w:rsidR="004D5CDA" w:rsidRPr="00D71F6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365670867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3C1C75" w:rsidRPr="00B33C76" w14:paraId="5D1BBD4A" w14:textId="77777777" w:rsidTr="00E3556B">
        <w:trPr>
          <w:cantSplit/>
          <w:trHeight w:val="412"/>
        </w:trPr>
        <w:tc>
          <w:tcPr>
            <w:tcW w:w="3260" w:type="dxa"/>
          </w:tcPr>
          <w:p w14:paraId="3F359E40" w14:textId="77777777" w:rsidR="003C1C75" w:rsidRPr="00D71F60" w:rsidRDefault="003C1C75" w:rsidP="00D71F60">
            <w:pPr>
              <w:pStyle w:val="1"/>
              <w:shd w:val="clear" w:color="auto" w:fill="auto"/>
              <w:tabs>
                <w:tab w:val="left" w:pos="1861"/>
              </w:tabs>
              <w:ind w:left="30"/>
              <w:rPr>
                <w:i w:val="0"/>
                <w:sz w:val="24"/>
                <w:szCs w:val="24"/>
                <w:lang w:val="uk-UA"/>
              </w:rPr>
            </w:pPr>
            <w:r w:rsidRPr="00D71F60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0704C58F" w14:textId="77777777" w:rsidR="003C1C75" w:rsidRPr="00D71F60" w:rsidRDefault="003C1C75" w:rsidP="00D71F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1F6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3C1C75" w:rsidRPr="00B33C76" w14:paraId="552D4D21" w14:textId="77777777" w:rsidTr="00D71F60">
        <w:trPr>
          <w:cantSplit/>
          <w:trHeight w:val="3112"/>
        </w:trPr>
        <w:tc>
          <w:tcPr>
            <w:tcW w:w="3260" w:type="dxa"/>
          </w:tcPr>
          <w:p w14:paraId="0C399E85" w14:textId="77777777" w:rsidR="003C1C75" w:rsidRPr="00D71F60" w:rsidRDefault="003C1C75" w:rsidP="00D71F60">
            <w:pPr>
              <w:ind w:left="30"/>
              <w:rPr>
                <w:rFonts w:ascii="Times New Roman" w:hAnsi="Times New Roman" w:cs="Times New Roman"/>
              </w:rPr>
            </w:pPr>
            <w:r w:rsidRPr="00D71F60">
              <w:rPr>
                <w:rFonts w:ascii="Times New Roman" w:hAnsi="Times New Roman" w:cs="Times New Roman"/>
              </w:rPr>
              <w:t>Функціональне призначення згідно з Генпланом:</w:t>
            </w:r>
          </w:p>
        </w:tc>
        <w:tc>
          <w:tcPr>
            <w:tcW w:w="6096" w:type="dxa"/>
          </w:tcPr>
          <w:p w14:paraId="568F01FA" w14:textId="77777777" w:rsidR="003C1C75" w:rsidRPr="00D71F60" w:rsidRDefault="003C1C75" w:rsidP="00D71F6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D71F60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</w:t>
            </w:r>
            <w:r w:rsidRPr="00D71F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затвердженого рішенням Київської міської ради                      від 28.03.2002 № 370/1804, земельна ділянка за функціональним призначенням належить </w:t>
            </w:r>
            <w:r w:rsidR="004D5CDA" w:rsidRPr="00D71F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переважно </w:t>
            </w:r>
            <w:r w:rsidRPr="00D71F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</w:t>
            </w:r>
            <w:r w:rsidR="004D5CDA" w:rsidRPr="00D71F6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комунально-складської </w:t>
            </w:r>
            <w:r w:rsidRPr="00D71F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території</w:t>
            </w:r>
            <w:r w:rsidR="004D5CDA" w:rsidRPr="00D71F6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та частково </w:t>
            </w:r>
            <w:r w:rsidR="004D5CDA" w:rsidRPr="00D71F6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території залізничного транспорту.</w:t>
            </w:r>
          </w:p>
          <w:p w14:paraId="1983179B" w14:textId="6B12982F" w:rsidR="003B0350" w:rsidRPr="00D71F60" w:rsidRDefault="002D30B7" w:rsidP="00D71F6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71F60">
              <w:rPr>
                <w:rFonts w:ascii="Times New Roman" w:hAnsi="Times New Roman" w:cs="Times New Roman"/>
                <w:i/>
              </w:rPr>
              <w:t xml:space="preserve">Департамент </w:t>
            </w:r>
            <w:r w:rsidRPr="00D71F60"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листом від 31.07.2015   № 9916/0/012/19-15 зазначив, що заявлена ініціатива відповідає містобудівній документації.</w:t>
            </w:r>
          </w:p>
        </w:tc>
      </w:tr>
      <w:tr w:rsidR="003C1C75" w:rsidRPr="00B33C76" w14:paraId="09E1DB4A" w14:textId="77777777" w:rsidTr="00E3556B">
        <w:trPr>
          <w:cantSplit/>
          <w:trHeight w:val="668"/>
        </w:trPr>
        <w:tc>
          <w:tcPr>
            <w:tcW w:w="3260" w:type="dxa"/>
          </w:tcPr>
          <w:p w14:paraId="45F4D131" w14:textId="77777777" w:rsidR="003C1C75" w:rsidRPr="00D71F60" w:rsidRDefault="003C1C75" w:rsidP="00D71F60">
            <w:pPr>
              <w:ind w:left="30"/>
              <w:rPr>
                <w:rFonts w:ascii="Times New Roman" w:hAnsi="Times New Roman" w:cs="Times New Roman"/>
              </w:rPr>
            </w:pPr>
            <w:r w:rsidRPr="00D71F6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C0A1559" w14:textId="77777777" w:rsidR="003C1C75" w:rsidRPr="00D71F60" w:rsidRDefault="003C1C75" w:rsidP="00D71F6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D71F60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3C1C75" w:rsidRPr="00B33C76" w14:paraId="2782FCD6" w14:textId="77777777" w:rsidTr="002D30B7">
        <w:trPr>
          <w:cantSplit/>
          <w:trHeight w:val="383"/>
        </w:trPr>
        <w:tc>
          <w:tcPr>
            <w:tcW w:w="3260" w:type="dxa"/>
          </w:tcPr>
          <w:p w14:paraId="38A66533" w14:textId="77777777" w:rsidR="003C1C75" w:rsidRPr="00D71F60" w:rsidRDefault="003C1C75" w:rsidP="00D71F60">
            <w:pPr>
              <w:ind w:left="30"/>
              <w:rPr>
                <w:rFonts w:ascii="Times New Roman" w:hAnsi="Times New Roman" w:cs="Times New Roman"/>
              </w:rPr>
            </w:pPr>
            <w:r w:rsidRPr="00D71F6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62851BA9" w14:textId="77777777" w:rsidR="003C1C75" w:rsidRPr="00D71F60" w:rsidRDefault="003C1C75" w:rsidP="00D71F60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D71F60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3C1C75" w:rsidRPr="00B33C76" w14:paraId="40A18A65" w14:textId="77777777" w:rsidTr="00E3556B">
        <w:trPr>
          <w:cantSplit/>
          <w:trHeight w:val="1062"/>
        </w:trPr>
        <w:tc>
          <w:tcPr>
            <w:tcW w:w="3260" w:type="dxa"/>
          </w:tcPr>
          <w:p w14:paraId="672A5A6F" w14:textId="77777777" w:rsidR="003C1C75" w:rsidRPr="00D71F60" w:rsidRDefault="003C1C75" w:rsidP="00D71F60">
            <w:pPr>
              <w:ind w:left="30"/>
              <w:rPr>
                <w:rFonts w:ascii="Times New Roman" w:hAnsi="Times New Roman" w:cs="Times New Roman"/>
              </w:rPr>
            </w:pPr>
            <w:r w:rsidRPr="00D71F6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5EDC331B" w14:textId="00D66338" w:rsidR="00D71F60" w:rsidRPr="00D71F60" w:rsidRDefault="00D71F60" w:rsidP="00823847">
            <w:pPr>
              <w:tabs>
                <w:tab w:val="left" w:pos="5103"/>
              </w:tabs>
              <w:ind w:firstLine="31"/>
              <w:jc w:val="both"/>
              <w:rPr>
                <w:rFonts w:ascii="Times New Roman" w:hAnsi="Times New Roman" w:cs="Times New Roman"/>
                <w:i/>
              </w:rPr>
            </w:pPr>
            <w:r w:rsidRPr="00D71F60">
              <w:rPr>
                <w:rFonts w:ascii="Times New Roman" w:hAnsi="Times New Roman" w:cs="Times New Roman"/>
                <w:i/>
              </w:rPr>
              <w:t>Частина земельної ділянки</w:t>
            </w:r>
            <w:r w:rsidR="00E62312">
              <w:rPr>
                <w:rFonts w:ascii="Times New Roman" w:hAnsi="Times New Roman" w:cs="Times New Roman"/>
                <w:i/>
              </w:rPr>
              <w:t xml:space="preserve"> з кадастровим номером </w:t>
            </w:r>
            <w:r w:rsidR="00E62312" w:rsidRPr="00E62312">
              <w:rPr>
                <w:rFonts w:ascii="Times New Roman" w:hAnsi="Times New Roman" w:cs="Times New Roman"/>
                <w:i/>
              </w:rPr>
              <w:t>8000000000:90:140:0097</w:t>
            </w:r>
            <w:r w:rsidRPr="00D71F60">
              <w:rPr>
                <w:rFonts w:ascii="Times New Roman" w:hAnsi="Times New Roman" w:cs="Times New Roman"/>
                <w:i/>
              </w:rPr>
              <w:t xml:space="preserve"> </w:t>
            </w:r>
            <w:r w:rsidR="00E62312">
              <w:rPr>
                <w:rFonts w:ascii="Times New Roman" w:hAnsi="Times New Roman" w:cs="Times New Roman"/>
                <w:i/>
              </w:rPr>
              <w:t xml:space="preserve">була </w:t>
            </w:r>
            <w:r w:rsidRPr="00D71F60">
              <w:rPr>
                <w:rFonts w:ascii="Times New Roman" w:hAnsi="Times New Roman" w:cs="Times New Roman"/>
                <w:i/>
              </w:rPr>
              <w:t xml:space="preserve">включена до переліку земельних ділянок </w:t>
            </w:r>
            <w:r w:rsidR="00823847"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для опрацювання можливості продажу їх (або права оренди на них) на земельних торгах</w:t>
            </w:r>
            <w:r w:rsidR="00823847" w:rsidRPr="00D71F60">
              <w:rPr>
                <w:rFonts w:ascii="Times New Roman" w:hAnsi="Times New Roman" w:cs="Times New Roman"/>
                <w:i/>
              </w:rPr>
              <w:t xml:space="preserve"> </w:t>
            </w:r>
            <w:r w:rsidRPr="00D71F60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</w:t>
            </w:r>
            <w:r w:rsidR="00823847"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D71F60">
              <w:rPr>
                <w:rFonts w:ascii="Times New Roman" w:hAnsi="Times New Roman" w:cs="Times New Roman"/>
                <w:i/>
              </w:rPr>
              <w:t xml:space="preserve">від </w:t>
            </w:r>
            <w:r w:rsidRPr="00D71F60">
              <w:rPr>
                <w:rFonts w:ascii="Times New Roman" w:hAnsi="Times New Roman" w:cs="Times New Roman"/>
                <w:i/>
                <w:shd w:val="clear" w:color="auto" w:fill="FFFFFF"/>
              </w:rPr>
              <w:t>31.03.2016</w:t>
            </w:r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 № 265/265 «Про визначення переліку земельних ділянок для опрацювання можливості продажу їх (або права оренди на них) на земельних торгах», а саме земельна ділянка орієнтовною площею 0,13 га на вул. </w:t>
            </w:r>
            <w:proofErr w:type="spellStart"/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Березняківській</w:t>
            </w:r>
            <w:proofErr w:type="spellEnd"/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, 23а у Дніпровському районі м. Києва з цільовим призначенням - 12.08 (для будівництва, експлуатації та обслуговування об'єктів дорожнього сервісу (ст</w:t>
            </w:r>
            <w:bookmarkStart w:id="0" w:name="_GoBack"/>
            <w:bookmarkEnd w:id="0"/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 xml:space="preserve">анція технічного обслуговування, мийка, </w:t>
            </w:r>
            <w:proofErr w:type="spellStart"/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шиномонтаж</w:t>
            </w:r>
            <w:proofErr w:type="spellEnd"/>
            <w:r w:rsidRPr="00D71F60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).</w:t>
            </w:r>
          </w:p>
        </w:tc>
      </w:tr>
      <w:tr w:rsidR="003C1C75" w:rsidRPr="00B33C76" w14:paraId="0401348C" w14:textId="77777777" w:rsidTr="00E3556B">
        <w:trPr>
          <w:cantSplit/>
          <w:trHeight w:val="1062"/>
        </w:trPr>
        <w:tc>
          <w:tcPr>
            <w:tcW w:w="3260" w:type="dxa"/>
          </w:tcPr>
          <w:p w14:paraId="10471AA3" w14:textId="77777777" w:rsidR="003C1C75" w:rsidRPr="00D71F60" w:rsidRDefault="003C1C75" w:rsidP="00D71F60">
            <w:pPr>
              <w:ind w:left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14:paraId="00F6CA7D" w14:textId="433E9614" w:rsidR="00D71F60" w:rsidRPr="00D71F60" w:rsidRDefault="00E62312" w:rsidP="00D71F60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Подальше </w:t>
            </w:r>
            <w:proofErr w:type="spellStart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</w:t>
            </w:r>
            <w:proofErr w:type="spellEnd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можливості</w:t>
            </w:r>
            <w:proofErr w:type="spellEnd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продажу</w:t>
            </w:r>
            <w:proofErr w:type="spellEnd"/>
            <w:r w:rsidRPr="00E62312"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r w:rsidR="00D71F60" w:rsidRPr="00D71F60">
              <w:rPr>
                <w:b w:val="0"/>
                <w:i/>
                <w:sz w:val="24"/>
                <w:szCs w:val="24"/>
                <w:lang w:val="uk-UA"/>
              </w:rPr>
              <w:t>азначен</w:t>
            </w:r>
            <w:r>
              <w:rPr>
                <w:b w:val="0"/>
                <w:i/>
                <w:sz w:val="24"/>
                <w:szCs w:val="24"/>
                <w:lang w:val="uk-UA"/>
              </w:rPr>
              <w:t>ої</w:t>
            </w:r>
            <w:r w:rsidR="00D71F60" w:rsidRPr="00D71F60">
              <w:rPr>
                <w:b w:val="0"/>
                <w:i/>
                <w:sz w:val="24"/>
                <w:szCs w:val="24"/>
                <w:lang w:val="uk-UA"/>
              </w:rPr>
              <w:t xml:space="preserve"> земельн</w:t>
            </w:r>
            <w:r>
              <w:rPr>
                <w:b w:val="0"/>
                <w:i/>
                <w:sz w:val="24"/>
                <w:szCs w:val="24"/>
                <w:lang w:val="uk-UA"/>
              </w:rPr>
              <w:t>ої</w:t>
            </w:r>
            <w:r w:rsidR="00D71F60" w:rsidRPr="00D71F60">
              <w:rPr>
                <w:b w:val="0"/>
                <w:i/>
                <w:sz w:val="24"/>
                <w:szCs w:val="24"/>
                <w:lang w:val="uk-UA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  <w:lang w:val="uk-UA"/>
              </w:rPr>
              <w:t>и</w:t>
            </w:r>
            <w:r w:rsidR="00D71F60" w:rsidRPr="00D71F60">
              <w:rPr>
                <w:b w:val="0"/>
                <w:i/>
                <w:sz w:val="24"/>
                <w:szCs w:val="24"/>
                <w:lang w:val="uk-UA"/>
              </w:rPr>
              <w:t xml:space="preserve"> на земельних торгах</w:t>
            </w:r>
            <w:r w:rsidR="00CC46AA">
              <w:rPr>
                <w:b w:val="0"/>
                <w:i/>
                <w:sz w:val="24"/>
                <w:szCs w:val="24"/>
                <w:lang w:val="uk-UA"/>
              </w:rPr>
              <w:t xml:space="preserve"> не відбулося</w:t>
            </w:r>
            <w:r w:rsidR="00D71F60" w:rsidRPr="00D71F60">
              <w:rPr>
                <w:b w:val="0"/>
                <w:i/>
                <w:sz w:val="24"/>
                <w:szCs w:val="24"/>
                <w:lang w:val="uk-UA"/>
              </w:rPr>
              <w:t>, оскільки відповідно до частини третьої статті 24 Закону України «Про регулювання містобудівної діяльності», визначено заборону передачі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у разі відсутності планів зонування або детальних планів територій, затверджених відповідно до вимог цього Закону.</w:t>
            </w:r>
          </w:p>
          <w:p w14:paraId="52B1E8AB" w14:textId="6F5DEA6A" w:rsidR="004D5CDA" w:rsidRPr="00D71F60" w:rsidRDefault="00D71F60" w:rsidP="00D71F60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proofErr w:type="spellStart"/>
            <w:r w:rsidRPr="00D71F60">
              <w:rPr>
                <w:b w:val="0"/>
                <w:i/>
                <w:sz w:val="24"/>
                <w:szCs w:val="24"/>
                <w:lang w:val="uk-UA"/>
              </w:rPr>
              <w:t>Проєктом</w:t>
            </w:r>
            <w:proofErr w:type="spellEnd"/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D71F60">
              <w:rPr>
                <w:b w:val="0"/>
                <w:i/>
                <w:sz w:val="24"/>
                <w:szCs w:val="24"/>
                <w:lang w:val="uk-UA"/>
              </w:rPr>
              <w:t>Cуду</w:t>
            </w:r>
            <w:proofErr w:type="spellEnd"/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                               від 18.06.2020 у справі № 925/449/19, від 27.01.2021 у справі № 630/269/16, від 10.02.2021 у справі                                             № 200/8930/18) зобов’язати землекористувача сплатити безпідставно збережені кошти за користування </w:t>
            </w:r>
            <w:r w:rsidR="004D5CDA" w:rsidRPr="00D71F60">
              <w:rPr>
                <w:b w:val="0"/>
                <w:i/>
                <w:sz w:val="24"/>
                <w:szCs w:val="24"/>
                <w:lang w:val="uk-UA"/>
              </w:rPr>
              <w:t>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2D59FCE" w14:textId="52E91405" w:rsidR="003C1C75" w:rsidRPr="00D71F60" w:rsidRDefault="003C1C75" w:rsidP="00D71F60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D71F60">
              <w:rPr>
                <w:b w:val="0"/>
                <w:i/>
                <w:sz w:val="24"/>
                <w:szCs w:val="24"/>
                <w:lang w:val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8606B58" w14:textId="77777777" w:rsidR="003C1C75" w:rsidRPr="00D71F60" w:rsidRDefault="003C1C75" w:rsidP="00D71F60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 w:bidi="uk-UA"/>
              </w:rPr>
            </w:pPr>
            <w:r w:rsidRPr="00D71F60">
              <w:rPr>
                <w:b w:val="0"/>
                <w:i/>
                <w:sz w:val="24"/>
                <w:szCs w:val="24"/>
                <w:lang w:val="uk-UA" w:bidi="uk-UA"/>
              </w:rPr>
              <w:t xml:space="preserve">Зазначене підтверджується, зокрема, рішеннями Верховного Суду від 28.04.2021 у справі № 826/8857/16,                    від 17.04.2018 у справі № 826/8107/16, від 16.09.2021 у справі № 826/8847/16. </w:t>
            </w:r>
          </w:p>
          <w:p w14:paraId="1602C9B7" w14:textId="77777777" w:rsidR="003C1C75" w:rsidRPr="00D71F60" w:rsidRDefault="003C1C75" w:rsidP="00D71F60">
            <w:pPr>
              <w:pStyle w:val="a7"/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Зважаючи на вказане, цей </w:t>
            </w:r>
            <w:proofErr w:type="spellStart"/>
            <w:r w:rsidRPr="00D71F60">
              <w:rPr>
                <w:b w:val="0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D71F60">
              <w:rPr>
                <w:b w:val="0"/>
                <w:i/>
                <w:sz w:val="24"/>
                <w:szCs w:val="24"/>
                <w:lang w:val="uk-U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D4981C7" w14:textId="77777777" w:rsidR="003C1C75" w:rsidRPr="00B33C76" w:rsidRDefault="003C1C75" w:rsidP="003C1C75">
      <w:pPr>
        <w:pStyle w:val="a7"/>
        <w:shd w:val="clear" w:color="auto" w:fill="auto"/>
        <w:rPr>
          <w:lang w:val="uk-UA"/>
        </w:rPr>
      </w:pPr>
    </w:p>
    <w:p w14:paraId="48047B7F" w14:textId="77777777" w:rsidR="003C1C75" w:rsidRPr="007B1BE8" w:rsidRDefault="003C1C75" w:rsidP="003C1C75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ind w:left="426"/>
        <w:rPr>
          <w:i w:val="0"/>
          <w:sz w:val="24"/>
          <w:szCs w:val="24"/>
          <w:lang w:val="ru-RU"/>
        </w:rPr>
      </w:pPr>
      <w:r w:rsidRPr="007B1BE8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7B1BE8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7B1BE8">
        <w:rPr>
          <w:b/>
          <w:bCs/>
          <w:i w:val="0"/>
          <w:sz w:val="24"/>
          <w:szCs w:val="24"/>
          <w:lang w:val="ru-RU"/>
        </w:rPr>
        <w:t>.</w:t>
      </w:r>
    </w:p>
    <w:p w14:paraId="6F02868F" w14:textId="77777777" w:rsidR="003C1C75" w:rsidRPr="007B1BE8" w:rsidRDefault="003C1C75" w:rsidP="003C1C75">
      <w:pPr>
        <w:pStyle w:val="1"/>
        <w:shd w:val="clear" w:color="auto" w:fill="auto"/>
        <w:ind w:firstLine="426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Pr="007B1BE8">
        <w:rPr>
          <w:i w:val="0"/>
          <w:sz w:val="24"/>
          <w:szCs w:val="24"/>
          <w:lang w:val="uk-UA"/>
        </w:rPr>
        <w:t>від 20.04.2017 № 241/2463.</w:t>
      </w:r>
    </w:p>
    <w:p w14:paraId="4EF10A78" w14:textId="77777777" w:rsidR="003C1C75" w:rsidRPr="007B1BE8" w:rsidRDefault="003C1C75" w:rsidP="003C1C75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7B1BE8">
        <w:rPr>
          <w:i w:val="0"/>
          <w:sz w:val="24"/>
          <w:szCs w:val="24"/>
          <w:lang w:val="uk-UA"/>
        </w:rPr>
        <w:t>Проєкт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2B7470" w14:textId="77777777" w:rsidR="003C1C75" w:rsidRPr="007B1BE8" w:rsidRDefault="003C1C75" w:rsidP="003C1C75">
      <w:pPr>
        <w:tabs>
          <w:tab w:val="left" w:pos="993"/>
        </w:tabs>
        <w:ind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7B1BE8">
        <w:rPr>
          <w:rFonts w:ascii="Times New Roman" w:eastAsia="Times New Roman" w:hAnsi="Times New Roman" w:cs="Times New Roman"/>
        </w:rPr>
        <w:t>Проєкт</w:t>
      </w:r>
      <w:proofErr w:type="spellEnd"/>
      <w:r w:rsidRPr="007B1BE8">
        <w:rPr>
          <w:rFonts w:ascii="Times New Roman" w:eastAsia="Times New Roman" w:hAnsi="Times New Roman" w:cs="Times New Roman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E1EB42B" w14:textId="77777777" w:rsidR="003C1C75" w:rsidRPr="007B1BE8" w:rsidRDefault="003C1C75" w:rsidP="003C1C75">
      <w:pPr>
        <w:pStyle w:val="1"/>
        <w:shd w:val="clear" w:color="auto" w:fill="auto"/>
        <w:ind w:firstLine="425"/>
        <w:contextualSpacing/>
        <w:jc w:val="both"/>
        <w:rPr>
          <w:i w:val="0"/>
          <w:sz w:val="20"/>
          <w:szCs w:val="20"/>
          <w:lang w:val="uk-UA"/>
        </w:rPr>
      </w:pPr>
    </w:p>
    <w:p w14:paraId="2AF2BA67" w14:textId="77777777" w:rsidR="003C1C75" w:rsidRPr="007B1BE8" w:rsidRDefault="003C1C75" w:rsidP="003C1C75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3CE5C0BC" w14:textId="77777777" w:rsidR="003C1C75" w:rsidRPr="007B1BE8" w:rsidRDefault="003C1C75" w:rsidP="003C1C75">
      <w:pPr>
        <w:pStyle w:val="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51FB26E" w14:textId="45208B4E" w:rsidR="003C1C75" w:rsidRPr="004D5CDA" w:rsidRDefault="003C1C75" w:rsidP="003C1C75">
      <w:pPr>
        <w:ind w:firstLine="425"/>
        <w:jc w:val="both"/>
        <w:rPr>
          <w:rFonts w:ascii="Times New Roman" w:eastAsia="Times New Roman" w:hAnsi="Times New Roman" w:cs="Times New Roman"/>
        </w:rPr>
      </w:pPr>
      <w:r w:rsidRPr="007B1BE8">
        <w:rPr>
          <w:rFonts w:ascii="Times New Roman" w:eastAsia="Times New Roman" w:hAnsi="Times New Roman" w:cs="Times New Roman"/>
        </w:rPr>
        <w:t>Відповідно до Податкового кодексу України, Закону України «Про оренду землі» та рішення Київської міської ради від 14.12.2023 № 7531</w:t>
      </w:r>
      <w:r w:rsidRPr="004D5CDA">
        <w:rPr>
          <w:rFonts w:ascii="Times New Roman" w:eastAsia="Times New Roman" w:hAnsi="Times New Roman" w:cs="Times New Roman"/>
        </w:rPr>
        <w:t xml:space="preserve">/7572 «Про бюджет міста Києва на 2024 рік» орієнтовний розмір річної орендної плати складатиме: </w:t>
      </w:r>
      <w:r w:rsidR="004D5CDA" w:rsidRPr="004D5CDA">
        <w:rPr>
          <w:rFonts w:ascii="Times New Roman" w:hAnsi="Times New Roman" w:cs="Times New Roman"/>
          <w:shd w:val="clear" w:color="auto" w:fill="FFFFFF"/>
        </w:rPr>
        <w:t xml:space="preserve"> 383 453 </w:t>
      </w:r>
      <w:r w:rsidRPr="004D5CDA">
        <w:rPr>
          <w:rFonts w:ascii="Times New Roman" w:eastAsia="Times New Roman" w:hAnsi="Times New Roman" w:cs="Times New Roman"/>
        </w:rPr>
        <w:t xml:space="preserve">грн </w:t>
      </w:r>
      <w:r w:rsidR="004D5CDA" w:rsidRPr="004D5CDA">
        <w:rPr>
          <w:rFonts w:ascii="Times New Roman" w:eastAsia="Times New Roman" w:hAnsi="Times New Roman" w:cs="Times New Roman"/>
        </w:rPr>
        <w:t>32</w:t>
      </w:r>
      <w:r w:rsidRPr="004D5CDA">
        <w:rPr>
          <w:rFonts w:ascii="Times New Roman" w:eastAsia="Times New Roman" w:hAnsi="Times New Roman" w:cs="Times New Roman"/>
        </w:rPr>
        <w:t xml:space="preserve"> коп. ( </w:t>
      </w:r>
      <w:r w:rsidR="004D5CDA" w:rsidRPr="004D5CDA">
        <w:rPr>
          <w:rFonts w:ascii="Times New Roman" w:eastAsia="Times New Roman" w:hAnsi="Times New Roman" w:cs="Times New Roman"/>
        </w:rPr>
        <w:t>4</w:t>
      </w:r>
      <w:r w:rsidRPr="004D5CDA">
        <w:rPr>
          <w:rFonts w:ascii="Times New Roman" w:eastAsia="Times New Roman" w:hAnsi="Times New Roman" w:cs="Times New Roman"/>
        </w:rPr>
        <w:t>%).</w:t>
      </w:r>
    </w:p>
    <w:p w14:paraId="3C0D0066" w14:textId="77777777" w:rsidR="003C1C75" w:rsidRPr="004D5CDA" w:rsidRDefault="003C1C75" w:rsidP="003C1C75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59D52C1C" w14:textId="40726F24" w:rsidR="003C1C75" w:rsidRDefault="003C1C75" w:rsidP="003C1C75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011E99A4" w14:textId="77777777" w:rsidR="00D71F60" w:rsidRPr="004D5CDA" w:rsidRDefault="00D71F60" w:rsidP="003C1C75">
      <w:pPr>
        <w:ind w:firstLine="425"/>
        <w:jc w:val="both"/>
        <w:rPr>
          <w:rFonts w:ascii="Times New Roman" w:eastAsia="Times New Roman" w:hAnsi="Times New Roman" w:cs="Times New Roman"/>
          <w:b/>
          <w:sz w:val="10"/>
        </w:rPr>
      </w:pPr>
    </w:p>
    <w:p w14:paraId="620A0CF4" w14:textId="77777777" w:rsidR="003C1C75" w:rsidRPr="007B1BE8" w:rsidRDefault="003C1C75" w:rsidP="003C1C75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ind w:left="0" w:firstLine="425"/>
        <w:rPr>
          <w:i w:val="0"/>
          <w:sz w:val="24"/>
          <w:szCs w:val="24"/>
          <w:lang w:val="uk-UA"/>
        </w:rPr>
      </w:pPr>
      <w:r w:rsidRPr="007B1BE8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14:paraId="369FE43A" w14:textId="77777777" w:rsidR="003C1C75" w:rsidRPr="007B1BE8" w:rsidRDefault="003C1C75" w:rsidP="003C1C75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  <w:r w:rsidRPr="007B1BE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7B1BE8">
        <w:rPr>
          <w:i w:val="0"/>
          <w:sz w:val="24"/>
          <w:szCs w:val="24"/>
          <w:lang w:val="uk-UA"/>
        </w:rPr>
        <w:t>проєкту</w:t>
      </w:r>
      <w:proofErr w:type="spellEnd"/>
      <w:r w:rsidRPr="007B1BE8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2F035B04" w14:textId="77777777" w:rsidR="003C1C75" w:rsidRPr="007B1BE8" w:rsidRDefault="003C1C75" w:rsidP="003C1C75">
      <w:pPr>
        <w:pStyle w:val="1"/>
        <w:shd w:val="clear" w:color="auto" w:fill="auto"/>
        <w:ind w:firstLine="425"/>
        <w:contextualSpacing/>
        <w:jc w:val="both"/>
        <w:rPr>
          <w:i w:val="0"/>
          <w:sz w:val="24"/>
          <w:szCs w:val="24"/>
          <w:lang w:val="uk-UA"/>
        </w:rPr>
      </w:pPr>
    </w:p>
    <w:p w14:paraId="2EC7690B" w14:textId="77777777" w:rsidR="003C1C75" w:rsidRDefault="003C1C75" w:rsidP="003C1C75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  <w:r w:rsidRPr="004526B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526B4">
        <w:rPr>
          <w:rStyle w:val="ab"/>
          <w:i w:val="0"/>
          <w:sz w:val="20"/>
          <w:szCs w:val="20"/>
          <w:lang w:val="uk-UA"/>
        </w:rPr>
        <w:t>Валентина ПЕЛИХ</w:t>
      </w:r>
    </w:p>
    <w:p w14:paraId="33159480" w14:textId="77777777" w:rsidR="003C1C75" w:rsidRDefault="003C1C75" w:rsidP="003C1C75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p w14:paraId="5DEED39B" w14:textId="77777777" w:rsidR="003C1C75" w:rsidRDefault="003C1C75" w:rsidP="003C1C75">
      <w:pPr>
        <w:pStyle w:val="22"/>
        <w:shd w:val="clear" w:color="auto" w:fill="auto"/>
        <w:spacing w:after="0"/>
        <w:ind w:firstLine="426"/>
        <w:jc w:val="left"/>
        <w:rPr>
          <w:rStyle w:val="ab"/>
          <w:i w:val="0"/>
          <w:sz w:val="20"/>
          <w:szCs w:val="20"/>
          <w:lang w:val="uk-UA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3C1C75" w14:paraId="7B1A94F7" w14:textId="77777777" w:rsidTr="00E3556B">
        <w:trPr>
          <w:trHeight w:val="663"/>
        </w:trPr>
        <w:tc>
          <w:tcPr>
            <w:tcW w:w="5103" w:type="dxa"/>
            <w:hideMark/>
          </w:tcPr>
          <w:p w14:paraId="2E38CABC" w14:textId="77777777" w:rsidR="003C1C75" w:rsidRDefault="003C1C75" w:rsidP="00E3556B">
            <w:pPr>
              <w:pStyle w:val="30"/>
              <w:spacing w:line="240" w:lineRule="auto"/>
              <w:ind w:left="-105" w:hanging="15"/>
              <w:jc w:val="both"/>
              <w:rPr>
                <w:rStyle w:val="ab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eastAsia="Georgia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536" w:type="dxa"/>
          </w:tcPr>
          <w:p w14:paraId="53C65793" w14:textId="77777777" w:rsidR="003C1C75" w:rsidRPr="0078503B" w:rsidRDefault="003C1C75" w:rsidP="00E3556B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rFonts w:eastAsia="Georgia"/>
                <w:b w:val="0"/>
                <w:sz w:val="24"/>
                <w:szCs w:val="24"/>
              </w:rPr>
            </w:pPr>
            <w:proofErr w:type="spellStart"/>
            <w:r w:rsidRPr="0078503B">
              <w:rPr>
                <w:rStyle w:val="ab"/>
                <w:rFonts w:eastAsia="Georgia"/>
                <w:sz w:val="24"/>
                <w:szCs w:val="24"/>
              </w:rPr>
              <w:t>Валентина</w:t>
            </w:r>
            <w:proofErr w:type="spellEnd"/>
            <w:r w:rsidRPr="0078503B">
              <w:rPr>
                <w:rStyle w:val="ab"/>
                <w:rFonts w:eastAsia="Georgia"/>
                <w:sz w:val="24"/>
                <w:szCs w:val="24"/>
              </w:rPr>
              <w:t xml:space="preserve"> ПЕЛИХ</w:t>
            </w:r>
          </w:p>
        </w:tc>
      </w:tr>
    </w:tbl>
    <w:p w14:paraId="089A0933" w14:textId="77777777" w:rsidR="00672119" w:rsidRPr="00AB6376" w:rsidRDefault="00672119" w:rsidP="001E112E"/>
    <w:sectPr w:rsidR="00672119" w:rsidRPr="00AB6376" w:rsidSect="00823847">
      <w:headerReference w:type="default" r:id="rId10"/>
      <w:footerReference w:type="default" r:id="rId11"/>
      <w:pgSz w:w="11907" w:h="16839" w:code="9"/>
      <w:pgMar w:top="993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3521" w14:textId="77777777" w:rsidR="00CD7D5B" w:rsidRDefault="00CD7D5B">
      <w:r>
        <w:separator/>
      </w:r>
    </w:p>
  </w:endnote>
  <w:endnote w:type="continuationSeparator" w:id="0">
    <w:p w14:paraId="1D15796A" w14:textId="77777777" w:rsidR="00CD7D5B" w:rsidRDefault="00C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5359A4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5359A4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5359A4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45A5" w14:textId="77777777" w:rsidR="00CD7D5B" w:rsidRDefault="00CD7D5B">
      <w:r>
        <w:separator/>
      </w:r>
    </w:p>
  </w:footnote>
  <w:footnote w:type="continuationSeparator" w:id="0">
    <w:p w14:paraId="3A115D4B" w14:textId="77777777" w:rsidR="00CD7D5B" w:rsidRDefault="00CD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5359A4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ПЗН-62346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13.02.2024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364120273</w:t>
        </w:r>
      </w:p>
      <w:p w14:paraId="74DAA626" w14:textId="6D3EA746" w:rsidR="005359A4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23847" w:rsidRPr="0082384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5359A4" w:rsidRDefault="005359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2017"/>
    <w:rsid w:val="00187816"/>
    <w:rsid w:val="001E112E"/>
    <w:rsid w:val="001F61EC"/>
    <w:rsid w:val="002A1D3E"/>
    <w:rsid w:val="002B0B69"/>
    <w:rsid w:val="002D30B7"/>
    <w:rsid w:val="002E6951"/>
    <w:rsid w:val="002E6A3D"/>
    <w:rsid w:val="002F79A1"/>
    <w:rsid w:val="00311227"/>
    <w:rsid w:val="003552A3"/>
    <w:rsid w:val="003757FA"/>
    <w:rsid w:val="003B0350"/>
    <w:rsid w:val="003C1C75"/>
    <w:rsid w:val="003F1E49"/>
    <w:rsid w:val="0042620A"/>
    <w:rsid w:val="00430E3F"/>
    <w:rsid w:val="00433810"/>
    <w:rsid w:val="0048046C"/>
    <w:rsid w:val="004B0A5A"/>
    <w:rsid w:val="004C27C5"/>
    <w:rsid w:val="004C4066"/>
    <w:rsid w:val="004D5CDA"/>
    <w:rsid w:val="004F7214"/>
    <w:rsid w:val="005056C4"/>
    <w:rsid w:val="005359A4"/>
    <w:rsid w:val="0062039C"/>
    <w:rsid w:val="00626FEC"/>
    <w:rsid w:val="00627A9F"/>
    <w:rsid w:val="006617B7"/>
    <w:rsid w:val="00672119"/>
    <w:rsid w:val="00692247"/>
    <w:rsid w:val="0071136B"/>
    <w:rsid w:val="00713399"/>
    <w:rsid w:val="007426C0"/>
    <w:rsid w:val="00765AE4"/>
    <w:rsid w:val="00777B06"/>
    <w:rsid w:val="007A32FB"/>
    <w:rsid w:val="007B2575"/>
    <w:rsid w:val="007F0D94"/>
    <w:rsid w:val="00804D06"/>
    <w:rsid w:val="00820C6D"/>
    <w:rsid w:val="00823847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C46AA"/>
    <w:rsid w:val="00CD7D5B"/>
    <w:rsid w:val="00CE0E32"/>
    <w:rsid w:val="00CE20A6"/>
    <w:rsid w:val="00CF04D0"/>
    <w:rsid w:val="00CF5399"/>
    <w:rsid w:val="00D71F60"/>
    <w:rsid w:val="00D83BE9"/>
    <w:rsid w:val="00DD7B2D"/>
    <w:rsid w:val="00E457DD"/>
    <w:rsid w:val="00E62312"/>
    <w:rsid w:val="00E679AD"/>
    <w:rsid w:val="00E875D7"/>
    <w:rsid w:val="00EF695A"/>
    <w:rsid w:val="00F144F2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name">
    <w:name w:val="name"/>
    <w:basedOn w:val="a0"/>
    <w:rsid w:val="003C1C75"/>
  </w:style>
  <w:style w:type="paragraph" w:styleId="af2">
    <w:name w:val="Normal (Web)"/>
    <w:basedOn w:val="a"/>
    <w:uiPriority w:val="99"/>
    <w:semiHidden/>
    <w:unhideWhenUsed/>
    <w:rsid w:val="003C1C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3C1C75"/>
  </w:style>
  <w:style w:type="character" w:styleId="af3">
    <w:name w:val="Hyperlink"/>
    <w:basedOn w:val="a0"/>
    <w:uiPriority w:val="99"/>
    <w:semiHidden/>
    <w:unhideWhenUsed/>
    <w:rsid w:val="003C1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895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0BB1-02A4-4859-B694-072BA01C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8423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57</cp:revision>
  <cp:lastPrinted>2024-02-16T10:18:00Z</cp:lastPrinted>
  <dcterms:created xsi:type="dcterms:W3CDTF">2020-11-20T13:04:00Z</dcterms:created>
  <dcterms:modified xsi:type="dcterms:W3CDTF">2024-02-16T10:24:00Z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