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8E003C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bookmarkStart w:id="0" w:name="_GoBack"/>
      <w:bookmarkEnd w:id="0"/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02D00EF6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360123595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360123595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ПЗН-49060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26.01.2023</w:t>
      </w:r>
    </w:p>
    <w:p w14:paraId="279C27D0" w14:textId="1A1A6269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973E53" w:rsidRPr="00973E53">
        <w:rPr>
          <w:rFonts w:ascii="Times New Roman" w:hAnsi="Times New Roman" w:cs="Times New Roman"/>
          <w:b/>
          <w:bCs/>
          <w:sz w:val="24"/>
          <w:szCs w:val="24"/>
        </w:rPr>
        <w:t xml:space="preserve">Про надання ОБ'ЄДНАННЮ СПІВВЛАСНИКІВ БАГАТОКВАРТИРНОГО БУДИНКУ «МІСТО КВІТІВ» дозволу на розроблення проєкту землеустрою щодо відведення земельної ділянки у </w:t>
      </w:r>
      <w:r w:rsidR="00973E53" w:rsidRPr="00973E53">
        <w:rPr>
          <w:rFonts w:ascii="Times New Roman" w:hAnsi="Times New Roman" w:cs="Times New Roman"/>
          <w:b/>
          <w:sz w:val="24"/>
          <w:szCs w:val="24"/>
        </w:rPr>
        <w:t>постійне користування</w:t>
      </w:r>
      <w:r w:rsidR="00973E53" w:rsidRPr="00973E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3E53" w:rsidRPr="00973E53">
        <w:rPr>
          <w:rFonts w:ascii="Times New Roman" w:hAnsi="Times New Roman" w:cs="Times New Roman"/>
          <w:b/>
          <w:sz w:val="24"/>
          <w:szCs w:val="24"/>
        </w:rPr>
        <w:t xml:space="preserve">для експлуатації та обслуговування багатоквартирного житлового будинку </w:t>
      </w:r>
      <w:r w:rsidR="00973E53" w:rsidRPr="00973E53">
        <w:rPr>
          <w:rFonts w:ascii="Times New Roman" w:hAnsi="Times New Roman" w:cs="Times New Roman"/>
          <w:b/>
          <w:bCs/>
          <w:sz w:val="24"/>
          <w:szCs w:val="24"/>
        </w:rPr>
        <w:t xml:space="preserve">на вул. </w:t>
      </w:r>
      <w:r w:rsidR="00973E53" w:rsidRPr="00973E53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Тираспольській, 60 у Подільському районі міста Києва</w:t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E267AF">
        <w:trPr>
          <w:cantSplit/>
          <w:trHeight w:hRule="exact" w:val="723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 w:rsidP="00761FF0">
            <w:pPr>
              <w:pStyle w:val="a7"/>
              <w:shd w:val="clear" w:color="auto" w:fill="auto"/>
              <w:spacing w:after="0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1425B868" w:rsidR="00D437FF" w:rsidRPr="00447390" w:rsidRDefault="004D4053" w:rsidP="00FE1FB8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ОБ'ЄДНАННЯ СПІВВЛАСНИКІВ БАГАТОКВАРТИРНОГО БУДИНКУ «МІСТО КВІТІВ»</w:t>
            </w:r>
          </w:p>
        </w:tc>
      </w:tr>
      <w:tr w:rsidR="003C0A13" w14:paraId="745C51F1" w14:textId="77777777" w:rsidTr="00FE1FB8">
        <w:trPr>
          <w:cantSplit/>
          <w:trHeight w:hRule="exact" w:val="689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5040BE0D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1FC56FBC" w14:textId="502E89E3" w:rsidR="003C0A13" w:rsidRPr="00FE1FB8" w:rsidRDefault="00FE1FB8" w:rsidP="00FE1FB8">
            <w:pPr>
              <w:pStyle w:val="a7"/>
              <w:shd w:val="clear" w:color="auto" w:fill="auto"/>
              <w:spacing w:after="0"/>
              <w:ind w:firstLine="0"/>
              <w:rPr>
                <w:i/>
                <w:iCs/>
                <w:sz w:val="24"/>
                <w:szCs w:val="24"/>
              </w:rPr>
            </w:pPr>
            <w:r w:rsidRPr="00FE1FB8">
              <w:rPr>
                <w:i/>
                <w:iCs/>
                <w:sz w:val="24"/>
                <w:szCs w:val="24"/>
              </w:rPr>
              <w:t>СПІВВЛАСНИКИ БАГАТОКВАРТИРНОГО БУДИНКУ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Кінцевий бенефіціарний</w:t>
            </w:r>
          </w:p>
          <w:p w14:paraId="25B239A2" w14:textId="6A0FA064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F43EE8">
            <w:pPr>
              <w:pStyle w:val="a7"/>
              <w:shd w:val="clear" w:color="auto" w:fill="auto"/>
              <w:spacing w:after="0"/>
              <w:ind w:firstLine="0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02.01.2023 № 360123595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4890C31" w:rsid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60DDE90F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716826">
        <w:rPr>
          <w:b/>
          <w:bCs/>
          <w:sz w:val="24"/>
          <w:szCs w:val="24"/>
        </w:rPr>
        <w:t>(кадастровий номер 8000000000:</w:t>
      </w:r>
      <w:r w:rsidR="008F1609" w:rsidRPr="005660BA">
        <w:rPr>
          <w:b/>
          <w:bCs/>
          <w:sz w:val="24"/>
          <w:szCs w:val="24"/>
        </w:rPr>
        <w:t>91:179:0511</w:t>
      </w:r>
      <w:r w:rsidR="00716826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33DF250A" w:rsidR="00C022FD" w:rsidRPr="0044739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>м. Київ, р-н Подільський, вул. Тираспольська, 60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05EF5F1A" w:rsidR="00C022FD" w:rsidRPr="00447390" w:rsidRDefault="003403EB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2,27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129E1855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>постійне користування</w:t>
            </w:r>
          </w:p>
        </w:tc>
      </w:tr>
      <w:tr w:rsidR="00C022FD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0D1FC9DA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використання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5922EEF0" w14:textId="136217B9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>для експлуатації та обслуговування багатоквартирного житлового будинку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6D9C53A9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>ї адміністрації) розроблено проє</w:t>
      </w:r>
      <w:r w:rsidRPr="00D97048">
        <w:rPr>
          <w:sz w:val="24"/>
          <w:szCs w:val="24"/>
        </w:rPr>
        <w:t>кт рішення Київської міської ради.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AE7813">
        <w:trPr>
          <w:cantSplit/>
          <w:trHeight w:val="2058"/>
        </w:trPr>
        <w:tc>
          <w:tcPr>
            <w:tcW w:w="3167" w:type="dxa"/>
            <w:tcBorders>
              <w:bottom w:val="single" w:sz="4" w:space="0" w:color="auto"/>
            </w:tcBorders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14:paraId="77F6A87F" w14:textId="0C339D02" w:rsidR="002B31E8" w:rsidRPr="0041184B" w:rsidRDefault="00F50D56" w:rsidP="008736FF">
            <w:pPr>
              <w:pStyle w:val="1"/>
              <w:spacing w:after="0"/>
              <w:ind w:hanging="23"/>
              <w:jc w:val="both"/>
              <w:rPr>
                <w:i/>
                <w:sz w:val="24"/>
                <w:szCs w:val="24"/>
              </w:rPr>
            </w:pPr>
            <w:r w:rsidRPr="00F50D56">
              <w:rPr>
                <w:i/>
                <w:sz w:val="24"/>
                <w:szCs w:val="24"/>
              </w:rPr>
              <w:t xml:space="preserve">Земельна ділянка забудована. </w:t>
            </w:r>
            <w:r w:rsidR="00AE0A04">
              <w:rPr>
                <w:i/>
                <w:sz w:val="24"/>
                <w:szCs w:val="24"/>
              </w:rPr>
              <w:t xml:space="preserve">Багатоквартирний житловий будинок </w:t>
            </w:r>
            <w:r w:rsidR="007A0F8A">
              <w:rPr>
                <w:i/>
                <w:sz w:val="24"/>
                <w:szCs w:val="24"/>
              </w:rPr>
              <w:t xml:space="preserve">на вул. Тираспольській, 60 (розпорядженням Подільської районної в місті Києві державної адміністрації від 16.02.2018 новозбудованому житловому будинку </w:t>
            </w:r>
            <w:r w:rsidR="00D64EBB">
              <w:rPr>
                <w:i/>
                <w:sz w:val="24"/>
                <w:szCs w:val="24"/>
              </w:rPr>
              <w:t>присвоєно адресу</w:t>
            </w:r>
            <w:r w:rsidR="007A0F8A">
              <w:rPr>
                <w:i/>
                <w:sz w:val="24"/>
                <w:szCs w:val="24"/>
              </w:rPr>
              <w:t xml:space="preserve">: вул. Тираспольська, 60) </w:t>
            </w:r>
            <w:r w:rsidR="00AE0A04">
              <w:rPr>
                <w:i/>
                <w:sz w:val="24"/>
                <w:szCs w:val="24"/>
              </w:rPr>
              <w:t>має 16 поверхів, 759 квартир</w:t>
            </w:r>
            <w:r w:rsidR="00D64EBB">
              <w:rPr>
                <w:i/>
                <w:sz w:val="24"/>
                <w:szCs w:val="24"/>
              </w:rPr>
              <w:t>.</w:t>
            </w:r>
            <w:r w:rsidR="00AE0A04">
              <w:rPr>
                <w:i/>
                <w:sz w:val="24"/>
                <w:szCs w:val="24"/>
              </w:rPr>
              <w:t xml:space="preserve"> Загальна площа будинку - 61328,1 кв.м, загальна площа</w:t>
            </w:r>
            <w:r w:rsidR="008736FF">
              <w:rPr>
                <w:i/>
                <w:sz w:val="24"/>
                <w:szCs w:val="24"/>
              </w:rPr>
              <w:t xml:space="preserve"> </w:t>
            </w:r>
            <w:r w:rsidR="00AE0A04">
              <w:rPr>
                <w:i/>
                <w:sz w:val="24"/>
                <w:szCs w:val="24"/>
              </w:rPr>
              <w:t xml:space="preserve"> квартир - 43116,6 кв.м</w:t>
            </w:r>
            <w:r w:rsidR="00F43EE8">
              <w:rPr>
                <w:i/>
                <w:sz w:val="24"/>
                <w:szCs w:val="24"/>
              </w:rPr>
              <w:t xml:space="preserve"> </w:t>
            </w:r>
            <w:r w:rsidR="008736FF">
              <w:rPr>
                <w:i/>
                <w:sz w:val="24"/>
                <w:szCs w:val="24"/>
              </w:rPr>
              <w:t xml:space="preserve"> </w:t>
            </w:r>
            <w:r w:rsidR="00F43EE8">
              <w:rPr>
                <w:i/>
                <w:sz w:val="24"/>
                <w:szCs w:val="24"/>
              </w:rPr>
              <w:t xml:space="preserve">(сертифікати </w:t>
            </w:r>
            <w:r w:rsidR="008736FF">
              <w:rPr>
                <w:i/>
                <w:sz w:val="24"/>
                <w:szCs w:val="24"/>
              </w:rPr>
              <w:t xml:space="preserve"> </w:t>
            </w:r>
            <w:r w:rsidR="00F43EE8">
              <w:rPr>
                <w:i/>
                <w:sz w:val="24"/>
                <w:szCs w:val="24"/>
              </w:rPr>
              <w:t xml:space="preserve">відповідності </w:t>
            </w:r>
          </w:p>
        </w:tc>
      </w:tr>
      <w:tr w:rsidR="00E157AA" w:rsidRPr="003774B2" w14:paraId="4DB43501" w14:textId="77777777" w:rsidTr="004A4001">
        <w:trPr>
          <w:cantSplit/>
          <w:trHeight w:val="2825"/>
        </w:trPr>
        <w:tc>
          <w:tcPr>
            <w:tcW w:w="3167" w:type="dxa"/>
            <w:tcBorders>
              <w:top w:val="single" w:sz="4" w:space="0" w:color="auto"/>
            </w:tcBorders>
          </w:tcPr>
          <w:p w14:paraId="17F28597" w14:textId="77777777" w:rsidR="00E157AA" w:rsidRDefault="00E157AA" w:rsidP="00447390">
            <w:pPr>
              <w:pStyle w:val="20"/>
              <w:spacing w:line="209" w:lineRule="auto"/>
              <w:ind w:left="-142"/>
              <w:jc w:val="left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4" w:space="0" w:color="auto"/>
            </w:tcBorders>
          </w:tcPr>
          <w:p w14:paraId="4DFBBDFB" w14:textId="71BFDA12" w:rsidR="00E157AA" w:rsidRPr="00F50D56" w:rsidRDefault="008736FF" w:rsidP="004A4001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закінченого будівництвом  об’єкта   (черги    окремого   пускового   комплексу),    видані </w:t>
            </w:r>
            <w:r w:rsidR="00E157AA">
              <w:rPr>
                <w:i/>
                <w:sz w:val="24"/>
                <w:szCs w:val="24"/>
              </w:rPr>
              <w:t xml:space="preserve">Державною архітектурно-будівельною  інспекцією України від 01.12.2017 серія </w:t>
            </w:r>
            <w:r w:rsidR="00251FE8">
              <w:rPr>
                <w:i/>
                <w:sz w:val="24"/>
                <w:szCs w:val="24"/>
              </w:rPr>
              <w:t>ІУ</w:t>
            </w:r>
            <w:r w:rsidR="00E157AA">
              <w:rPr>
                <w:i/>
                <w:sz w:val="24"/>
                <w:szCs w:val="24"/>
              </w:rPr>
              <w:t xml:space="preserve"> </w:t>
            </w:r>
            <w:r w:rsidR="00251FE8">
              <w:rPr>
                <w:i/>
                <w:sz w:val="24"/>
                <w:szCs w:val="24"/>
              </w:rPr>
              <w:t xml:space="preserve">     </w:t>
            </w:r>
            <w:r w:rsidR="00E157AA">
              <w:rPr>
                <w:i/>
                <w:sz w:val="24"/>
                <w:szCs w:val="24"/>
              </w:rPr>
              <w:t xml:space="preserve">№№ 163173351339, 163173351326, 163173351318, 163173351346). </w:t>
            </w:r>
            <w:r w:rsidR="00251FE8">
              <w:rPr>
                <w:i/>
                <w:sz w:val="24"/>
                <w:szCs w:val="24"/>
              </w:rPr>
              <w:t xml:space="preserve">Відповідно до акту </w:t>
            </w:r>
            <w:r w:rsidR="004A4001">
              <w:rPr>
                <w:i/>
                <w:sz w:val="24"/>
                <w:szCs w:val="24"/>
              </w:rPr>
              <w:t xml:space="preserve">приймання-передачі Дочірнім </w:t>
            </w:r>
            <w:r w:rsidR="004A4001" w:rsidRPr="004A4001">
              <w:rPr>
                <w:i/>
                <w:sz w:val="24"/>
                <w:szCs w:val="24"/>
              </w:rPr>
              <w:t xml:space="preserve">підприємством «Експлуатаційна Служба «Місто квітів» житлового будинку №60 на вул. Тираспольській в управління Об’єднанню Співвласників Багатоквартирного  Будинку «Місто Квітів» </w:t>
            </w:r>
            <w:r w:rsidR="004A4001">
              <w:rPr>
                <w:i/>
                <w:sz w:val="24"/>
                <w:szCs w:val="24"/>
              </w:rPr>
              <w:t>від 06.09.2019 будинок передано в експлуатацію ОСББ «Місто квітів».</w:t>
            </w:r>
          </w:p>
        </w:tc>
      </w:tr>
      <w:tr w:rsidR="002B31E8" w:rsidRPr="003774B2" w14:paraId="2E1CCB39" w14:textId="77777777" w:rsidTr="00761FF0">
        <w:trPr>
          <w:cantSplit/>
          <w:trHeight w:val="420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1548299" w:rsidR="002B31E8" w:rsidRPr="0041184B" w:rsidRDefault="002B31E8" w:rsidP="00FE1FB8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761FF0" w:rsidRPr="003774B2" w14:paraId="6E9B523F" w14:textId="77777777" w:rsidTr="00E267AF">
        <w:trPr>
          <w:cantSplit/>
          <w:trHeight w:val="1500"/>
        </w:trPr>
        <w:tc>
          <w:tcPr>
            <w:tcW w:w="3167" w:type="dxa"/>
          </w:tcPr>
          <w:p w14:paraId="4EDEF32F" w14:textId="77777777" w:rsidR="00761FF0" w:rsidRDefault="00761FF0" w:rsidP="00761FF0">
            <w:pPr>
              <w:ind w:hanging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Функціональне призначення      </w:t>
            </w:r>
          </w:p>
          <w:p w14:paraId="69E80076" w14:textId="5A242492" w:rsidR="00761FF0" w:rsidRPr="00761FF0" w:rsidRDefault="00761FF0" w:rsidP="00761FF0">
            <w:pPr>
              <w:pStyle w:val="1"/>
              <w:tabs>
                <w:tab w:val="left" w:pos="1861"/>
              </w:tabs>
              <w:spacing w:after="0"/>
              <w:ind w:hanging="120"/>
              <w:rPr>
                <w:rFonts w:eastAsia="Courier New"/>
                <w:sz w:val="24"/>
                <w:szCs w:val="24"/>
              </w:rPr>
            </w:pPr>
            <w:r>
              <w:t xml:space="preserve"> </w:t>
            </w:r>
            <w:r w:rsidRPr="00761FF0">
              <w:rPr>
                <w:sz w:val="24"/>
                <w:szCs w:val="24"/>
              </w:rPr>
              <w:t>згідно з Генпланом:</w:t>
            </w:r>
          </w:p>
        </w:tc>
        <w:tc>
          <w:tcPr>
            <w:tcW w:w="6530" w:type="dxa"/>
          </w:tcPr>
          <w:p w14:paraId="14E3A629" w14:textId="61A700B4" w:rsidR="00761FF0" w:rsidRDefault="00761FF0" w:rsidP="00761FF0">
            <w:pPr>
              <w:pStyle w:val="1"/>
              <w:ind w:hanging="23"/>
              <w:jc w:val="both"/>
              <w:rPr>
                <w:i/>
                <w:sz w:val="24"/>
                <w:szCs w:val="24"/>
              </w:rPr>
            </w:pPr>
            <w:r w:rsidRPr="00761FF0">
              <w:rPr>
                <w:i/>
                <w:sz w:val="24"/>
                <w:szCs w:val="24"/>
              </w:rPr>
              <w:t>Відповідно до Генерального плану міста Києва, затвердженого рішенням Київської міської ради                                           від 28.03.2002 № 370/1804, земельна ділянка за функціональним призначенням належить до сільськогосподарських те</w:t>
            </w:r>
            <w:r w:rsidR="00C0698D">
              <w:rPr>
                <w:i/>
                <w:sz w:val="24"/>
                <w:szCs w:val="24"/>
              </w:rPr>
              <w:t xml:space="preserve">риторій (існуючі) </w:t>
            </w:r>
            <w:r w:rsidR="00C0698D" w:rsidRPr="00C0698D">
              <w:rPr>
                <w:i/>
                <w:sz w:val="24"/>
                <w:szCs w:val="24"/>
              </w:rPr>
              <w:t>(витяг з містобудівного кадастру</w:t>
            </w:r>
            <w:r w:rsidR="00C0698D">
              <w:rPr>
                <w:i/>
                <w:sz w:val="24"/>
                <w:szCs w:val="24"/>
              </w:rPr>
              <w:t xml:space="preserve">, наданий листом Департаменту містобудування та архітектури </w:t>
            </w:r>
            <w:r w:rsidR="00C0698D" w:rsidRPr="00C0698D">
              <w:rPr>
                <w:i/>
                <w:sz w:val="24"/>
                <w:szCs w:val="24"/>
              </w:rPr>
              <w:t xml:space="preserve"> від</w:t>
            </w:r>
            <w:r w:rsidR="00C0698D">
              <w:rPr>
                <w:i/>
                <w:sz w:val="24"/>
                <w:szCs w:val="24"/>
              </w:rPr>
              <w:t xml:space="preserve"> 02.01.2023 № 055-18</w:t>
            </w:r>
            <w:r w:rsidR="00C0698D" w:rsidRPr="00C0698D">
              <w:rPr>
                <w:i/>
                <w:sz w:val="24"/>
                <w:szCs w:val="24"/>
              </w:rPr>
              <w:t xml:space="preserve">).       </w:t>
            </w:r>
          </w:p>
          <w:p w14:paraId="10FD9ADF" w14:textId="77777777" w:rsidR="00B33AB4" w:rsidRDefault="00D64EBB" w:rsidP="00761FF0">
            <w:pPr>
              <w:pStyle w:val="1"/>
              <w:ind w:hanging="23"/>
              <w:jc w:val="both"/>
              <w:rPr>
                <w:i/>
                <w:sz w:val="24"/>
                <w:szCs w:val="24"/>
              </w:rPr>
            </w:pPr>
            <w:r w:rsidRPr="00D57A36">
              <w:rPr>
                <w:i/>
                <w:sz w:val="24"/>
                <w:szCs w:val="24"/>
              </w:rPr>
              <w:t xml:space="preserve">Однак, рішенням Київської міської ради від 18.11.2004 </w:t>
            </w:r>
            <w:r>
              <w:rPr>
                <w:i/>
                <w:sz w:val="24"/>
                <w:szCs w:val="24"/>
              </w:rPr>
              <w:t xml:space="preserve">                      </w:t>
            </w:r>
            <w:r w:rsidRPr="00D57A36">
              <w:rPr>
                <w:i/>
                <w:sz w:val="24"/>
                <w:szCs w:val="24"/>
              </w:rPr>
              <w:t xml:space="preserve">№ 817/2227 припинено державній агрофірмі «Квіти України» право користування частиною земельної ділянки площею 11.24 га та віднесено її до земель запасу житлової та громадської забудови. </w:t>
            </w:r>
          </w:p>
          <w:p w14:paraId="04669629" w14:textId="701F74F3" w:rsidR="00D64EBB" w:rsidRPr="009B44EB" w:rsidRDefault="00B33AB4" w:rsidP="00BB5644">
            <w:pPr>
              <w:pStyle w:val="1"/>
              <w:ind w:hanging="2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Головне управління містобудування, архітектури та дизайну міського середовища </w:t>
            </w:r>
            <w:r w:rsidR="0035249E">
              <w:rPr>
                <w:i/>
                <w:sz w:val="24"/>
                <w:szCs w:val="24"/>
              </w:rPr>
              <w:t>виконавчого органу Київ</w:t>
            </w:r>
            <w:r w:rsidR="00BB5644">
              <w:rPr>
                <w:i/>
                <w:sz w:val="24"/>
                <w:szCs w:val="24"/>
              </w:rPr>
              <w:t xml:space="preserve">ської міської ради </w:t>
            </w:r>
            <w:r w:rsidR="0035249E">
              <w:rPr>
                <w:i/>
                <w:sz w:val="24"/>
                <w:szCs w:val="24"/>
              </w:rPr>
              <w:t xml:space="preserve">(Київської міської державної адміністрації) </w:t>
            </w:r>
            <w:r>
              <w:rPr>
                <w:i/>
                <w:sz w:val="24"/>
                <w:szCs w:val="24"/>
              </w:rPr>
              <w:t>висновком від 03.06.2003</w:t>
            </w:r>
            <w:r w:rsidR="00BB564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№ 19-233 погодило надання земельної ділянки в довгострокову</w:t>
            </w:r>
            <w:r w:rsidR="00BB564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оренду для будівництва житлового молодіжного комплексу.</w:t>
            </w:r>
            <w:r w:rsidR="00D64EBB" w:rsidRPr="00D57A3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761FF0">
        <w:trPr>
          <w:cantSplit/>
          <w:trHeight w:val="357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3774B2" w14:paraId="14F719AA" w14:textId="77777777" w:rsidTr="008E003C">
        <w:trPr>
          <w:cantSplit/>
          <w:trHeight w:val="5430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771FEA30" w14:textId="0CB5AB66" w:rsidR="00784650" w:rsidRDefault="00914A2C" w:rsidP="00E157AA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14A2C">
              <w:rPr>
                <w:rFonts w:ascii="Times New Roman" w:hAnsi="Times New Roman" w:cs="Times New Roman"/>
                <w:i/>
                <w:color w:val="auto"/>
              </w:rPr>
              <w:t>Земельна ділянка 8000000000:</w:t>
            </w:r>
            <w:r>
              <w:rPr>
                <w:rFonts w:ascii="Times New Roman" w:hAnsi="Times New Roman" w:cs="Times New Roman"/>
                <w:i/>
                <w:color w:val="auto"/>
              </w:rPr>
              <w:t>91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>:</w:t>
            </w:r>
            <w:r>
              <w:rPr>
                <w:rFonts w:ascii="Times New Roman" w:hAnsi="Times New Roman" w:cs="Times New Roman"/>
                <w:i/>
                <w:color w:val="auto"/>
              </w:rPr>
              <w:t>179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>:0</w:t>
            </w:r>
            <w:r>
              <w:rPr>
                <w:rFonts w:ascii="Times New Roman" w:hAnsi="Times New Roman" w:cs="Times New Roman"/>
                <w:i/>
                <w:color w:val="auto"/>
              </w:rPr>
              <w:t>511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 xml:space="preserve"> сформована </w:t>
            </w:r>
            <w:r>
              <w:rPr>
                <w:rFonts w:ascii="Times New Roman" w:hAnsi="Times New Roman" w:cs="Times New Roman"/>
                <w:i/>
                <w:color w:val="auto"/>
              </w:rPr>
              <w:t>в результаті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 xml:space="preserve"> поділу земельної ділянки площею </w:t>
            </w:r>
            <w:r>
              <w:rPr>
                <w:rFonts w:ascii="Times New Roman" w:hAnsi="Times New Roman" w:cs="Times New Roman"/>
                <w:i/>
                <w:color w:val="auto"/>
              </w:rPr>
              <w:t>11,2800 га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 xml:space="preserve"> (кадастровий номер 8000000000:</w:t>
            </w:r>
            <w:r>
              <w:rPr>
                <w:rFonts w:ascii="Times New Roman" w:hAnsi="Times New Roman" w:cs="Times New Roman"/>
                <w:i/>
                <w:color w:val="auto"/>
              </w:rPr>
              <w:t>91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>:</w:t>
            </w:r>
            <w:r>
              <w:rPr>
                <w:rFonts w:ascii="Times New Roman" w:hAnsi="Times New Roman" w:cs="Times New Roman"/>
                <w:i/>
                <w:color w:val="auto"/>
              </w:rPr>
              <w:t>179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>:0</w:t>
            </w:r>
            <w:r>
              <w:rPr>
                <w:rFonts w:ascii="Times New Roman" w:hAnsi="Times New Roman" w:cs="Times New Roman"/>
                <w:i/>
                <w:color w:val="auto"/>
              </w:rPr>
              <w:t>143)</w:t>
            </w:r>
            <w:r w:rsidR="007F12CD">
              <w:rPr>
                <w:rFonts w:ascii="Times New Roman" w:hAnsi="Times New Roman" w:cs="Times New Roman"/>
                <w:i/>
                <w:color w:val="auto"/>
              </w:rPr>
              <w:t xml:space="preserve"> з кодом КВЦПЗ</w:t>
            </w:r>
            <w:r w:rsidR="007F12CD">
              <w:t xml:space="preserve"> </w:t>
            </w:r>
            <w:r w:rsidR="007F12CD" w:rsidRPr="007F12CD">
              <w:rPr>
                <w:rFonts w:ascii="Times New Roman" w:hAnsi="Times New Roman" w:cs="Times New Roman"/>
                <w:i/>
                <w:color w:val="auto"/>
              </w:rPr>
              <w:t>1.13.2, для будівництва, експлуатації та обслуговування молодіжного житлового комплексу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 xml:space="preserve">(технічна документація із землеустрою щодо поділу земельної ділянки погоджена листом Департаменту від </w:t>
            </w:r>
            <w:r>
              <w:rPr>
                <w:rFonts w:ascii="Times New Roman" w:hAnsi="Times New Roman" w:cs="Times New Roman"/>
                <w:i/>
                <w:color w:val="auto"/>
              </w:rPr>
              <w:t>12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>.0</w:t>
            </w:r>
            <w:r>
              <w:rPr>
                <w:rFonts w:ascii="Times New Roman" w:hAnsi="Times New Roman" w:cs="Times New Roman"/>
                <w:i/>
                <w:color w:val="auto"/>
              </w:rPr>
              <w:t>2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>.202</w:t>
            </w:r>
            <w:r>
              <w:rPr>
                <w:rFonts w:ascii="Times New Roman" w:hAnsi="Times New Roman" w:cs="Times New Roman"/>
                <w:i/>
                <w:color w:val="auto"/>
              </w:rPr>
              <w:t>0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 xml:space="preserve"> № 05716-</w:t>
            </w:r>
            <w:r>
              <w:rPr>
                <w:rFonts w:ascii="Times New Roman" w:hAnsi="Times New Roman" w:cs="Times New Roman"/>
                <w:i/>
                <w:color w:val="auto"/>
              </w:rPr>
              <w:t>2746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>) і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яка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 xml:space="preserve"> перебувала в користуванні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закритого акціонерного товариства «Молодіжний житловий комплекс «Оболонь» 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 xml:space="preserve">на підставі договору оренди земельної ділянки від </w:t>
            </w:r>
            <w:r w:rsidR="007F12CD" w:rsidRPr="007F12CD">
              <w:rPr>
                <w:rFonts w:ascii="Times New Roman" w:hAnsi="Times New Roman" w:cs="Times New Roman"/>
                <w:i/>
                <w:color w:val="auto"/>
              </w:rPr>
              <w:t>29.04.2005</w:t>
            </w:r>
            <w:r w:rsidR="007F12C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 xml:space="preserve">№ </w:t>
            </w:r>
            <w:r w:rsidR="007F12CD" w:rsidRPr="007F12CD">
              <w:rPr>
                <w:rFonts w:ascii="Times New Roman" w:hAnsi="Times New Roman" w:cs="Times New Roman"/>
                <w:i/>
                <w:color w:val="auto"/>
              </w:rPr>
              <w:t>85-6-00198</w:t>
            </w:r>
            <w:r w:rsidR="007F12C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 xml:space="preserve">) (рішення Київської міської ради від </w:t>
            </w:r>
            <w:r>
              <w:rPr>
                <w:rFonts w:ascii="Times New Roman" w:hAnsi="Times New Roman" w:cs="Times New Roman"/>
                <w:i/>
                <w:color w:val="auto"/>
              </w:rPr>
              <w:t>18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>.1</w:t>
            </w:r>
            <w:r>
              <w:rPr>
                <w:rFonts w:ascii="Times New Roman" w:hAnsi="Times New Roman" w:cs="Times New Roman"/>
                <w:i/>
                <w:color w:val="auto"/>
              </w:rPr>
              <w:t>1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>.200</w:t>
            </w:r>
            <w:r>
              <w:rPr>
                <w:rFonts w:ascii="Times New Roman" w:hAnsi="Times New Roman" w:cs="Times New Roman"/>
                <w:i/>
                <w:color w:val="auto"/>
              </w:rPr>
              <w:t>4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auto"/>
              </w:rPr>
              <w:t>817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>/</w:t>
            </w:r>
            <w:r>
              <w:rPr>
                <w:rFonts w:ascii="Times New Roman" w:hAnsi="Times New Roman" w:cs="Times New Roman"/>
                <w:i/>
                <w:color w:val="auto"/>
              </w:rPr>
              <w:t>2227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 xml:space="preserve">), (оренда до </w:t>
            </w:r>
            <w:r w:rsidR="007F12CD" w:rsidRPr="007F12CD">
              <w:rPr>
                <w:rFonts w:ascii="Times New Roman" w:hAnsi="Times New Roman" w:cs="Times New Roman"/>
                <w:i/>
                <w:color w:val="auto"/>
              </w:rPr>
              <w:t xml:space="preserve"> 31.08.2035</w:t>
            </w:r>
            <w:r w:rsidRPr="00914A2C">
              <w:rPr>
                <w:rFonts w:ascii="Times New Roman" w:hAnsi="Times New Roman" w:cs="Times New Roman"/>
                <w:i/>
                <w:color w:val="auto"/>
              </w:rPr>
              <w:t>).</w:t>
            </w:r>
          </w:p>
          <w:p w14:paraId="69A25DD8" w14:textId="1364868B" w:rsidR="00486A4D" w:rsidRPr="001E3A85" w:rsidRDefault="00590A1C" w:rsidP="00E157A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Відповідно до пункту 4 протоколу </w:t>
            </w:r>
            <w:r w:rsidR="008C59AF">
              <w:rPr>
                <w:rFonts w:ascii="Times New Roman" w:hAnsi="Times New Roman" w:cs="Times New Roman"/>
                <w:i/>
                <w:color w:val="auto"/>
              </w:rPr>
              <w:t xml:space="preserve">загальних зборів Об’єднання співвласників багатоквартирного будинку «Місто квітів» </w:t>
            </w:r>
            <w:r w:rsidR="00E157AA" w:rsidRPr="00E157AA">
              <w:rPr>
                <w:rFonts w:ascii="Times New Roman" w:hAnsi="Times New Roman" w:cs="Times New Roman"/>
                <w:i/>
                <w:color w:val="auto"/>
              </w:rPr>
              <w:t>від 1</w:t>
            </w:r>
            <w:r w:rsidR="008C59AF">
              <w:rPr>
                <w:rFonts w:ascii="Times New Roman" w:hAnsi="Times New Roman" w:cs="Times New Roman"/>
                <w:i/>
                <w:color w:val="auto"/>
              </w:rPr>
              <w:t>3</w:t>
            </w:r>
            <w:r w:rsidR="00E157AA" w:rsidRPr="00E157AA">
              <w:rPr>
                <w:rFonts w:ascii="Times New Roman" w:hAnsi="Times New Roman" w:cs="Times New Roman"/>
                <w:i/>
                <w:color w:val="auto"/>
              </w:rPr>
              <w:t>.10.20</w:t>
            </w:r>
            <w:r w:rsidR="008C59AF">
              <w:rPr>
                <w:rFonts w:ascii="Times New Roman" w:hAnsi="Times New Roman" w:cs="Times New Roman"/>
                <w:i/>
                <w:color w:val="auto"/>
              </w:rPr>
              <w:t>20</w:t>
            </w:r>
            <w:r w:rsidR="00E157AA" w:rsidRPr="00E157AA">
              <w:rPr>
                <w:rFonts w:ascii="Times New Roman" w:hAnsi="Times New Roman" w:cs="Times New Roman"/>
                <w:i/>
                <w:color w:val="auto"/>
              </w:rPr>
              <w:t xml:space="preserve"> прийнято рішення про оформлення права постійного користування земельною ділянкою, на якій розташований багатоповерховий будинок (підтримали </w:t>
            </w:r>
            <w:r w:rsidR="008C59AF">
              <w:rPr>
                <w:rFonts w:ascii="Times New Roman" w:hAnsi="Times New Roman" w:cs="Times New Roman"/>
                <w:i/>
                <w:color w:val="auto"/>
              </w:rPr>
              <w:t xml:space="preserve">601 </w:t>
            </w:r>
            <w:r w:rsidR="00E157AA" w:rsidRPr="00E157AA">
              <w:rPr>
                <w:rFonts w:ascii="Times New Roman" w:hAnsi="Times New Roman" w:cs="Times New Roman"/>
                <w:i/>
                <w:color w:val="auto"/>
              </w:rPr>
              <w:t xml:space="preserve">осіб, що складає </w:t>
            </w:r>
            <w:r w:rsidR="008C59AF">
              <w:rPr>
                <w:rFonts w:ascii="Times New Roman" w:hAnsi="Times New Roman" w:cs="Times New Roman"/>
                <w:i/>
                <w:color w:val="auto"/>
              </w:rPr>
              <w:t>70,55%,</w:t>
            </w:r>
            <w:r w:rsidR="008C59AF" w:rsidRPr="00E157AA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8C59AF">
              <w:rPr>
                <w:rFonts w:ascii="Times New Roman" w:hAnsi="Times New Roman" w:cs="Times New Roman"/>
                <w:i/>
                <w:color w:val="auto"/>
              </w:rPr>
              <w:t xml:space="preserve">голосів </w:t>
            </w:r>
            <w:r w:rsidR="00E157AA" w:rsidRPr="00E157AA">
              <w:rPr>
                <w:rFonts w:ascii="Times New Roman" w:hAnsi="Times New Roman" w:cs="Times New Roman"/>
                <w:i/>
                <w:color w:val="auto"/>
              </w:rPr>
              <w:t>співвласників).</w:t>
            </w:r>
          </w:p>
        </w:tc>
      </w:tr>
      <w:tr w:rsidR="008E003C" w:rsidRPr="003774B2" w14:paraId="37B2A3B0" w14:textId="77777777" w:rsidTr="00E267AF">
        <w:trPr>
          <w:cantSplit/>
          <w:trHeight w:val="3110"/>
        </w:trPr>
        <w:tc>
          <w:tcPr>
            <w:tcW w:w="3167" w:type="dxa"/>
          </w:tcPr>
          <w:p w14:paraId="257594A7" w14:textId="77777777" w:rsidR="008E003C" w:rsidRDefault="008E003C" w:rsidP="00447390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63BFAE03" w14:textId="2013C4E1" w:rsidR="008E003C" w:rsidRPr="00E157AA" w:rsidRDefault="004A4001" w:rsidP="008E003C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ТОВАРИСТВО З ОБМЕЖЕНОЮ ВІДПОВІДАЛЬНІСТЮ «Молодіжний житловий комплекс «ОБОЛОНЬ» </w:t>
            </w:r>
            <w:r w:rsidR="008E003C">
              <w:rPr>
                <w:rFonts w:ascii="Times New Roman" w:hAnsi="Times New Roman" w:cs="Times New Roman"/>
                <w:i/>
                <w:color w:val="auto"/>
              </w:rPr>
              <w:t>нада</w:t>
            </w:r>
            <w:r w:rsidR="00DA19A3">
              <w:rPr>
                <w:rFonts w:ascii="Times New Roman" w:hAnsi="Times New Roman" w:cs="Times New Roman"/>
                <w:i/>
                <w:color w:val="auto"/>
              </w:rPr>
              <w:t>ло</w:t>
            </w:r>
            <w:r w:rsidR="008E003C">
              <w:rPr>
                <w:rFonts w:ascii="Times New Roman" w:hAnsi="Times New Roman" w:cs="Times New Roman"/>
                <w:i/>
                <w:color w:val="auto"/>
              </w:rPr>
              <w:t xml:space="preserve"> нотаріальну заяву від 19.05.2021 № 556 на припинення права оренди земельної ділянки кадастровий номер 8000000000:91:179:0511.</w:t>
            </w:r>
          </w:p>
          <w:p w14:paraId="2AD4905A" w14:textId="4B839E81" w:rsidR="008E003C" w:rsidRPr="00914A2C" w:rsidRDefault="008E003C" w:rsidP="008E003C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EFE19B3" w14:textId="08479638" w:rsidR="00082B59" w:rsidRDefault="00082B59" w:rsidP="009F6B30">
      <w:pPr>
        <w:pStyle w:val="1"/>
        <w:shd w:val="clear" w:color="auto" w:fill="auto"/>
        <w:spacing w:line="233" w:lineRule="auto"/>
        <w:ind w:left="-142" w:firstLine="426"/>
        <w:jc w:val="both"/>
        <w:rPr>
          <w:i/>
          <w:sz w:val="24"/>
          <w:szCs w:val="24"/>
        </w:rPr>
      </w:pPr>
      <w:r w:rsidRPr="00CD18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Pr="00CD189E">
        <w:rPr>
          <w:sz w:val="24"/>
          <w:szCs w:val="24"/>
          <w:lang w:val="ru-RU"/>
        </w:rPr>
        <w:t xml:space="preserve"> </w:t>
      </w:r>
      <w:r w:rsidR="005B5739">
        <w:rPr>
          <w:sz w:val="24"/>
          <w:szCs w:val="24"/>
        </w:rPr>
        <w:t>123</w:t>
      </w:r>
      <w:r w:rsidRPr="00CD189E">
        <w:rPr>
          <w:sz w:val="24"/>
          <w:szCs w:val="24"/>
        </w:rPr>
        <w:t xml:space="preserve"> Земельного кодексу України.</w:t>
      </w:r>
    </w:p>
    <w:p w14:paraId="76EF4D4C" w14:textId="6523FDD5" w:rsidR="008D32C3" w:rsidRDefault="008D32C3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30CDC5E6" w14:textId="77777777" w:rsidR="008C59AF" w:rsidRPr="00DD25DA" w:rsidRDefault="008C59AF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DD25DA" w:rsidRDefault="00082B59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1263574B" w:rsidR="009A054D" w:rsidRPr="002B31E8" w:rsidRDefault="009A054D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r w:rsidR="00612AE2"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 рішення стан</w:t>
      </w:r>
      <w:r w:rsidR="00CC556E"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CC556E">
        <w:rPr>
          <w:sz w:val="24"/>
          <w:szCs w:val="24"/>
        </w:rPr>
        <w:t xml:space="preserve"> використання земельної ділянки.</w:t>
      </w: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иректор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113FB" w14:textId="77777777" w:rsidR="00C54436" w:rsidRDefault="00C54436">
      <w:r>
        <w:separator/>
      </w:r>
    </w:p>
  </w:endnote>
  <w:endnote w:type="continuationSeparator" w:id="0">
    <w:p w14:paraId="27E4DAA3" w14:textId="77777777" w:rsidR="00C54436" w:rsidRDefault="00C5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3D274" w14:textId="77777777" w:rsidR="00C54436" w:rsidRDefault="00C54436"/>
  </w:footnote>
  <w:footnote w:type="continuationSeparator" w:id="0">
    <w:p w14:paraId="0198239D" w14:textId="77777777" w:rsidR="00C54436" w:rsidRDefault="00C5443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770484">
      <w:rPr>
        <w:rFonts w:ascii="Times New Roman" w:hAnsi="Times New Roman" w:cs="Times New Roman"/>
        <w:i w:val="0"/>
        <w:sz w:val="12"/>
        <w:szCs w:val="12"/>
        <w:lang w:val="ru-RU"/>
      </w:rPr>
      <w:t>ПЗН-49060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770484">
      <w:rPr>
        <w:rFonts w:ascii="Times New Roman" w:hAnsi="Times New Roman" w:cs="Times New Roman"/>
        <w:bCs/>
        <w:i w:val="0"/>
        <w:sz w:val="12"/>
        <w:szCs w:val="12"/>
        <w:lang w:val="ru-RU"/>
      </w:rPr>
      <w:t>26.01.2023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360123595</w:t>
    </w:r>
  </w:p>
  <w:p w14:paraId="28309D3E" w14:textId="69F1220F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16670" w:rsidRPr="0071667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E18EF"/>
    <w:rsid w:val="000E29B0"/>
    <w:rsid w:val="000E40B4"/>
    <w:rsid w:val="0013275C"/>
    <w:rsid w:val="00132FF7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51FE8"/>
    <w:rsid w:val="00260637"/>
    <w:rsid w:val="00266EEF"/>
    <w:rsid w:val="002B31E8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249E"/>
    <w:rsid w:val="00353D97"/>
    <w:rsid w:val="00371772"/>
    <w:rsid w:val="00390D9C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A4001"/>
    <w:rsid w:val="004B1163"/>
    <w:rsid w:val="004D4053"/>
    <w:rsid w:val="004E58E6"/>
    <w:rsid w:val="00512642"/>
    <w:rsid w:val="00522EA9"/>
    <w:rsid w:val="005660BA"/>
    <w:rsid w:val="00574FAF"/>
    <w:rsid w:val="00581657"/>
    <w:rsid w:val="00581B10"/>
    <w:rsid w:val="00585FBD"/>
    <w:rsid w:val="00590A1C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16670"/>
    <w:rsid w:val="00716826"/>
    <w:rsid w:val="007237C4"/>
    <w:rsid w:val="00743FA7"/>
    <w:rsid w:val="00761FF0"/>
    <w:rsid w:val="00763D54"/>
    <w:rsid w:val="00770484"/>
    <w:rsid w:val="00784650"/>
    <w:rsid w:val="00791F4A"/>
    <w:rsid w:val="007A0F8A"/>
    <w:rsid w:val="007B1180"/>
    <w:rsid w:val="007D79A0"/>
    <w:rsid w:val="007E3CA8"/>
    <w:rsid w:val="007E4A6B"/>
    <w:rsid w:val="007F01BC"/>
    <w:rsid w:val="007F0FF7"/>
    <w:rsid w:val="007F12CD"/>
    <w:rsid w:val="007F3A56"/>
    <w:rsid w:val="00813F27"/>
    <w:rsid w:val="00817060"/>
    <w:rsid w:val="0083079F"/>
    <w:rsid w:val="00844B45"/>
    <w:rsid w:val="00853E57"/>
    <w:rsid w:val="00854144"/>
    <w:rsid w:val="00854EEC"/>
    <w:rsid w:val="008736FF"/>
    <w:rsid w:val="00874480"/>
    <w:rsid w:val="00885375"/>
    <w:rsid w:val="008C59AF"/>
    <w:rsid w:val="008C5D53"/>
    <w:rsid w:val="008D0A3B"/>
    <w:rsid w:val="008D32C3"/>
    <w:rsid w:val="008D49E8"/>
    <w:rsid w:val="008E003C"/>
    <w:rsid w:val="008E097F"/>
    <w:rsid w:val="008E40D5"/>
    <w:rsid w:val="008F1609"/>
    <w:rsid w:val="00902580"/>
    <w:rsid w:val="00914A2C"/>
    <w:rsid w:val="00941F23"/>
    <w:rsid w:val="00947335"/>
    <w:rsid w:val="00950298"/>
    <w:rsid w:val="00973E53"/>
    <w:rsid w:val="00990F86"/>
    <w:rsid w:val="009A054D"/>
    <w:rsid w:val="009F1756"/>
    <w:rsid w:val="009F6B30"/>
    <w:rsid w:val="00A21967"/>
    <w:rsid w:val="00A26614"/>
    <w:rsid w:val="00A33645"/>
    <w:rsid w:val="00A504B4"/>
    <w:rsid w:val="00A54958"/>
    <w:rsid w:val="00A70F2C"/>
    <w:rsid w:val="00A92B66"/>
    <w:rsid w:val="00AD2AC7"/>
    <w:rsid w:val="00AE0A04"/>
    <w:rsid w:val="00AE7813"/>
    <w:rsid w:val="00AF4456"/>
    <w:rsid w:val="00B03C65"/>
    <w:rsid w:val="00B20171"/>
    <w:rsid w:val="00B24B4A"/>
    <w:rsid w:val="00B33AB4"/>
    <w:rsid w:val="00B34113"/>
    <w:rsid w:val="00B63283"/>
    <w:rsid w:val="00B95C48"/>
    <w:rsid w:val="00BA1FE1"/>
    <w:rsid w:val="00BB5644"/>
    <w:rsid w:val="00BC3C26"/>
    <w:rsid w:val="00BC660F"/>
    <w:rsid w:val="00BE74B3"/>
    <w:rsid w:val="00BF7777"/>
    <w:rsid w:val="00C00879"/>
    <w:rsid w:val="00C00D13"/>
    <w:rsid w:val="00C022FD"/>
    <w:rsid w:val="00C05AC5"/>
    <w:rsid w:val="00C0698D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57A36"/>
    <w:rsid w:val="00D6499D"/>
    <w:rsid w:val="00D64B3F"/>
    <w:rsid w:val="00D64EBB"/>
    <w:rsid w:val="00D66C8B"/>
    <w:rsid w:val="00D73F87"/>
    <w:rsid w:val="00D75C36"/>
    <w:rsid w:val="00DA19A3"/>
    <w:rsid w:val="00DB24E7"/>
    <w:rsid w:val="00DD25DA"/>
    <w:rsid w:val="00E157AA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43EE8"/>
    <w:rsid w:val="00F459BE"/>
    <w:rsid w:val="00F50D56"/>
    <w:rsid w:val="00F61295"/>
    <w:rsid w:val="00FD46BE"/>
    <w:rsid w:val="00FD5CB7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lyudmyla.lutsy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5992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Луцюк Людмила Володимирівна</dc:creator>
  <cp:lastModifiedBy>Корнійчук Олеся Михайлівна</cp:lastModifiedBy>
  <cp:revision>2</cp:revision>
  <cp:lastPrinted>2023-01-27T08:18:00Z</cp:lastPrinted>
  <dcterms:created xsi:type="dcterms:W3CDTF">2023-03-27T07:33:00Z</dcterms:created>
  <dcterms:modified xsi:type="dcterms:W3CDTF">2023-03-27T07:33:00Z</dcterms:modified>
</cp:coreProperties>
</file>