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61720760" w:rsidR="00B51FA5" w:rsidRPr="00033017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340517675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340517675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9B6A9F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1F7A92">
        <w:rPr>
          <w:b/>
          <w:bCs/>
          <w:sz w:val="24"/>
          <w:szCs w:val="24"/>
          <w:lang w:val="ru-RU"/>
        </w:rPr>
        <w:t>-41359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1F7A92">
        <w:rPr>
          <w:b/>
          <w:bCs/>
          <w:sz w:val="24"/>
          <w:szCs w:val="24"/>
          <w:lang w:val="ru-RU"/>
        </w:rPr>
        <w:t>16.01.2023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21C27B69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1F7A92" w:rsidRPr="001F7A92">
        <w:rPr>
          <w:b/>
          <w:i/>
          <w:color w:val="auto"/>
          <w:sz w:val="24"/>
          <w:szCs w:val="24"/>
          <w:lang w:val="ru-RU" w:bidi="ar-SA"/>
        </w:rPr>
        <w:t>товариству з обмеженою відповідальністю</w:t>
      </w:r>
      <w:r w:rsidR="000B1E6A" w:rsidRPr="001F7A92">
        <w:rPr>
          <w:b/>
          <w:i/>
          <w:color w:val="auto"/>
          <w:sz w:val="24"/>
          <w:szCs w:val="24"/>
          <w:lang w:val="ru-RU" w:bidi="ar-SA"/>
        </w:rPr>
        <w:t xml:space="preserve"> «АВТОМОБІЛЬНА ГРУПА «БОГДАН»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11 травня 2010 року № 85-6-00479</w:t>
      </w:r>
      <w:r w:rsidR="001F7A92">
        <w:rPr>
          <w:b/>
          <w:i/>
          <w:iCs/>
          <w:sz w:val="24"/>
          <w:szCs w:val="24"/>
        </w:rPr>
        <w:t xml:space="preserve"> (зі змінами)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66222B40" w14:textId="77777777" w:rsidR="00E94376" w:rsidRDefault="001F7A92" w:rsidP="001F7A92">
            <w:pPr>
              <w:pStyle w:val="a7"/>
              <w:shd w:val="clear" w:color="auto" w:fill="auto"/>
              <w:rPr>
                <w:i/>
                <w:color w:val="auto"/>
                <w:sz w:val="24"/>
                <w:szCs w:val="24"/>
                <w:lang w:bidi="ar-SA"/>
              </w:rPr>
            </w:pPr>
            <w:r w:rsidRPr="001F7A92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C55118" w:rsidRPr="001F7A92">
              <w:rPr>
                <w:i/>
                <w:sz w:val="24"/>
                <w:szCs w:val="24"/>
              </w:rPr>
              <w:t>«АВТОМОБІЛЬНА ГРУПА «БОГДАН»</w:t>
            </w:r>
            <w:r w:rsidR="000B1E6A" w:rsidRPr="001F7A92">
              <w:rPr>
                <w:i/>
                <w:sz w:val="24"/>
                <w:szCs w:val="24"/>
              </w:rPr>
              <w:t xml:space="preserve"> (</w:t>
            </w:r>
            <w:r w:rsidR="00FF0A55" w:rsidRPr="001F7A92">
              <w:rPr>
                <w:i/>
                <w:sz w:val="24"/>
                <w:szCs w:val="24"/>
              </w:rPr>
              <w:t>ЄДРПОУ</w:t>
            </w:r>
            <w:r w:rsidR="002B5778" w:rsidRPr="001F7A92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1F7A92">
              <w:rPr>
                <w:i/>
                <w:color w:val="auto"/>
                <w:sz w:val="24"/>
                <w:szCs w:val="24"/>
                <w:lang w:val="ru-RU" w:bidi="ar-SA"/>
              </w:rPr>
              <w:t>32347815</w:t>
            </w:r>
            <w:r w:rsidR="000B1E6A" w:rsidRPr="001F7A92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  <w:p w14:paraId="3F99415B" w14:textId="1E20A9E3" w:rsidR="00FF06C3" w:rsidRPr="000B1E6A" w:rsidRDefault="00FF06C3" w:rsidP="001F7A92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1F7A9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1F7A92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1F7A9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1F7A9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19391D25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1F7A9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35540835" w14:textId="77777777" w:rsidR="00FF06C3" w:rsidRPr="00FF06C3" w:rsidRDefault="00FF06C3" w:rsidP="00FF06C3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АРЗУМАНЯН РУДОЛЬФ ЧЕРКЕЗОВИЧ</w:t>
            </w:r>
          </w:p>
          <w:p w14:paraId="73CBB63D" w14:textId="56334A74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місто Київ,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                       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 Кіквідзе</w:t>
            </w:r>
          </w:p>
          <w:p w14:paraId="691B2BF5" w14:textId="7777777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100 370,00 грн</w:t>
            </w:r>
          </w:p>
          <w:p w14:paraId="52724220" w14:textId="7777777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2,0000%</w:t>
            </w:r>
          </w:p>
          <w:p w14:paraId="045FA397" w14:textId="05666FB2" w:rsidR="00FF06C3" w:rsidRPr="00FF06C3" w:rsidRDefault="00801138" w:rsidP="00FF06C3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hyperlink r:id="rId11" w:history="1">
              <w:r w:rsid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П</w:t>
              </w:r>
              <w:r w:rsidR="00FF06C3" w:rsidRP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ублічне акціонерне товариство</w:t>
              </w:r>
              <w:r w:rsid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 xml:space="preserve"> «</w:t>
              </w:r>
              <w:r w:rsidR="00FF06C3" w:rsidRP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ЗАКРИТИЙ НЕДИВЕРСИФІКОВАНИЙ КО</w:t>
              </w:r>
              <w:r w:rsid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РПОРАТИВНИЙ ІНВЕСТИЦІЙНИЙ ФОНД «</w:t>
              </w:r>
              <w:r w:rsidR="00FF06C3" w:rsidRP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СОВА</w:t>
              </w:r>
              <w:r w:rsid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»</w:t>
              </w:r>
            </w:hyperlink>
            <w:r w:rsidR="00FF06C3"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</w:p>
          <w:p w14:paraId="641382CA" w14:textId="7777777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Код ЄДРПОУ засновника: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34294419</w:t>
            </w:r>
          </w:p>
          <w:p w14:paraId="5B8D5C4B" w14:textId="6784850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Україна,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місто Київ,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                                  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 Електриків</w:t>
            </w:r>
          </w:p>
          <w:p w14:paraId="591A8C13" w14:textId="7777777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186 688,20 грн</w:t>
            </w:r>
          </w:p>
          <w:p w14:paraId="6A7CA525" w14:textId="7777777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3,7200%</w:t>
            </w:r>
          </w:p>
          <w:p w14:paraId="4AD85A07" w14:textId="3EFC98DD" w:rsidR="00FF06C3" w:rsidRPr="00FF06C3" w:rsidRDefault="00801138" w:rsidP="00FF06C3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hyperlink r:id="rId12" w:history="1">
              <w:r w:rsid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Д</w:t>
              </w:r>
              <w:r w:rsidR="00FF06C3" w:rsidRP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очірнє підприємство</w:t>
              </w:r>
              <w:r w:rsid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 xml:space="preserve"> «</w:t>
              </w:r>
              <w:r w:rsidR="00FF06C3" w:rsidRP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ЯРОСЛАВЬ</w:t>
              </w:r>
              <w:r w:rsid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»</w:t>
              </w:r>
            </w:hyperlink>
            <w:r w:rsidR="00FF06C3"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</w:p>
          <w:p w14:paraId="6902935C" w14:textId="7777777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Код ЄДРПОУ засновника: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30729372</w:t>
            </w:r>
          </w:p>
          <w:p w14:paraId="22DC21F1" w14:textId="662267EE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місто Київ,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                                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вулиця Новокостянтинівська</w:t>
            </w:r>
          </w:p>
          <w:p w14:paraId="720ED524" w14:textId="7777777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1 783 311,20 грн</w:t>
            </w:r>
          </w:p>
          <w:p w14:paraId="3E13C7EE" w14:textId="50396ECD" w:rsid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35,5347%</w:t>
            </w:r>
          </w:p>
          <w:p w14:paraId="34E8C039" w14:textId="77777777" w:rsidR="00FF06C3" w:rsidRPr="00FF06C3" w:rsidRDefault="00FF06C3" w:rsidP="00FF06C3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КОТЯК ЄВГЕН ГЕОРГІЙОВИЧ</w:t>
            </w:r>
          </w:p>
          <w:p w14:paraId="60232A77" w14:textId="67F99F1B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Україна, 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місто Київ, </w:t>
            </w:r>
            <w:r w:rsidR="00F04D9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                               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 Раїси Окіпної</w:t>
            </w:r>
          </w:p>
          <w:p w14:paraId="4020F651" w14:textId="7777777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1 430 536,20 грн</w:t>
            </w:r>
          </w:p>
          <w:p w14:paraId="4B964828" w14:textId="7777777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28,5053%</w:t>
            </w:r>
          </w:p>
          <w:p w14:paraId="5F5B125A" w14:textId="77777777" w:rsidR="00FF06C3" w:rsidRPr="00FF06C3" w:rsidRDefault="00FF06C3" w:rsidP="00FF06C3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ГЛАДКОВСЬКИЙ МИХАЙЛО ОЛЕГОВИЧ</w:t>
            </w:r>
          </w:p>
          <w:p w14:paraId="43DBEF25" w14:textId="70EC591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Україна, 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місто Київ, </w:t>
            </w:r>
            <w:r w:rsidR="00F04D9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                                   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 Ірининська</w:t>
            </w:r>
            <w:r w:rsidR="00903408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</w:t>
            </w:r>
          </w:p>
          <w:p w14:paraId="67724039" w14:textId="7777777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310 143,30 грн</w:t>
            </w:r>
          </w:p>
          <w:p w14:paraId="2516A61F" w14:textId="7777777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6,1800%</w:t>
            </w:r>
          </w:p>
          <w:p w14:paraId="70EFBDD0" w14:textId="76C661C7" w:rsidR="00FF06C3" w:rsidRPr="00FF06C3" w:rsidRDefault="00801138" w:rsidP="00FF06C3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hyperlink r:id="rId13" w:history="1">
              <w:r w:rsidR="00F04D96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Т</w:t>
              </w:r>
              <w:r w:rsidR="00F04D96" w:rsidRP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овариство з обмеженою відповідальністю</w:t>
              </w:r>
              <w:r w:rsidR="00903408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 xml:space="preserve">      </w:t>
              </w:r>
              <w:r w:rsidR="00F04D96" w:rsidRP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 xml:space="preserve"> </w:t>
              </w:r>
              <w:r w:rsidR="00F04D96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«</w:t>
              </w:r>
              <w:r w:rsidR="00FF06C3" w:rsidRPr="00FF06C3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АВТОРІТЕЙЛ АСИСТАНС</w:t>
              </w:r>
              <w:r w:rsidR="00F04D96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»</w:t>
              </w:r>
            </w:hyperlink>
            <w:r w:rsidR="00F04D96"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</w:p>
          <w:p w14:paraId="3851CA80" w14:textId="7777777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Код ЄДРПОУ засновника: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37974687</w:t>
            </w:r>
          </w:p>
          <w:p w14:paraId="34D266BE" w14:textId="5FE4918D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="00F04D9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Україна, 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місто Київ, </w:t>
            </w:r>
            <w:r w:rsidR="00F04D96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                                </w:t>
            </w:r>
            <w:r w:rsidR="00F04D96"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 Новокостянтинівська</w:t>
            </w:r>
          </w:p>
          <w:p w14:paraId="06BC637D" w14:textId="77777777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1 207 451,10 грн</w:t>
            </w:r>
          </w:p>
          <w:p w14:paraId="465C91FA" w14:textId="242F9820" w:rsidR="00FF06C3" w:rsidRPr="00FF06C3" w:rsidRDefault="00FF06C3" w:rsidP="00FF06C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FF06C3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24,0600%</w:t>
            </w:r>
          </w:p>
          <w:p w14:paraId="6643096C" w14:textId="1181A2ED" w:rsidR="00E94376" w:rsidRPr="00123E08" w:rsidRDefault="00E94376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lastRenderedPageBreak/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84C3BD7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70057491" w14:textId="21FBC4FD" w:rsidR="00E97E1A" w:rsidRPr="00E97E1A" w:rsidRDefault="00E97E1A" w:rsidP="00E97E1A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E97E1A">
              <w:rPr>
                <w:rStyle w:val="name"/>
                <w:b/>
                <w:i/>
                <w:bdr w:val="none" w:sz="0" w:space="0" w:color="auto" w:frame="1"/>
                <w:lang w:val="uk-UA"/>
              </w:rPr>
              <w:t>КОТЯК ЄВГЕН ГЕОРГІЙОВИЧ</w:t>
            </w:r>
            <w:r>
              <w:rPr>
                <w:b/>
                <w:i/>
                <w:lang w:val="uk-UA"/>
              </w:rPr>
              <w:br/>
              <w:t>Україна,</w:t>
            </w:r>
            <w:r w:rsidRPr="00E97E1A">
              <w:rPr>
                <w:b/>
                <w:i/>
                <w:lang w:val="uk-UA"/>
              </w:rPr>
              <w:t xml:space="preserve"> місто Київ, вул.</w:t>
            </w:r>
            <w:r>
              <w:rPr>
                <w:b/>
                <w:i/>
                <w:lang w:val="uk-UA"/>
              </w:rPr>
              <w:t xml:space="preserve"> </w:t>
            </w:r>
            <w:r w:rsidR="00903408">
              <w:rPr>
                <w:b/>
                <w:i/>
                <w:lang w:val="uk-UA"/>
              </w:rPr>
              <w:t>Окіпної Раїси</w:t>
            </w:r>
          </w:p>
          <w:p w14:paraId="1C55DC85" w14:textId="77777777" w:rsidR="00E97E1A" w:rsidRPr="00E97E1A" w:rsidRDefault="00E97E1A" w:rsidP="00E97E1A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E97E1A">
              <w:rPr>
                <w:rStyle w:val="text-grey"/>
                <w:b/>
                <w:i/>
                <w:bdr w:val="none" w:sz="0" w:space="0" w:color="auto" w:frame="1"/>
              </w:rPr>
              <w:t>Тип бенефіціарного володіння: </w:t>
            </w:r>
            <w:r w:rsidRPr="00E97E1A">
              <w:rPr>
                <w:b/>
                <w:i/>
              </w:rPr>
              <w:t>Прямий вирішальний вплив</w:t>
            </w:r>
          </w:p>
          <w:p w14:paraId="24F9A386" w14:textId="77777777" w:rsidR="00E97E1A" w:rsidRPr="00E97E1A" w:rsidRDefault="00E97E1A" w:rsidP="00E97E1A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E97E1A">
              <w:rPr>
                <w:rStyle w:val="text-grey"/>
                <w:b/>
                <w:i/>
                <w:bdr w:val="none" w:sz="0" w:space="0" w:color="auto" w:frame="1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E97E1A">
              <w:rPr>
                <w:b/>
                <w:i/>
              </w:rPr>
              <w:t>28.51</w:t>
            </w:r>
          </w:p>
          <w:p w14:paraId="1C7A8B69" w14:textId="1E66FD05" w:rsidR="00E94376" w:rsidRPr="00E97E1A" w:rsidRDefault="00E94376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E97E1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4DC641ED" w14:textId="3EB39525" w:rsidR="00E94376" w:rsidRDefault="00E94376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554A4A">
              <w:rPr>
                <w:b/>
                <w:i/>
                <w:sz w:val="24"/>
                <w:szCs w:val="24"/>
              </w:rPr>
              <w:t xml:space="preserve">від </w:t>
            </w:r>
            <w:r w:rsidR="00554A4A" w:rsidRPr="00554A4A">
              <w:rPr>
                <w:b/>
                <w:i/>
                <w:sz w:val="24"/>
                <w:szCs w:val="24"/>
              </w:rPr>
              <w:t xml:space="preserve">27.01.2022 № 3 (зареєстроване від </w:t>
            </w:r>
            <w:r w:rsidR="001B1510" w:rsidRPr="00554A4A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07.02.2022</w:t>
            </w:r>
            <w:r w:rsidR="00905988" w:rsidRPr="00554A4A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554A4A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554A4A">
              <w:rPr>
                <w:b/>
                <w:i/>
                <w:sz w:val="24"/>
                <w:szCs w:val="24"/>
              </w:rPr>
              <w:t>340517675</w:t>
            </w:r>
            <w:r w:rsidR="00554A4A">
              <w:rPr>
                <w:b/>
                <w:i/>
                <w:sz w:val="24"/>
                <w:szCs w:val="24"/>
              </w:rPr>
              <w:t>) та від 05.01.2023 № 02 (зареєстроване 09.01.2023 №</w:t>
            </w:r>
            <w:r w:rsidR="005630AB">
              <w:rPr>
                <w:b/>
                <w:i/>
                <w:sz w:val="24"/>
                <w:szCs w:val="24"/>
              </w:rPr>
              <w:t xml:space="preserve"> </w:t>
            </w:r>
            <w:r w:rsidR="00554A4A">
              <w:rPr>
                <w:b/>
                <w:i/>
                <w:sz w:val="24"/>
                <w:szCs w:val="24"/>
              </w:rPr>
              <w:t>057/154)</w:t>
            </w:r>
          </w:p>
          <w:p w14:paraId="3026A563" w14:textId="15BB4EAF" w:rsidR="00E97E1A" w:rsidRPr="00554A4A" w:rsidRDefault="00E97E1A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8000000000:85:278:0027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05BB4479" w14:textId="77777777" w:rsidR="008A338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Новокостянтинівська, 1  у Подільському районі</w:t>
            </w:r>
          </w:p>
          <w:p w14:paraId="64EB4E00" w14:textId="01F3EC42" w:rsidR="00E97E1A" w:rsidRPr="006200AE" w:rsidRDefault="00E97E1A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1F7A92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2FA8E483" w14:textId="77777777" w:rsidR="008A338E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iCs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0,0949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FF06C3">
              <w:rPr>
                <w:b/>
                <w:i/>
                <w:iCs/>
                <w:sz w:val="24"/>
                <w:szCs w:val="24"/>
              </w:rPr>
              <w:t xml:space="preserve"> (в межах червоних ліній)</w:t>
            </w:r>
          </w:p>
          <w:p w14:paraId="08E0CD8B" w14:textId="2A2384C3" w:rsidR="00E97E1A" w:rsidRPr="00037B84" w:rsidRDefault="00E97E1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</w:p>
        </w:tc>
      </w:tr>
      <w:tr w:rsidR="008A338E" w:rsidRPr="00037B84" w14:paraId="4D0D82D3" w14:textId="77777777" w:rsidTr="00FF06C3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F06C3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6B90ADAC" w14:textId="424C51FB" w:rsidR="008A338E" w:rsidRDefault="00CC4E46" w:rsidP="00BD421F">
            <w:pPr>
              <w:pStyle w:val="a4"/>
              <w:shd w:val="clear" w:color="auto" w:fill="auto"/>
              <w:ind w:left="1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D93228">
              <w:rPr>
                <w:b/>
                <w:i/>
                <w:sz w:val="24"/>
                <w:szCs w:val="24"/>
                <w:lang w:val="ru-RU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  <w:r w:rsidR="00D93228">
              <w:rPr>
                <w:b/>
                <w:i/>
                <w:sz w:val="24"/>
                <w:szCs w:val="24"/>
              </w:rPr>
              <w:t>(</w:t>
            </w:r>
            <w:r w:rsidR="00BD421F">
              <w:rPr>
                <w:b/>
                <w:i/>
                <w:sz w:val="24"/>
                <w:szCs w:val="24"/>
              </w:rPr>
              <w:t>без права капітальної забудови)</w:t>
            </w:r>
          </w:p>
          <w:p w14:paraId="779FEB29" w14:textId="56E35DC2" w:rsidR="00E97E1A" w:rsidRPr="00123E08" w:rsidRDefault="00E97E1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1103AAE8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FF06C3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28446CCB" w14:textId="77777777" w:rsidR="00E97E1A" w:rsidRDefault="00FF06C3" w:rsidP="00E97E1A">
            <w:pPr>
              <w:pStyle w:val="a4"/>
              <w:shd w:val="clear" w:color="auto" w:fill="auto"/>
              <w:ind w:left="13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  <w:lang w:val="ru-RU"/>
              </w:rPr>
              <w:t>е визначено (</w:t>
            </w:r>
            <w:r w:rsidR="00C55118" w:rsidRPr="001F7A92">
              <w:rPr>
                <w:b/>
                <w:i/>
                <w:sz w:val="24"/>
                <w:szCs w:val="24"/>
                <w:lang w:val="ru-RU"/>
              </w:rPr>
              <w:t>для будівництва, експлуатації та обслуговування торговельно-офісних приміщень</w:t>
            </w:r>
            <w:r>
              <w:rPr>
                <w:b/>
                <w:i/>
                <w:sz w:val="24"/>
                <w:szCs w:val="24"/>
                <w:lang w:val="ru-RU"/>
              </w:rPr>
              <w:t>)</w:t>
            </w:r>
          </w:p>
          <w:p w14:paraId="09E50292" w14:textId="1B76666F" w:rsidR="006764C8" w:rsidRPr="001F7A92" w:rsidRDefault="00C55118" w:rsidP="00E97E1A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1F7A9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7298A8AD" w:rsidR="006D7E33" w:rsidRDefault="00BA1121" w:rsidP="00FF0A55">
            <w:pPr>
              <w:pStyle w:val="a4"/>
              <w:shd w:val="clear" w:color="auto" w:fill="auto"/>
              <w:ind w:left="134"/>
              <w:jc w:val="both"/>
              <w:rPr>
                <w:rStyle w:val="ad"/>
                <w:b/>
                <w:sz w:val="24"/>
                <w:szCs w:val="24"/>
                <w:shd w:val="clear" w:color="auto" w:fill="FFFFFF"/>
              </w:rPr>
            </w:pPr>
            <w:r w:rsidRPr="00BA1121">
              <w:rPr>
                <w:rStyle w:val="ad"/>
                <w:b/>
                <w:sz w:val="24"/>
                <w:szCs w:val="24"/>
                <w:shd w:val="clear" w:color="auto" w:fill="FFFFFF"/>
              </w:rPr>
              <w:t>6 264 459,07 грн</w:t>
            </w:r>
            <w:r w:rsidR="00645A43">
              <w:rPr>
                <w:rStyle w:val="ad"/>
                <w:b/>
                <w:sz w:val="24"/>
                <w:szCs w:val="24"/>
                <w:shd w:val="clear" w:color="auto" w:fill="FFFFFF"/>
              </w:rPr>
              <w:t xml:space="preserve"> (до визначення в Державному земельному кадастрі</w:t>
            </w:r>
            <w:r>
              <w:rPr>
                <w:rStyle w:val="ad"/>
                <w:b/>
                <w:sz w:val="24"/>
                <w:szCs w:val="24"/>
                <w:shd w:val="clear" w:color="auto" w:fill="FFFFFF"/>
              </w:rPr>
              <w:t xml:space="preserve"> коду виду цільового призначення);</w:t>
            </w:r>
          </w:p>
          <w:p w14:paraId="0DCAEE6E" w14:textId="644AA225" w:rsidR="006D7E33" w:rsidRPr="00056A2A" w:rsidRDefault="00BA1121" w:rsidP="00BA1121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BA1121">
              <w:rPr>
                <w:rStyle w:val="ad"/>
                <w:b/>
                <w:sz w:val="24"/>
                <w:szCs w:val="24"/>
                <w:shd w:val="clear" w:color="auto" w:fill="FFFFFF"/>
              </w:rPr>
              <w:t>5 220 382, 55 грн</w:t>
            </w:r>
            <w:r>
              <w:rPr>
                <w:rStyle w:val="ad"/>
                <w:b/>
                <w:sz w:val="24"/>
                <w:szCs w:val="24"/>
                <w:shd w:val="clear" w:color="auto" w:fill="FFFFFF"/>
              </w:rPr>
              <w:t xml:space="preserve"> (з кодом виду цільового призначення 03.07               або 03.10)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2261E5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2261E5">
              <w:rPr>
                <w:i/>
                <w:sz w:val="24"/>
                <w:szCs w:val="24"/>
              </w:rPr>
              <w:t xml:space="preserve">Наявність будівель і </w:t>
            </w:r>
            <w:r w:rsidRPr="002261E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261E5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2261E5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6C78F5BE" w14:textId="481FC67C" w:rsidR="002261E5" w:rsidRPr="00BD421F" w:rsidRDefault="00AC7361" w:rsidP="002261E5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BD421F">
              <w:rPr>
                <w:b w:val="0"/>
                <w:i/>
                <w:color w:val="000000" w:themeColor="text1"/>
                <w:sz w:val="24"/>
                <w:szCs w:val="24"/>
              </w:rPr>
              <w:t>Вільна від капітальних будівель і споруд</w:t>
            </w:r>
            <w:r w:rsidR="00DA0BAF">
              <w:rPr>
                <w:b w:val="0"/>
                <w:i/>
                <w:color w:val="000000" w:themeColor="text1"/>
                <w:sz w:val="24"/>
                <w:szCs w:val="24"/>
              </w:rPr>
              <w:t>.</w:t>
            </w:r>
            <w:r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261E5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Земельна </w:t>
            </w:r>
            <w:r w:rsidR="00DA0BA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2261E5" w:rsidRPr="00BD421F">
              <w:rPr>
                <w:b w:val="0"/>
                <w:i/>
                <w:color w:val="000000" w:themeColor="text1"/>
                <w:sz w:val="24"/>
                <w:szCs w:val="24"/>
              </w:rPr>
              <w:t>ділянка частково огороджена</w:t>
            </w:r>
            <w:r w:rsidR="007311CB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261E5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парканом спільно з </w:t>
            </w:r>
            <w:r w:rsidR="00DA0BA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                  </w:t>
            </w:r>
            <w:r w:rsidR="002261E5" w:rsidRPr="00BD421F">
              <w:rPr>
                <w:b w:val="0"/>
                <w:i/>
                <w:color w:val="000000" w:themeColor="text1"/>
                <w:sz w:val="24"/>
                <w:szCs w:val="24"/>
              </w:rPr>
              <w:t>суміжними земельними ділянками (кадастрові номери 8000000000:85</w:t>
            </w:r>
            <w:r w:rsidR="00783A74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:278:0029, 8000000000:85:278:0035), які </w:t>
            </w:r>
            <w:r w:rsidR="00DA5B56" w:rsidRPr="00BD421F">
              <w:rPr>
                <w:b w:val="0"/>
                <w:i/>
                <w:color w:val="000000" w:themeColor="text1"/>
                <w:sz w:val="24"/>
                <w:szCs w:val="24"/>
              </w:rPr>
              <w:t>разом</w:t>
            </w:r>
            <w:r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A5B56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з цією земельною ділянкою</w:t>
            </w:r>
            <w:r w:rsidR="00783A74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передавались в</w:t>
            </w:r>
            <w:r w:rsidR="00DA5B56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83A74" w:rsidRPr="00BD421F">
              <w:rPr>
                <w:b w:val="0"/>
                <w:i/>
                <w:color w:val="000000" w:themeColor="text1"/>
                <w:sz w:val="24"/>
                <w:szCs w:val="24"/>
              </w:rPr>
              <w:t>оренду товариству з обмеженою відповідальністю «АВТОМОБІЛЬНА ГРУПА «БОГДАН»</w:t>
            </w:r>
            <w:r w:rsidR="00DA5B56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83A74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(далі – ТОВ «БОГДАН «АГ» </w:t>
            </w:r>
            <w:r w:rsidR="002261E5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(акт обстеження</w:t>
            </w:r>
            <w:r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             </w:t>
            </w:r>
            <w:r w:rsidR="002261E5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83A74" w:rsidRPr="00BD421F">
              <w:rPr>
                <w:b w:val="0"/>
                <w:i/>
                <w:color w:val="000000" w:themeColor="text1"/>
                <w:sz w:val="24"/>
                <w:szCs w:val="24"/>
              </w:rPr>
              <w:t>від 31.05.2022 № 22-0116</w:t>
            </w:r>
            <w:r w:rsidR="002261E5" w:rsidRPr="00BD421F">
              <w:rPr>
                <w:b w:val="0"/>
                <w:i/>
                <w:color w:val="000000" w:themeColor="text1"/>
                <w:sz w:val="24"/>
                <w:szCs w:val="24"/>
              </w:rPr>
              <w:t>/</w:t>
            </w:r>
            <w:r w:rsidR="00783A74" w:rsidRPr="00BD421F">
              <w:rPr>
                <w:b w:val="0"/>
                <w:i/>
                <w:color w:val="000000" w:themeColor="text1"/>
                <w:sz w:val="24"/>
                <w:szCs w:val="24"/>
              </w:rPr>
              <w:t>07</w:t>
            </w:r>
            <w:r w:rsidR="002261E5" w:rsidRPr="00BD421F">
              <w:rPr>
                <w:b w:val="0"/>
                <w:i/>
                <w:color w:val="000000" w:themeColor="text1"/>
                <w:sz w:val="24"/>
                <w:szCs w:val="24"/>
              </w:rPr>
              <w:t>).</w:t>
            </w:r>
          </w:p>
          <w:p w14:paraId="53D11ECE" w14:textId="081EFDC8" w:rsidR="00DA0BAF" w:rsidRDefault="007311CB" w:rsidP="00645A4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Відповідно до договору купівлі-продажу майна </w:t>
            </w:r>
            <w:r w:rsidR="005322FE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Pr="00BD421F">
              <w:rPr>
                <w:b w:val="0"/>
                <w:i/>
                <w:color w:val="000000" w:themeColor="text1"/>
                <w:sz w:val="24"/>
                <w:szCs w:val="24"/>
              </w:rPr>
              <w:t>від 12.07.2006 № 2545 власністю ТОВ «БОГДАН» АГ»</w:t>
            </w:r>
            <w:r w:rsidR="005322FE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на                                                  вул. Новокостянтинівській, 1 </w:t>
            </w:r>
            <w:r w:rsidR="009E6606">
              <w:rPr>
                <w:b w:val="0"/>
                <w:i/>
                <w:color w:val="000000" w:themeColor="text1"/>
                <w:sz w:val="24"/>
                <w:szCs w:val="24"/>
              </w:rPr>
              <w:t>є</w:t>
            </w:r>
            <w:r w:rsidR="004A5531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павільйон (літ. Д) площею 366,60 кв. м, </w:t>
            </w:r>
            <w:r w:rsidR="00D93228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а також </w:t>
            </w:r>
            <w:r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склад-ангар площею 540,6 кв. м та будівля для обслуговування </w:t>
            </w:r>
            <w:r w:rsidR="005322FE"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D421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складу з електрощитовою площею </w:t>
            </w:r>
            <w:r w:rsidR="00D93228" w:rsidRPr="00BD421F">
              <w:rPr>
                <w:b w:val="0"/>
                <w:i/>
                <w:color w:val="000000" w:themeColor="text1"/>
                <w:sz w:val="24"/>
                <w:szCs w:val="24"/>
              </w:rPr>
              <w:t>98,5 кв. м, що не є капітальними спорудами.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506E57A9" w14:textId="7DC6EF23" w:rsidR="00823CCF" w:rsidRPr="007311CB" w:rsidRDefault="007311CB" w:rsidP="00645A4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823CCF" w:rsidRPr="00037B84" w14:paraId="411B143D" w14:textId="77777777" w:rsidTr="00593FA3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2261E5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2261E5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E3EB15C" w14:textId="77777777" w:rsidR="00823CCF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261E5">
              <w:rPr>
                <w:b w:val="0"/>
                <w:i/>
                <w:sz w:val="24"/>
                <w:szCs w:val="24"/>
              </w:rPr>
              <w:t>Де</w:t>
            </w:r>
            <w:r w:rsidR="00593FA3">
              <w:rPr>
                <w:b w:val="0"/>
                <w:i/>
                <w:sz w:val="24"/>
                <w:szCs w:val="24"/>
              </w:rPr>
              <w:t>тальний план території не затверджений</w:t>
            </w:r>
            <w:r w:rsidRPr="002261E5">
              <w:rPr>
                <w:b w:val="0"/>
                <w:i/>
                <w:sz w:val="24"/>
                <w:szCs w:val="24"/>
              </w:rPr>
              <w:t>.</w:t>
            </w:r>
          </w:p>
          <w:p w14:paraId="112E87C4" w14:textId="20D4C963" w:rsidR="00593FA3" w:rsidRPr="002261E5" w:rsidRDefault="00593FA3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2261E5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261E5">
              <w:rPr>
                <w:i/>
                <w:sz w:val="24"/>
                <w:szCs w:val="24"/>
              </w:rPr>
              <w:t xml:space="preserve"> </w:t>
            </w:r>
            <w:r w:rsidR="00823CCF" w:rsidRPr="002261E5">
              <w:rPr>
                <w:i/>
                <w:sz w:val="24"/>
                <w:szCs w:val="24"/>
              </w:rPr>
              <w:t>Функціональне</w:t>
            </w:r>
            <w:r w:rsidR="00037B84" w:rsidRPr="002261E5">
              <w:rPr>
                <w:i/>
                <w:sz w:val="24"/>
                <w:szCs w:val="24"/>
              </w:rPr>
              <w:t xml:space="preserve"> </w:t>
            </w:r>
            <w:r w:rsidRPr="002261E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2261E5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2261E5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2261E5">
              <w:rPr>
                <w:i/>
                <w:sz w:val="24"/>
                <w:szCs w:val="24"/>
              </w:rPr>
              <w:t>п</w:t>
            </w:r>
            <w:r w:rsidR="00823CCF" w:rsidRPr="002261E5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261E5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2261E5">
              <w:rPr>
                <w:i/>
                <w:sz w:val="24"/>
                <w:szCs w:val="24"/>
              </w:rPr>
              <w:t xml:space="preserve">згідно </w:t>
            </w:r>
            <w:r w:rsidR="004D4B3C" w:rsidRPr="002261E5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3B8F9257" w:rsidR="00823CCF" w:rsidRPr="00996EB3" w:rsidRDefault="00996EB3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96EB3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Території промислові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2261E5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2261E5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3E7C786" w14:textId="77777777" w:rsidR="00914B29" w:rsidRDefault="006A19DF" w:rsidP="00914B2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261E5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2261E5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2261E5">
              <w:rPr>
                <w:b w:val="0"/>
                <w:i/>
                <w:sz w:val="24"/>
                <w:szCs w:val="24"/>
              </w:rPr>
              <w:t>перебуває у комунальній власності тер</w:t>
            </w:r>
            <w:r w:rsidR="00914B29">
              <w:rPr>
                <w:b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29A0A9CE" w14:textId="77777777" w:rsidR="00823CCF" w:rsidRDefault="006A19DF" w:rsidP="00914B2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261E5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2261E5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2261E5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2261E5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2261E5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2261E5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2261E5">
              <w:rPr>
                <w:b w:val="0"/>
                <w:i/>
                <w:sz w:val="24"/>
                <w:szCs w:val="24"/>
              </w:rPr>
              <w:t>-</w:t>
            </w:r>
            <w:r w:rsidRPr="002261E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2261E5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не визначено</w:t>
            </w:r>
            <w:r w:rsidRPr="002261E5">
              <w:rPr>
                <w:b w:val="0"/>
                <w:i/>
                <w:sz w:val="24"/>
                <w:szCs w:val="24"/>
              </w:rPr>
              <w:t>.</w:t>
            </w:r>
          </w:p>
          <w:p w14:paraId="0EC5BAC8" w14:textId="38A4E98D" w:rsidR="00996EB3" w:rsidRPr="00907FF6" w:rsidRDefault="00996EB3" w:rsidP="00914B29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996EB3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996EB3" w:rsidRPr="002261E5" w:rsidRDefault="00996EB3" w:rsidP="00996EB3">
            <w:pPr>
              <w:pStyle w:val="a7"/>
              <w:ind w:left="-120"/>
              <w:rPr>
                <w:i/>
                <w:sz w:val="24"/>
                <w:szCs w:val="24"/>
                <w:lang w:val="en-US"/>
              </w:rPr>
            </w:pPr>
            <w:r w:rsidRPr="002261E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261E5">
              <w:rPr>
                <w:i/>
                <w:sz w:val="24"/>
                <w:szCs w:val="24"/>
              </w:rPr>
              <w:t xml:space="preserve">Розташування в зеленій </w:t>
            </w:r>
            <w:r w:rsidRPr="002261E5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996EB3" w:rsidRPr="00037B84" w:rsidRDefault="00996EB3" w:rsidP="00996EB3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261E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2261E5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468722F8" w14:textId="77777777" w:rsidR="00996EB3" w:rsidRDefault="00996EB3" w:rsidP="00996EB3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Не відноси</w:t>
            </w:r>
            <w:r w:rsidRPr="00AA3690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  <w:p w14:paraId="32C67EBC" w14:textId="501B688F" w:rsidR="00F328BA" w:rsidRPr="002261E5" w:rsidRDefault="00F328BA" w:rsidP="00996EB3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BD421F" w:rsidRPr="00037B84" w14:paraId="1AD55715" w14:textId="77777777" w:rsidTr="00430CA4">
        <w:trPr>
          <w:cantSplit/>
          <w:trHeight w:val="1413"/>
        </w:trPr>
        <w:tc>
          <w:tcPr>
            <w:tcW w:w="2972" w:type="dxa"/>
          </w:tcPr>
          <w:p w14:paraId="311CC8E9" w14:textId="41421FFE" w:rsidR="00BD421F" w:rsidRPr="002261E5" w:rsidRDefault="00BD421F" w:rsidP="00996EB3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261E5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4E186820" w14:textId="77777777" w:rsidR="00BD421F" w:rsidRPr="00996EB3" w:rsidRDefault="00BD421F" w:rsidP="00BD421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96EB3">
              <w:rPr>
                <w:rFonts w:ascii="Times New Roman" w:eastAsia="Times New Roman" w:hAnsi="Times New Roman" w:cs="Times New Roman"/>
                <w:bCs/>
                <w:i/>
              </w:rPr>
              <w:t xml:space="preserve">Рішенням Київської міської ради від 27.11.2008 № 679/679 передбачено </w:t>
            </w:r>
            <w:r w:rsidRPr="00996EB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передати </w:t>
            </w:r>
            <w:r w:rsidRPr="00996EB3">
              <w:rPr>
                <w:rFonts w:ascii="Times New Roman" w:hAnsi="Times New Roman" w:cs="Times New Roman"/>
                <w:i/>
              </w:rPr>
              <w:t>ТОВ «БОГДАН» АГ»</w:t>
            </w:r>
            <w:r w:rsidRPr="00996EB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земельні ділянки для будівництва, експлуатації та обслуговування торговельно-офісних приміщень на вул. Новокостянтинівській, 1 у Подільському районі м. Києва у зв'язку з переходом права власності  на  майно (договір  купівлі-продажу від  12.07.2006),  в тому  числі:  ділянку № 1 площею 0,10 га - в оренду на 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                      </w:t>
            </w:r>
            <w:r w:rsidRPr="00996EB3">
              <w:rPr>
                <w:rFonts w:ascii="Times New Roman" w:hAnsi="Times New Roman" w:cs="Times New Roman"/>
                <w:i/>
                <w:shd w:val="clear" w:color="auto" w:fill="FFFFFF"/>
              </w:rPr>
              <w:t>10  років; ділянку № 2  площею   0,09  га  (в   межах   червоних   ліній)   без    права капітальної забудови - в оренду на 5 років; ділянку № 3 площею 0,23 га - в оренду на 10 років.</w:t>
            </w:r>
          </w:p>
          <w:p w14:paraId="195F7110" w14:textId="6DC82C52" w:rsidR="00BD421F" w:rsidRDefault="00BD421F" w:rsidP="00BD4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96E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підставі цього рішення Київської міської ради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</w:t>
            </w:r>
            <w:r w:rsidRPr="00996E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укладено договір оренди від 11.05.2010 № 85-6-00480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</w:t>
            </w:r>
            <w:r w:rsidRPr="00996E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суміжних земельних </w:t>
            </w:r>
            <w:r w:rsidRPr="00996E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ділянок (кадастрові номери 8000000000:85:278:0029, 8000000000:</w:t>
            </w:r>
            <w:r w:rsidR="0003301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85:278:0035) з терміном оренди</w:t>
            </w:r>
            <w:r w:rsidRPr="00996E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 11.05.2020 та договір оренди від 11.05.2010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</w:t>
            </w:r>
            <w:r w:rsidRPr="00996E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85-6-00479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цієї</w:t>
            </w:r>
            <w:r w:rsidRPr="00996E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земельної ділянки (кадастровий номер 8000000000:85:278:0027) з терміном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оренди – до 11.05.2015, який н</w:t>
            </w:r>
            <w:r w:rsidRPr="00996E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а підставі висновку постійної комісії Київської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</w:t>
            </w:r>
            <w:r w:rsidRPr="00996E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міської ради з питань містобудування, архітектури та землекористування (протокол від 05.04.2016 № 9, справа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</w:t>
            </w:r>
            <w:r w:rsidRPr="00996E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А-21569) поновлено на 5 років договором від 1</w:t>
            </w:r>
            <w:r w:rsidR="0003301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5.05.2017 № 105 (термін оренди </w:t>
            </w:r>
            <w:r w:rsidRPr="00996E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 15.05.2022). </w:t>
            </w:r>
          </w:p>
          <w:p w14:paraId="7D8139B1" w14:textId="301DEDD7" w:rsidR="00BD421F" w:rsidRDefault="00BD421F" w:rsidP="00BD42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F83E37">
              <w:rPr>
                <w:rFonts w:ascii="Times New Roman" w:hAnsi="Times New Roman" w:cs="Times New Roman"/>
                <w:i/>
              </w:rPr>
              <w:t xml:space="preserve">роєкт </w:t>
            </w:r>
            <w:r>
              <w:rPr>
                <w:rFonts w:ascii="Times New Roman" w:hAnsi="Times New Roman" w:cs="Times New Roman"/>
                <w:i/>
              </w:rPr>
              <w:t xml:space="preserve">рішення Київської міської ради </w:t>
            </w:r>
            <w:r w:rsidRPr="00F83E37">
              <w:rPr>
                <w:rFonts w:ascii="Times New Roman" w:hAnsi="Times New Roman" w:cs="Times New Roman"/>
                <w:i/>
              </w:rPr>
              <w:t xml:space="preserve">від 01.12.2021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Pr="00F83E37">
              <w:rPr>
                <w:rFonts w:ascii="Times New Roman" w:hAnsi="Times New Roman" w:cs="Times New Roman"/>
                <w:i/>
              </w:rPr>
              <w:t xml:space="preserve">№ 08/231-4326/ПР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F83E37">
              <w:rPr>
                <w:rFonts w:ascii="Times New Roman" w:hAnsi="Times New Roman" w:cs="Times New Roman"/>
                <w:i/>
              </w:rPr>
              <w:t xml:space="preserve">ро поновлення </w:t>
            </w:r>
            <w:r>
              <w:rPr>
                <w:rFonts w:ascii="Times New Roman" w:hAnsi="Times New Roman" w:cs="Times New Roman"/>
                <w:i/>
              </w:rPr>
              <w:t>ТОВ</w:t>
            </w:r>
            <w:r w:rsidRPr="00F83E37">
              <w:rPr>
                <w:rFonts w:ascii="Times New Roman" w:hAnsi="Times New Roman" w:cs="Times New Roman"/>
                <w:i/>
              </w:rPr>
              <w:t xml:space="preserve"> «БОГДАН</w:t>
            </w:r>
            <w:r>
              <w:rPr>
                <w:rFonts w:ascii="Times New Roman" w:hAnsi="Times New Roman" w:cs="Times New Roman"/>
                <w:i/>
              </w:rPr>
              <w:t xml:space="preserve"> «АГ</w:t>
            </w:r>
            <w:r w:rsidRPr="00F83E37">
              <w:rPr>
                <w:rFonts w:ascii="Times New Roman" w:hAnsi="Times New Roman" w:cs="Times New Roman"/>
                <w:i/>
              </w:rPr>
              <w:t xml:space="preserve">» договору оренди </w:t>
            </w:r>
            <w:r>
              <w:rPr>
                <w:rFonts w:ascii="Times New Roman" w:hAnsi="Times New Roman" w:cs="Times New Roman"/>
                <w:i/>
              </w:rPr>
              <w:t xml:space="preserve">земельних ділянок від 11.05.2010 № 85-6-00480 (справа № </w:t>
            </w:r>
            <w:r w:rsidRPr="00F83E37">
              <w:rPr>
                <w:rFonts w:ascii="Times New Roman" w:hAnsi="Times New Roman" w:cs="Times New Roman"/>
                <w:i/>
              </w:rPr>
              <w:t>205966877</w:t>
            </w:r>
            <w:r>
              <w:rPr>
                <w:rFonts w:ascii="Times New Roman" w:hAnsi="Times New Roman" w:cs="Times New Roman"/>
                <w:i/>
              </w:rPr>
              <w:t xml:space="preserve">) </w:t>
            </w:r>
            <w:r w:rsidRPr="00F83E37">
              <w:rPr>
                <w:rFonts w:ascii="Times New Roman" w:hAnsi="Times New Roman" w:cs="Times New Roman"/>
                <w:i/>
              </w:rPr>
              <w:t>двічі не набрав голосів під час голосувань на пленарних засіданнях сесії Київської міської ради 25.08.2022 і 21.11.2022 та відповідно до частини шостої статті 37 Регламенту Київської міської ради, затвердженого рішенням</w:t>
            </w:r>
            <w:r w:rsidR="002329B1">
              <w:rPr>
                <w:rFonts w:ascii="Times New Roman" w:hAnsi="Times New Roman" w:cs="Times New Roman"/>
                <w:i/>
              </w:rPr>
              <w:t xml:space="preserve"> Київської міської ради </w:t>
            </w:r>
            <w:r w:rsidRPr="00F83E37">
              <w:rPr>
                <w:rFonts w:ascii="Times New Roman" w:hAnsi="Times New Roman" w:cs="Times New Roman"/>
                <w:i/>
              </w:rPr>
              <w:t xml:space="preserve"> від 04.11.2021 № 3135/3176 (зі змінами), вважається відхиленим. Подальший розгляд відхиленого проєкту рішення Київської міської ради або проєкту рішення Київської міської ради, який дослівно чи по суті повторює відхилений проєкт рішення, можливий на </w:t>
            </w:r>
            <w:r w:rsidR="002329B1">
              <w:rPr>
                <w:rFonts w:ascii="Times New Roman" w:hAnsi="Times New Roman" w:cs="Times New Roman"/>
                <w:i/>
              </w:rPr>
              <w:t xml:space="preserve">наступній після                   його відхилення    </w:t>
            </w:r>
            <w:r w:rsidR="002329B1" w:rsidRPr="00F83E37">
              <w:rPr>
                <w:rFonts w:ascii="Times New Roman" w:hAnsi="Times New Roman" w:cs="Times New Roman"/>
                <w:i/>
              </w:rPr>
              <w:t xml:space="preserve">сесії </w:t>
            </w:r>
            <w:r w:rsidR="002329B1">
              <w:rPr>
                <w:rFonts w:ascii="Times New Roman" w:hAnsi="Times New Roman" w:cs="Times New Roman"/>
                <w:i/>
              </w:rPr>
              <w:t xml:space="preserve">   </w:t>
            </w:r>
            <w:r w:rsidR="002329B1" w:rsidRPr="00F83E37">
              <w:rPr>
                <w:rFonts w:ascii="Times New Roman" w:hAnsi="Times New Roman" w:cs="Times New Roman"/>
                <w:i/>
              </w:rPr>
              <w:t xml:space="preserve">Київської </w:t>
            </w:r>
            <w:r w:rsidR="002329B1">
              <w:rPr>
                <w:rFonts w:ascii="Times New Roman" w:hAnsi="Times New Roman" w:cs="Times New Roman"/>
                <w:i/>
              </w:rPr>
              <w:t xml:space="preserve">   </w:t>
            </w:r>
            <w:r w:rsidR="002329B1" w:rsidRPr="00F83E37">
              <w:rPr>
                <w:rFonts w:ascii="Times New Roman" w:hAnsi="Times New Roman" w:cs="Times New Roman"/>
                <w:i/>
              </w:rPr>
              <w:t xml:space="preserve">міської </w:t>
            </w:r>
            <w:r w:rsidR="002329B1">
              <w:rPr>
                <w:rFonts w:ascii="Times New Roman" w:hAnsi="Times New Roman" w:cs="Times New Roman"/>
                <w:i/>
              </w:rPr>
              <w:t xml:space="preserve">   </w:t>
            </w:r>
            <w:r w:rsidR="002329B1" w:rsidRPr="00F83E37">
              <w:rPr>
                <w:rFonts w:ascii="Times New Roman" w:hAnsi="Times New Roman" w:cs="Times New Roman"/>
                <w:i/>
              </w:rPr>
              <w:t xml:space="preserve">ради </w:t>
            </w:r>
            <w:r w:rsidR="002329B1">
              <w:rPr>
                <w:rFonts w:ascii="Times New Roman" w:hAnsi="Times New Roman" w:cs="Times New Roman"/>
                <w:i/>
              </w:rPr>
              <w:t xml:space="preserve">   </w:t>
            </w:r>
            <w:r w:rsidR="002329B1" w:rsidRPr="00F83E37">
              <w:rPr>
                <w:rFonts w:ascii="Times New Roman" w:hAnsi="Times New Roman" w:cs="Times New Roman"/>
                <w:i/>
              </w:rPr>
              <w:t xml:space="preserve">в </w:t>
            </w:r>
            <w:r w:rsidR="002329B1">
              <w:rPr>
                <w:rFonts w:ascii="Times New Roman" w:hAnsi="Times New Roman" w:cs="Times New Roman"/>
                <w:i/>
              </w:rPr>
              <w:t xml:space="preserve">   </w:t>
            </w:r>
            <w:r w:rsidR="002329B1" w:rsidRPr="00F83E37">
              <w:rPr>
                <w:rFonts w:ascii="Times New Roman" w:hAnsi="Times New Roman" w:cs="Times New Roman"/>
                <w:i/>
              </w:rPr>
              <w:t xml:space="preserve">порядку,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</w:p>
          <w:p w14:paraId="3854733A" w14:textId="77777777" w:rsidR="00BD421F" w:rsidRDefault="00BD421F" w:rsidP="00996EB3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D93228" w:rsidRPr="00037B84" w14:paraId="5A7A7F01" w14:textId="77777777" w:rsidTr="00D93228">
        <w:trPr>
          <w:cantSplit/>
          <w:trHeight w:val="20"/>
        </w:trPr>
        <w:tc>
          <w:tcPr>
            <w:tcW w:w="2972" w:type="dxa"/>
          </w:tcPr>
          <w:p w14:paraId="758F4B99" w14:textId="752A6789" w:rsidR="00D93228" w:rsidRPr="002261E5" w:rsidRDefault="00D93228" w:rsidP="00996EB3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261E5">
              <w:rPr>
                <w:i/>
                <w:sz w:val="24"/>
                <w:szCs w:val="24"/>
              </w:rPr>
              <w:lastRenderedPageBreak/>
              <w:t>Інші особливості:</w:t>
            </w:r>
          </w:p>
        </w:tc>
        <w:tc>
          <w:tcPr>
            <w:tcW w:w="6662" w:type="dxa"/>
          </w:tcPr>
          <w:p w14:paraId="5A8C9273" w14:textId="510E117E" w:rsidR="00D93228" w:rsidRPr="004F0AA9" w:rsidRDefault="00D93228" w:rsidP="00996E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83E37">
              <w:rPr>
                <w:rFonts w:ascii="Times New Roman" w:hAnsi="Times New Roman" w:cs="Times New Roman"/>
                <w:i/>
              </w:rPr>
              <w:t>передбаченому статтями 29 - 31 вказаного Регламенту</w:t>
            </w:r>
            <w:r>
              <w:rPr>
                <w:rFonts w:ascii="Times New Roman" w:hAnsi="Times New Roman" w:cs="Times New Roman"/>
                <w:i/>
              </w:rPr>
              <w:t>, про що</w:t>
            </w:r>
            <w:r w:rsidR="002329B1">
              <w:rPr>
                <w:rFonts w:ascii="Times New Roman" w:hAnsi="Times New Roman" w:cs="Times New Roman"/>
                <w:i/>
              </w:rPr>
              <w:t xml:space="preserve">  </w:t>
            </w:r>
            <w:r w:rsidRPr="00996EB3">
              <w:rPr>
                <w:rFonts w:ascii="Times New Roman" w:hAnsi="Times New Roman" w:cs="Times New Roman"/>
                <w:i/>
              </w:rPr>
              <w:t>ТОВ «БОГДАН» АГ»</w:t>
            </w:r>
            <w:r>
              <w:rPr>
                <w:rFonts w:ascii="Times New Roman" w:hAnsi="Times New Roman" w:cs="Times New Roman"/>
                <w:i/>
              </w:rPr>
              <w:t xml:space="preserve"> інформовано листом </w:t>
            </w:r>
            <w:r w:rsidRPr="002261E5">
              <w:rPr>
                <w:rFonts w:ascii="Times New Roman" w:hAnsi="Times New Roman" w:cs="Times New Roman"/>
                <w:i/>
                <w:color w:val="auto"/>
              </w:rPr>
              <w:t>Департамент</w:t>
            </w:r>
            <w:r>
              <w:rPr>
                <w:rFonts w:ascii="Times New Roman" w:hAnsi="Times New Roman" w:cs="Times New Roman"/>
                <w:i/>
                <w:color w:val="auto"/>
              </w:rPr>
              <w:t>у</w:t>
            </w:r>
            <w:r w:rsidRPr="002261E5">
              <w:rPr>
                <w:rFonts w:ascii="Times New Roman" w:hAnsi="Times New Roman" w:cs="Times New Roman"/>
                <w:i/>
                <w:color w:val="auto"/>
              </w:rPr>
              <w:t xml:space="preserve"> земельних ресурсів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від 28.12.2022 № 05716-15489.</w:t>
            </w:r>
          </w:p>
          <w:p w14:paraId="6C4A8C42" w14:textId="77777777" w:rsidR="00D93228" w:rsidRDefault="00D93228" w:rsidP="00EB47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F17B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листом</w:t>
            </w:r>
            <w:r w:rsidRPr="004F17B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28.12</w:t>
            </w:r>
            <w:r w:rsidRPr="004F17B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.2022          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№ 74258/6/26-15-13-03-12</w:t>
            </w:r>
            <w:r w:rsidRPr="004F17B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у 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</w:t>
            </w:r>
            <w:r w:rsidRPr="002261E5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«БОГДАН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«АГ</w:t>
            </w:r>
            <w:r w:rsidRPr="002261E5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»</w:t>
            </w:r>
            <w:r w:rsidRPr="002261E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 орендній платі за землю </w:t>
            </w:r>
            <w:r w:rsidRPr="002261E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не обліковується.</w:t>
            </w:r>
          </w:p>
          <w:p w14:paraId="02F3B937" w14:textId="77777777" w:rsidR="00D93228" w:rsidRPr="002261E5" w:rsidRDefault="00D93228" w:rsidP="00EB47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7938F88E" w14:textId="77777777" w:rsidR="00033017" w:rsidRDefault="00033017" w:rsidP="000330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B1B2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425AC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ЗУ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19A44724" w14:textId="77777777" w:rsidR="00033017" w:rsidRPr="00425ACD" w:rsidRDefault="00033017" w:rsidP="000330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4E49E4C1" w14:textId="77777777" w:rsidR="00033017" w:rsidRPr="00425ACD" w:rsidRDefault="00033017" w:rsidP="0003301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25AC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.2021 у справі № 826/8857/16,</w:t>
            </w:r>
            <w:r w:rsidRPr="00425AC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17.04.2018 у справі № 826/8107/16, від 16.09.2021 у справі № 826/8847/16.</w:t>
            </w:r>
          </w:p>
          <w:p w14:paraId="03D98E31" w14:textId="77777777" w:rsidR="00033017" w:rsidRDefault="00033017" w:rsidP="0003301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26DFF5AA" w14:textId="77777777" w:rsidR="00D93228" w:rsidRDefault="00033017" w:rsidP="0003301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  <w:p w14:paraId="155434CE" w14:textId="6EF42297" w:rsidR="00033017" w:rsidRPr="00996EB3" w:rsidRDefault="00033017" w:rsidP="0003301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52119B5D" w14:textId="77777777" w:rsidR="004F0AA9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EB4701">
        <w:rPr>
          <w:i w:val="0"/>
          <w:sz w:val="24"/>
          <w:szCs w:val="24"/>
        </w:rPr>
        <w:t>від 08</w:t>
      </w:r>
      <w:r w:rsidR="00BA1121">
        <w:rPr>
          <w:i w:val="0"/>
          <w:sz w:val="24"/>
          <w:szCs w:val="24"/>
        </w:rPr>
        <w:t>.12.2022</w:t>
      </w:r>
      <w:r w:rsidR="002F2D3F" w:rsidRPr="002F2D3F">
        <w:rPr>
          <w:i w:val="0"/>
          <w:sz w:val="24"/>
          <w:szCs w:val="24"/>
        </w:rPr>
        <w:t xml:space="preserve"> № </w:t>
      </w:r>
      <w:r w:rsidR="00EB4701" w:rsidRPr="00EB4701">
        <w:rPr>
          <w:bCs/>
          <w:i w:val="0"/>
          <w:sz w:val="24"/>
          <w:szCs w:val="24"/>
          <w:shd w:val="clear" w:color="auto" w:fill="FFFFFF"/>
        </w:rPr>
        <w:t>5828/5869</w:t>
      </w:r>
      <w:r w:rsidR="00EB4701" w:rsidRPr="002F2D3F">
        <w:rPr>
          <w:i w:val="0"/>
          <w:sz w:val="24"/>
          <w:szCs w:val="24"/>
        </w:rPr>
        <w:t xml:space="preserve"> </w:t>
      </w:r>
      <w:r w:rsidR="00EB4701">
        <w:rPr>
          <w:i w:val="0"/>
          <w:sz w:val="24"/>
          <w:szCs w:val="24"/>
        </w:rPr>
        <w:t>«Про бюджет міста Києва на 2023</w:t>
      </w:r>
      <w:r w:rsidR="002F2D3F" w:rsidRPr="002F2D3F">
        <w:rPr>
          <w:i w:val="0"/>
          <w:sz w:val="24"/>
          <w:szCs w:val="24"/>
        </w:rPr>
        <w:t xml:space="preserve">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</w:p>
    <w:p w14:paraId="1906F012" w14:textId="791717E4" w:rsidR="006A19DF" w:rsidRPr="00033017" w:rsidRDefault="004F0AA9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i w:val="0"/>
          <w:sz w:val="24"/>
          <w:szCs w:val="24"/>
          <w:shd w:val="clear" w:color="auto" w:fill="FFFFFF"/>
        </w:rPr>
      </w:pPr>
      <w:r w:rsidRPr="00033017">
        <w:rPr>
          <w:b/>
          <w:i w:val="0"/>
          <w:sz w:val="26"/>
          <w:szCs w:val="26"/>
          <w:shd w:val="clear" w:color="auto" w:fill="FFFFFF"/>
        </w:rPr>
        <w:t xml:space="preserve">- </w:t>
      </w:r>
      <w:r w:rsidRPr="00033017">
        <w:rPr>
          <w:rStyle w:val="ad"/>
          <w:b/>
          <w:i/>
          <w:sz w:val="26"/>
          <w:szCs w:val="26"/>
          <w:shd w:val="clear" w:color="auto" w:fill="FFFFFF"/>
          <w:lang w:val="ru-RU"/>
        </w:rPr>
        <w:t>13 222,95</w:t>
      </w:r>
      <w:r w:rsidRPr="00033017">
        <w:rPr>
          <w:rStyle w:val="ad"/>
          <w:b/>
          <w:i/>
          <w:sz w:val="26"/>
          <w:szCs w:val="26"/>
          <w:shd w:val="clear" w:color="auto" w:fill="FFFFFF"/>
        </w:rPr>
        <w:t xml:space="preserve"> грн/рік (5%) (</w:t>
      </w:r>
      <w:r w:rsidR="00645A43" w:rsidRPr="00033017">
        <w:rPr>
          <w:rStyle w:val="ad"/>
          <w:b/>
          <w:i/>
          <w:sz w:val="24"/>
          <w:szCs w:val="24"/>
          <w:shd w:val="clear" w:color="auto" w:fill="FFFFFF"/>
        </w:rPr>
        <w:t xml:space="preserve">до визначення в Державному земельному кадастрі  </w:t>
      </w:r>
      <w:r w:rsidRPr="00033017">
        <w:rPr>
          <w:rStyle w:val="ad"/>
          <w:b/>
          <w:i/>
          <w:sz w:val="24"/>
          <w:szCs w:val="24"/>
          <w:shd w:val="clear" w:color="auto" w:fill="FFFFFF"/>
        </w:rPr>
        <w:t>коду виду цільового призначення)</w:t>
      </w:r>
      <w:r w:rsidRPr="00033017">
        <w:rPr>
          <w:b/>
          <w:i w:val="0"/>
          <w:sz w:val="24"/>
          <w:szCs w:val="24"/>
          <w:shd w:val="clear" w:color="auto" w:fill="FFFFFF"/>
        </w:rPr>
        <w:t>;</w:t>
      </w:r>
    </w:p>
    <w:p w14:paraId="7DD41321" w14:textId="0738C1FE" w:rsidR="004F0AA9" w:rsidRPr="00033017" w:rsidRDefault="004F0AA9" w:rsidP="006A19DF">
      <w:pPr>
        <w:pStyle w:val="1"/>
        <w:shd w:val="clear" w:color="auto" w:fill="auto"/>
        <w:spacing w:line="230" w:lineRule="auto"/>
        <w:ind w:firstLine="440"/>
        <w:jc w:val="both"/>
        <w:rPr>
          <w:rStyle w:val="ad"/>
          <w:b/>
          <w:i/>
          <w:sz w:val="26"/>
          <w:szCs w:val="26"/>
          <w:shd w:val="clear" w:color="auto" w:fill="FFFFFF"/>
        </w:rPr>
      </w:pPr>
      <w:r w:rsidRPr="00033017">
        <w:rPr>
          <w:b/>
          <w:i w:val="0"/>
          <w:sz w:val="26"/>
          <w:szCs w:val="26"/>
          <w:shd w:val="clear" w:color="auto" w:fill="FFFFFF"/>
        </w:rPr>
        <w:t xml:space="preserve">- </w:t>
      </w:r>
      <w:r w:rsidRPr="00033017">
        <w:rPr>
          <w:rStyle w:val="ad"/>
          <w:b/>
          <w:i/>
          <w:sz w:val="26"/>
          <w:szCs w:val="26"/>
          <w:shd w:val="clear" w:color="auto" w:fill="FFFFFF"/>
          <w:lang w:val="ru-RU"/>
        </w:rPr>
        <w:t xml:space="preserve">261 019,13 грн/рік </w:t>
      </w:r>
      <w:r w:rsidRPr="00033017">
        <w:rPr>
          <w:rStyle w:val="ad"/>
          <w:b/>
          <w:i/>
          <w:sz w:val="26"/>
          <w:szCs w:val="26"/>
          <w:shd w:val="clear" w:color="auto" w:fill="FFFFFF"/>
        </w:rPr>
        <w:t>(5%) (з кодом виду цільового призначення 03.07 або 03.10).</w:t>
      </w:r>
    </w:p>
    <w:p w14:paraId="165FB954" w14:textId="06BC389A" w:rsidR="004F0AA9" w:rsidRPr="00037B84" w:rsidRDefault="004F0AA9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  <w:r w:rsidRPr="00037B84">
        <w:rPr>
          <w:sz w:val="24"/>
          <w:szCs w:val="24"/>
        </w:rPr>
        <w:t xml:space="preserve"> </w:t>
      </w: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25BC3E8" w:rsidR="006A19DF" w:rsidRPr="00037B84" w:rsidRDefault="006A19DF" w:rsidP="00EB47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EB4701">
        <w:rPr>
          <w:i w:val="0"/>
          <w:sz w:val="24"/>
          <w:szCs w:val="24"/>
        </w:rPr>
        <w:t>.</w:t>
      </w:r>
    </w:p>
    <w:p w14:paraId="70CECF42" w14:textId="77777777" w:rsidR="00EB4701" w:rsidRDefault="00EB4701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2C23B476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1F7A92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645A43">
      <w:pPr>
        <w:pStyle w:val="1"/>
        <w:shd w:val="clear" w:color="auto" w:fill="auto"/>
        <w:ind w:firstLine="420"/>
      </w:pPr>
    </w:p>
    <w:sectPr w:rsidR="00047DE7" w:rsidRPr="00D73F87" w:rsidSect="00DA0BAF">
      <w:headerReference w:type="default" r:id="rId14"/>
      <w:footerReference w:type="default" r:id="rId15"/>
      <w:pgSz w:w="11907" w:h="16839" w:code="9"/>
      <w:pgMar w:top="567" w:right="567" w:bottom="567" w:left="1701" w:header="278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1141" w14:textId="77777777" w:rsidR="00F617F5" w:rsidRDefault="00F617F5">
      <w:r>
        <w:separator/>
      </w:r>
    </w:p>
  </w:endnote>
  <w:endnote w:type="continuationSeparator" w:id="0">
    <w:p w14:paraId="2CB9C1E2" w14:textId="77777777" w:rsidR="00F617F5" w:rsidRDefault="00F6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87550" w14:textId="77777777" w:rsidR="00F617F5" w:rsidRDefault="00F617F5"/>
  </w:footnote>
  <w:footnote w:type="continuationSeparator" w:id="0">
    <w:p w14:paraId="4DFD880F" w14:textId="77777777" w:rsidR="00F617F5" w:rsidRDefault="00F617F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1F7A92">
          <w:rPr>
            <w:i w:val="0"/>
            <w:sz w:val="12"/>
            <w:szCs w:val="12"/>
            <w:lang w:val="ru-RU"/>
          </w:rPr>
          <w:t>-41359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1F7A92">
          <w:rPr>
            <w:i w:val="0"/>
            <w:sz w:val="12"/>
            <w:szCs w:val="12"/>
            <w:lang w:val="ru-RU"/>
          </w:rPr>
          <w:t>16.01.2023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1F7A92">
          <w:rPr>
            <w:i w:val="0"/>
            <w:sz w:val="12"/>
            <w:szCs w:val="12"/>
            <w:lang w:val="ru-RU"/>
          </w:rPr>
          <w:t>340517675</w:t>
        </w:r>
      </w:p>
      <w:p w14:paraId="0BF67CBB" w14:textId="788C9DA2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01138" w:rsidRPr="0080113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3017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1F7A92"/>
    <w:rsid w:val="00200DA6"/>
    <w:rsid w:val="00207509"/>
    <w:rsid w:val="00212FAB"/>
    <w:rsid w:val="002140BB"/>
    <w:rsid w:val="00225909"/>
    <w:rsid w:val="002261E5"/>
    <w:rsid w:val="002329B1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B6075"/>
    <w:rsid w:val="003D2E2D"/>
    <w:rsid w:val="003E0CE3"/>
    <w:rsid w:val="003E1B2C"/>
    <w:rsid w:val="003E769A"/>
    <w:rsid w:val="003F1994"/>
    <w:rsid w:val="003F27DB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A5531"/>
    <w:rsid w:val="004B05D1"/>
    <w:rsid w:val="004C4F16"/>
    <w:rsid w:val="004D4B3C"/>
    <w:rsid w:val="004D51B7"/>
    <w:rsid w:val="004F0AA9"/>
    <w:rsid w:val="00501B43"/>
    <w:rsid w:val="00512B86"/>
    <w:rsid w:val="005156AF"/>
    <w:rsid w:val="00531BB2"/>
    <w:rsid w:val="00532056"/>
    <w:rsid w:val="005322FE"/>
    <w:rsid w:val="00533D8E"/>
    <w:rsid w:val="00540515"/>
    <w:rsid w:val="00543C2B"/>
    <w:rsid w:val="00553E8C"/>
    <w:rsid w:val="00554A4A"/>
    <w:rsid w:val="0056117E"/>
    <w:rsid w:val="005621F8"/>
    <w:rsid w:val="005630AB"/>
    <w:rsid w:val="00564A02"/>
    <w:rsid w:val="00567858"/>
    <w:rsid w:val="00567978"/>
    <w:rsid w:val="00567BA2"/>
    <w:rsid w:val="00591722"/>
    <w:rsid w:val="00593FA3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45A43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311CB"/>
    <w:rsid w:val="00751508"/>
    <w:rsid w:val="00765401"/>
    <w:rsid w:val="007709F8"/>
    <w:rsid w:val="00772C24"/>
    <w:rsid w:val="00776E89"/>
    <w:rsid w:val="007812BA"/>
    <w:rsid w:val="00782295"/>
    <w:rsid w:val="00783A74"/>
    <w:rsid w:val="007B72F8"/>
    <w:rsid w:val="00800A09"/>
    <w:rsid w:val="00801138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765C8"/>
    <w:rsid w:val="00880A60"/>
    <w:rsid w:val="008A2C8C"/>
    <w:rsid w:val="008A338E"/>
    <w:rsid w:val="008B338E"/>
    <w:rsid w:val="008E59A5"/>
    <w:rsid w:val="008F0B34"/>
    <w:rsid w:val="00903408"/>
    <w:rsid w:val="00905988"/>
    <w:rsid w:val="00907FF6"/>
    <w:rsid w:val="0091277B"/>
    <w:rsid w:val="009131FA"/>
    <w:rsid w:val="00914B29"/>
    <w:rsid w:val="00934E19"/>
    <w:rsid w:val="009358DE"/>
    <w:rsid w:val="009674CE"/>
    <w:rsid w:val="00982A07"/>
    <w:rsid w:val="00996EB3"/>
    <w:rsid w:val="009C1880"/>
    <w:rsid w:val="009D6B57"/>
    <w:rsid w:val="009E6239"/>
    <w:rsid w:val="009E6606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C7361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1121"/>
    <w:rsid w:val="00BA5124"/>
    <w:rsid w:val="00BD421F"/>
    <w:rsid w:val="00BE0542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3228"/>
    <w:rsid w:val="00D9671B"/>
    <w:rsid w:val="00DA0BAF"/>
    <w:rsid w:val="00DA2B06"/>
    <w:rsid w:val="00DA5B5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97E1A"/>
    <w:rsid w:val="00EA1AC5"/>
    <w:rsid w:val="00EB297C"/>
    <w:rsid w:val="00EB4701"/>
    <w:rsid w:val="00EF075A"/>
    <w:rsid w:val="00EF09DB"/>
    <w:rsid w:val="00EF4B08"/>
    <w:rsid w:val="00F04D96"/>
    <w:rsid w:val="00F075B3"/>
    <w:rsid w:val="00F13AC3"/>
    <w:rsid w:val="00F201D9"/>
    <w:rsid w:val="00F23BF1"/>
    <w:rsid w:val="00F23C73"/>
    <w:rsid w:val="00F258FD"/>
    <w:rsid w:val="00F328BA"/>
    <w:rsid w:val="00F4426A"/>
    <w:rsid w:val="00F617F5"/>
    <w:rsid w:val="00F620DD"/>
    <w:rsid w:val="00F62C48"/>
    <w:rsid w:val="00F6372D"/>
    <w:rsid w:val="00F83E37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6C3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af2">
    <w:name w:val="Normal (Web)"/>
    <w:basedOn w:val="a"/>
    <w:uiPriority w:val="99"/>
    <w:semiHidden/>
    <w:unhideWhenUsed/>
    <w:rsid w:val="00E97E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E97E1A"/>
  </w:style>
  <w:style w:type="character" w:styleId="af3">
    <w:name w:val="Hyperlink"/>
    <w:basedOn w:val="a0"/>
    <w:uiPriority w:val="99"/>
    <w:semiHidden/>
    <w:unhideWhenUsed/>
    <w:rsid w:val="00E97E1A"/>
    <w:rPr>
      <w:color w:val="0000FF"/>
      <w:u w:val="single"/>
    </w:rPr>
  </w:style>
  <w:style w:type="character" w:customStyle="1" w:styleId="text-grey">
    <w:name w:val="text-grey"/>
    <w:basedOn w:val="a0"/>
    <w:rsid w:val="00E9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214434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405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75733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957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hyperlink" Target="https://youcontrol.com.ua/search/?q=379746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search/?q=3072937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42944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29CB-6EED-45F6-B657-E5D1A370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10560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2023-02-08T08:05:00Z</cp:lastPrinted>
  <dcterms:created xsi:type="dcterms:W3CDTF">2023-02-20T09:24:00Z</dcterms:created>
  <dcterms:modified xsi:type="dcterms:W3CDTF">2023-02-20T09:24:00Z</dcterms:modified>
</cp:coreProperties>
</file>