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CF2418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333999291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333999291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2418">
        <w:rPr>
          <w:b/>
          <w:bCs/>
          <w:sz w:val="36"/>
          <w:szCs w:val="36"/>
        </w:rPr>
        <w:t>ПОЯСНЮВАЛЬНА ЗАПИСКА</w:t>
      </w:r>
    </w:p>
    <w:p w14:paraId="53B68056" w14:textId="77777777" w:rsidR="00B30291" w:rsidRPr="00CF2418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418">
        <w:rPr>
          <w:b/>
          <w:bCs/>
          <w:i w:val="0"/>
          <w:iCs w:val="0"/>
          <w:sz w:val="24"/>
          <w:szCs w:val="24"/>
        </w:rPr>
        <w:t xml:space="preserve">№ ПЗН-78488 </w:t>
      </w:r>
      <w:proofErr w:type="spellStart"/>
      <w:r w:rsidRPr="00CF2418">
        <w:rPr>
          <w:b/>
          <w:bCs/>
          <w:i w:val="0"/>
          <w:iCs w:val="0"/>
          <w:sz w:val="24"/>
          <w:szCs w:val="24"/>
        </w:rPr>
        <w:t>від</w:t>
      </w:r>
      <w:proofErr w:type="spellEnd"/>
      <w:r w:rsidRPr="00CF2418">
        <w:rPr>
          <w:b/>
          <w:bCs/>
          <w:i w:val="0"/>
          <w:iCs w:val="0"/>
          <w:sz w:val="24"/>
          <w:szCs w:val="24"/>
        </w:rPr>
        <w:t xml:space="preserve"> </w:t>
      </w:r>
      <w:r w:rsidRPr="00CF2418">
        <w:rPr>
          <w:b/>
          <w:bCs/>
          <w:i w:val="0"/>
          <w:sz w:val="24"/>
          <w:szCs w:val="24"/>
        </w:rPr>
        <w:t>27.02.2025</w:t>
      </w:r>
    </w:p>
    <w:p w14:paraId="1B663883" w14:textId="77777777" w:rsidR="00B30291" w:rsidRPr="00CF2418" w:rsidRDefault="00B30291" w:rsidP="00E420E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proofErr w:type="spellStart"/>
      <w:r w:rsidRPr="00D20CC6">
        <w:rPr>
          <w:i w:val="0"/>
          <w:iCs w:val="0"/>
          <w:sz w:val="24"/>
          <w:szCs w:val="24"/>
        </w:rPr>
        <w:t>до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рішення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Київської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міської</w:t>
      </w:r>
      <w:proofErr w:type="spellEnd"/>
      <w:r w:rsidRPr="00D20CC6">
        <w:rPr>
          <w:i w:val="0"/>
          <w:iCs w:val="0"/>
          <w:sz w:val="24"/>
          <w:szCs w:val="24"/>
        </w:rPr>
        <w:t xml:space="preserve"> </w:t>
      </w:r>
      <w:proofErr w:type="spellStart"/>
      <w:r w:rsidRPr="00D20CC6">
        <w:rPr>
          <w:i w:val="0"/>
          <w:iCs w:val="0"/>
          <w:sz w:val="24"/>
          <w:szCs w:val="24"/>
        </w:rPr>
        <w:t>ради</w:t>
      </w:r>
      <w:proofErr w:type="spellEnd"/>
      <w:r w:rsidRPr="00CF2418">
        <w:rPr>
          <w:i w:val="0"/>
          <w:sz w:val="24"/>
          <w:szCs w:val="24"/>
        </w:rPr>
        <w:t>:</w:t>
      </w:r>
    </w:p>
    <w:p w14:paraId="4A04B8A4" w14:textId="70FF5B12" w:rsidR="00B30291" w:rsidRDefault="00B30291" w:rsidP="00E420E1">
      <w:pPr>
        <w:pStyle w:val="a4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E420E1" w:rsidRPr="00E420E1">
        <w:rPr>
          <w:rFonts w:eastAsia="Georgia"/>
          <w:b/>
          <w:i/>
          <w:iCs/>
          <w:sz w:val="24"/>
          <w:szCs w:val="24"/>
          <w:lang w:val="uk-UA"/>
        </w:rPr>
        <w:t xml:space="preserve">надання ДЕРЖАВНОМУ ПІДПРИЄМСТВУ «ВСЕУКРАЇНСЬКИЙ ДЕРЖАВНИЙ НАУКОВО-ВИРОБНИЧИЙ ЦЕНТР СТАНДАРТИЗАЦІЇ, МЕТРОЛОГІЇ, СЕРТИФІКАЦІЇ ТА ЗАХИСТУ ПРАВ СПОЖИВАЧІВ» земельної ділянки в постійне користування для будівництва та обслуговування будівель науково-дослідної, </w:t>
      </w:r>
      <w:r w:rsidR="00C55928">
        <w:rPr>
          <w:rFonts w:eastAsia="Georgia"/>
          <w:b/>
          <w:i/>
          <w:iCs/>
          <w:sz w:val="24"/>
          <w:szCs w:val="24"/>
          <w:lang w:val="uk-UA"/>
        </w:rPr>
        <w:br/>
      </w:r>
      <w:r w:rsidR="00E420E1" w:rsidRPr="00E420E1">
        <w:rPr>
          <w:rFonts w:eastAsia="Georgia"/>
          <w:b/>
          <w:i/>
          <w:iCs/>
          <w:sz w:val="24"/>
          <w:szCs w:val="24"/>
          <w:lang w:val="uk-UA"/>
        </w:rPr>
        <w:t>проектно-вишукувальної установи на</w:t>
      </w:r>
      <w:r w:rsidR="00E420E1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="00E420E1" w:rsidRPr="00E420E1">
        <w:rPr>
          <w:rFonts w:eastAsia="Georgia"/>
          <w:b/>
          <w:i/>
          <w:iCs/>
          <w:sz w:val="24"/>
          <w:szCs w:val="24"/>
          <w:lang w:val="uk-UA"/>
        </w:rPr>
        <w:t xml:space="preserve">вул. Метрологічній, 4 </w:t>
      </w:r>
      <w:r w:rsidR="00E420E1">
        <w:rPr>
          <w:rFonts w:eastAsia="Georgia"/>
          <w:b/>
          <w:i/>
          <w:iCs/>
          <w:sz w:val="24"/>
          <w:szCs w:val="24"/>
          <w:lang w:val="uk-UA"/>
        </w:rPr>
        <w:br/>
      </w:r>
      <w:r w:rsidR="00E420E1" w:rsidRPr="00E420E1">
        <w:rPr>
          <w:rFonts w:eastAsia="Georgia"/>
          <w:b/>
          <w:i/>
          <w:iCs/>
          <w:sz w:val="24"/>
          <w:szCs w:val="24"/>
          <w:lang w:val="uk-UA"/>
        </w:rPr>
        <w:t>у Голосіївському районі міста Києва</w:t>
      </w:r>
    </w:p>
    <w:p w14:paraId="00EA3827" w14:textId="77777777" w:rsidR="00E420E1" w:rsidRPr="00581A44" w:rsidRDefault="00E420E1" w:rsidP="00E420E1">
      <w:pPr>
        <w:pStyle w:val="a4"/>
        <w:shd w:val="clear" w:color="auto" w:fill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E420E1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</w:t>
            </w:r>
          </w:p>
        </w:tc>
      </w:tr>
      <w:tr w:rsidR="00B30291" w:rsidRPr="00CF2418" w14:paraId="5DC74608" w14:textId="77777777" w:rsidTr="00E420E1">
        <w:trPr>
          <w:cantSplit/>
          <w:trHeight w:val="539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6F19D931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3BE16A87" w14:textId="77777777" w:rsidR="00E420E1" w:rsidRDefault="00E420E1" w:rsidP="00E420E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E420E1">
              <w:rPr>
                <w:b w:val="0"/>
                <w:i/>
                <w:sz w:val="24"/>
                <w:szCs w:val="24"/>
              </w:rPr>
              <w:t>МІНІСТЕРСТВО ЕКОНОМІКИ УКРАЇНИ</w:t>
            </w:r>
          </w:p>
          <w:p w14:paraId="15C91214" w14:textId="43FE4908" w:rsidR="00B30291" w:rsidRPr="00E420E1" w:rsidRDefault="00E420E1" w:rsidP="00E420E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E420E1">
              <w:rPr>
                <w:b w:val="0"/>
                <w:i/>
                <w:sz w:val="24"/>
                <w:szCs w:val="24"/>
              </w:rPr>
              <w:t xml:space="preserve">01008, м. </w:t>
            </w:r>
            <w:proofErr w:type="spellStart"/>
            <w:r w:rsidRPr="00E420E1">
              <w:rPr>
                <w:b w:val="0"/>
                <w:i/>
                <w:sz w:val="24"/>
                <w:szCs w:val="24"/>
              </w:rPr>
              <w:t>Київ</w:t>
            </w:r>
            <w:proofErr w:type="spellEnd"/>
            <w:r w:rsidRPr="00E420E1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E420E1">
              <w:rPr>
                <w:b w:val="0"/>
                <w:i/>
                <w:sz w:val="24"/>
                <w:szCs w:val="24"/>
              </w:rPr>
              <w:t>вул</w:t>
            </w:r>
            <w:proofErr w:type="spellEnd"/>
            <w:r w:rsidRPr="00E420E1">
              <w:rPr>
                <w:b w:val="0"/>
                <w:i/>
                <w:sz w:val="24"/>
                <w:szCs w:val="24"/>
              </w:rPr>
              <w:t xml:space="preserve">. </w:t>
            </w:r>
            <w:proofErr w:type="spellStart"/>
            <w:r w:rsidRPr="00E420E1">
              <w:rPr>
                <w:b w:val="0"/>
                <w:i/>
                <w:sz w:val="24"/>
                <w:szCs w:val="24"/>
              </w:rPr>
              <w:t>Михайла</w:t>
            </w:r>
            <w:proofErr w:type="spellEnd"/>
            <w:r w:rsidRPr="00E420E1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420E1">
              <w:rPr>
                <w:b w:val="0"/>
                <w:i/>
                <w:sz w:val="24"/>
                <w:szCs w:val="24"/>
              </w:rPr>
              <w:t>Грушевського</w:t>
            </w:r>
            <w:proofErr w:type="spellEnd"/>
            <w:r w:rsidRPr="00E420E1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E420E1">
              <w:rPr>
                <w:b w:val="0"/>
                <w:i/>
                <w:sz w:val="24"/>
                <w:szCs w:val="24"/>
              </w:rPr>
              <w:t>буд</w:t>
            </w:r>
            <w:proofErr w:type="spellEnd"/>
            <w:r w:rsidRPr="00E420E1">
              <w:rPr>
                <w:b w:val="0"/>
                <w:i/>
                <w:sz w:val="24"/>
                <w:szCs w:val="24"/>
              </w:rPr>
              <w:t>. 12/2</w:t>
            </w:r>
          </w:p>
        </w:tc>
      </w:tr>
      <w:tr w:rsidR="00B30291" w:rsidRPr="00CF2418" w14:paraId="18172CC5" w14:textId="77777777" w:rsidTr="00E420E1">
        <w:trPr>
          <w:cantSplit/>
          <w:trHeight w:val="533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7AC1341E" w:rsidR="00B30291" w:rsidRPr="00B30291" w:rsidRDefault="00D77F52" w:rsidP="00E420E1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17.02.2025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333999291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61D6796F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="00E420E1">
        <w:rPr>
          <w:sz w:val="24"/>
          <w:szCs w:val="24"/>
          <w:lang w:val="ru-RU"/>
        </w:rPr>
        <w:t xml:space="preserve"> номер</w:t>
      </w:r>
      <w:r w:rsidRPr="00B30291">
        <w:rPr>
          <w:sz w:val="24"/>
          <w:szCs w:val="24"/>
          <w:lang w:val="ru-RU"/>
        </w:rPr>
        <w:t xml:space="preserve"> </w:t>
      </w:r>
      <w:r w:rsidRPr="00CF2418">
        <w:rPr>
          <w:sz w:val="24"/>
          <w:szCs w:val="24"/>
        </w:rPr>
        <w:t>8000000000:79:475:0047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E420E1">
        <w:trPr>
          <w:trHeight w:hRule="exact" w:val="404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Київ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р-н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Голосіївський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вул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6C1F">
              <w:rPr>
                <w:i/>
                <w:iCs/>
                <w:sz w:val="24"/>
                <w:szCs w:val="24"/>
              </w:rPr>
              <w:t>Метрологічна</w:t>
            </w:r>
            <w:proofErr w:type="spellEnd"/>
            <w:r w:rsidRPr="00AC6C1F">
              <w:rPr>
                <w:i/>
                <w:iCs/>
                <w:sz w:val="24"/>
                <w:szCs w:val="24"/>
              </w:rPr>
              <w:t>, 4</w:t>
            </w:r>
          </w:p>
        </w:tc>
      </w:tr>
      <w:tr w:rsidR="00B30291" w14:paraId="2FE40A2A" w14:textId="77777777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0,6446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6A7795">
        <w:trPr>
          <w:trHeight w:hRule="exact" w:val="300"/>
        </w:trPr>
        <w:tc>
          <w:tcPr>
            <w:tcW w:w="3260" w:type="dxa"/>
            <w:shd w:val="clear" w:color="auto" w:fill="FFFFFF"/>
            <w:vAlign w:val="bottom"/>
          </w:tcPr>
          <w:p w14:paraId="5A66BEA1" w14:textId="77777777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32AC0A5E" w14:textId="77777777"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7E7AB0C5" w:rsidR="00B30291" w:rsidRPr="00AC6C1F" w:rsidRDefault="00581A44" w:rsidP="006A7795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E420E1">
              <w:rPr>
                <w:i/>
                <w:sz w:val="24"/>
                <w:szCs w:val="24"/>
                <w:lang w:val="uk-UA"/>
              </w:rPr>
              <w:t>постійне користування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14:paraId="6763E525" w14:textId="77777777" w:rsidTr="006A7795">
        <w:trPr>
          <w:trHeight w:hRule="exact" w:val="365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166928D0" w:rsidR="00B30291" w:rsidRPr="00AC6C1F" w:rsidRDefault="006A34C6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землі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житлової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та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громадської</w:t>
            </w:r>
            <w:proofErr w:type="spellEnd"/>
            <w:r w:rsidRPr="006A34C6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A34C6">
              <w:rPr>
                <w:i/>
                <w:sz w:val="24"/>
                <w:szCs w:val="24"/>
                <w:highlight w:val="white"/>
              </w:rPr>
              <w:t>забудови</w:t>
            </w:r>
            <w:proofErr w:type="spellEnd"/>
          </w:p>
        </w:tc>
      </w:tr>
      <w:tr w:rsidR="00B30291" w14:paraId="4EEB19B1" w14:textId="77777777" w:rsidTr="006A7795">
        <w:trPr>
          <w:trHeight w:hRule="exact" w:val="905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6522229" w14:textId="6BBD7E1E" w:rsidR="00B30291" w:rsidRPr="006A34C6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highlight w:val="white"/>
              </w:rPr>
              <w:t>03.11</w:t>
            </w:r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для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будівництва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та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обслуговування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будівель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і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споруд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закладів</w:t>
            </w:r>
            <w:proofErr w:type="spellEnd"/>
            <w:r w:rsidRPr="00AC6C1F">
              <w:rPr>
                <w:rStyle w:val="ac"/>
                <w:sz w:val="24"/>
                <w:szCs w:val="24"/>
              </w:rPr>
              <w:t xml:space="preserve"> </w:t>
            </w:r>
            <w:proofErr w:type="spellStart"/>
            <w:r w:rsidRPr="00AC6C1F">
              <w:rPr>
                <w:rStyle w:val="ac"/>
                <w:sz w:val="24"/>
                <w:szCs w:val="24"/>
              </w:rPr>
              <w:t>науки</w:t>
            </w:r>
            <w:proofErr w:type="spellEnd"/>
            <w:r w:rsidR="006A34C6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6A7795" w:rsidRPr="006A7795">
              <w:rPr>
                <w:rStyle w:val="ac"/>
                <w:sz w:val="24"/>
                <w:szCs w:val="24"/>
                <w:lang w:val="uk-UA"/>
              </w:rPr>
              <w:t>для будівництва та обслуговування будівель науково-дослідної, проектно-вишукувальної установи</w:t>
            </w:r>
            <w:r w:rsidR="006A34C6">
              <w:rPr>
                <w:i/>
                <w:sz w:val="24"/>
                <w:szCs w:val="24"/>
                <w:lang w:val="uk-UA"/>
              </w:rPr>
              <w:t>)</w:t>
            </w:r>
          </w:p>
          <w:p w14:paraId="47F56579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2C42A00F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130335C5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7D3283A1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15F0B91E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4EFA70AA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78C10F82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</w:rPr>
            </w:pPr>
          </w:p>
          <w:p w14:paraId="217CE1B1" w14:textId="77777777" w:rsidR="00A318A9" w:rsidRPr="00AC6C1F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</w:rPr>
            </w:pPr>
          </w:p>
        </w:tc>
      </w:tr>
      <w:tr w:rsidR="00B30291" w14:paraId="0C99E21F" w14:textId="77777777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="00B30291"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226FB2C" w14:textId="77777777"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25657A35"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6A7795" w:rsidRPr="006A7795">
              <w:rPr>
                <w:rStyle w:val="ac"/>
                <w:b/>
                <w:sz w:val="24"/>
                <w:szCs w:val="24"/>
                <w:lang w:val="ru-RU"/>
              </w:rPr>
              <w:t>12 388</w:t>
            </w:r>
            <w:r w:rsidR="006A7795">
              <w:rPr>
                <w:rStyle w:val="ac"/>
                <w:b/>
                <w:sz w:val="24"/>
                <w:szCs w:val="24"/>
                <w:lang w:val="ru-RU"/>
              </w:rPr>
              <w:t> </w:t>
            </w:r>
            <w:r w:rsidR="006A7795" w:rsidRPr="006A7795">
              <w:rPr>
                <w:rStyle w:val="ac"/>
                <w:b/>
                <w:sz w:val="24"/>
                <w:szCs w:val="24"/>
                <w:lang w:val="ru-RU"/>
              </w:rPr>
              <w:t>032</w:t>
            </w:r>
            <w:r w:rsidR="006A7795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proofErr w:type="spellEnd"/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="006A7795" w:rsidRPr="006A7795">
              <w:rPr>
                <w:rStyle w:val="ac"/>
                <w:b/>
                <w:sz w:val="24"/>
                <w:szCs w:val="24"/>
              </w:rPr>
              <w:t>76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proofErr w:type="spellStart"/>
            <w:r w:rsidRPr="008F240B">
              <w:rPr>
                <w:rStyle w:val="ac"/>
                <w:b/>
                <w:sz w:val="24"/>
                <w:szCs w:val="24"/>
              </w:rPr>
              <w:t>коп</w:t>
            </w:r>
            <w:proofErr w:type="spellEnd"/>
            <w:r w:rsidRPr="008F240B">
              <w:rPr>
                <w:rStyle w:val="ac"/>
                <w:b/>
                <w:sz w:val="24"/>
                <w:szCs w:val="24"/>
              </w:rPr>
              <w:t>.</w:t>
            </w:r>
          </w:p>
        </w:tc>
      </w:tr>
      <w:tr w:rsidR="00265722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5722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265722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0EA03B43" w:rsidR="00B30291" w:rsidRPr="00265722" w:rsidRDefault="00B30291" w:rsidP="006A7795">
      <w:pPr>
        <w:pStyle w:val="1"/>
        <w:shd w:val="clear" w:color="auto" w:fill="auto"/>
        <w:ind w:firstLine="567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883A89A" w14:textId="6AFE3F9A" w:rsidR="00265722" w:rsidRDefault="00265722" w:rsidP="006A779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замовлення зацікавленої особи землевпорядною організацією розроблено </w:t>
      </w:r>
      <w:proofErr w:type="spellStart"/>
      <w:r w:rsidRPr="00265722">
        <w:rPr>
          <w:i w:val="0"/>
          <w:sz w:val="24"/>
          <w:szCs w:val="24"/>
          <w:lang w:val="uk-UA"/>
        </w:rPr>
        <w:t>проєкт</w:t>
      </w:r>
      <w:proofErr w:type="spellEnd"/>
      <w:r w:rsidRPr="00265722">
        <w:rPr>
          <w:sz w:val="24"/>
          <w:szCs w:val="24"/>
          <w:lang w:val="uk-UA"/>
        </w:rPr>
        <w:t xml:space="preserve"> </w:t>
      </w:r>
      <w:r w:rsidRPr="00265722">
        <w:rPr>
          <w:i w:val="0"/>
          <w:sz w:val="24"/>
          <w:szCs w:val="24"/>
          <w:lang w:val="uk-UA"/>
        </w:rPr>
        <w:t xml:space="preserve">землеустрою щодо відведення земельної ділянки, який згідно </w:t>
      </w:r>
      <w:r w:rsidR="006A7795" w:rsidRPr="006A7795">
        <w:rPr>
          <w:i w:val="0"/>
          <w:sz w:val="24"/>
          <w:szCs w:val="24"/>
          <w:lang w:val="uk-UA"/>
        </w:rPr>
        <w:t>зі статтею 186</w:t>
      </w:r>
      <w:r w:rsidR="006A7795" w:rsidRPr="006A7795">
        <w:rPr>
          <w:i w:val="0"/>
          <w:sz w:val="24"/>
          <w:szCs w:val="24"/>
          <w:vertAlign w:val="superscript"/>
          <w:lang w:val="uk-UA"/>
        </w:rPr>
        <w:t>1</w:t>
      </w:r>
      <w:r w:rsidR="006A7795" w:rsidRPr="006A7795">
        <w:rPr>
          <w:i w:val="0"/>
          <w:sz w:val="24"/>
          <w:szCs w:val="24"/>
          <w:lang w:val="uk-UA"/>
        </w:rPr>
        <w:t xml:space="preserve"> Земельного  кодексу України (в редакції до 27.05.2021)</w:t>
      </w:r>
      <w:r w:rsidRPr="00265722">
        <w:rPr>
          <w:i w:val="0"/>
          <w:sz w:val="24"/>
          <w:szCs w:val="24"/>
          <w:lang w:val="uk-UA"/>
        </w:rPr>
        <w:t xml:space="preserve"> погоджено з відповідними органами, зокрема:</w:t>
      </w:r>
    </w:p>
    <w:p w14:paraId="36DADDE6" w14:textId="3C9D5CFC" w:rsidR="006A7795" w:rsidRDefault="006A7795" w:rsidP="006A779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57CE8" w14:paraId="2CFD22D6" w14:textId="77777777" w:rsidTr="006A7795">
        <w:tc>
          <w:tcPr>
            <w:tcW w:w="5098" w:type="dxa"/>
            <w:vAlign w:val="bottom"/>
          </w:tcPr>
          <w:p w14:paraId="2DE7DF75" w14:textId="77777777" w:rsidR="00D57CE8" w:rsidRPr="00D85DDE" w:rsidRDefault="00D57CE8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3374583B" w14:textId="77777777" w:rsidR="00D57CE8" w:rsidRPr="00D85DDE" w:rsidRDefault="00D57CE8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міської державної адміністрації </w:t>
            </w:r>
          </w:p>
          <w:p w14:paraId="1169A947" w14:textId="77777777" w:rsidR="00D57CE8" w:rsidRPr="00D85DDE" w:rsidRDefault="00D57CE8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 сфері містобудування та архітектури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14:paraId="1D8FB41B" w14:textId="6C5CE285" w:rsidR="00D57CE8" w:rsidRPr="006A7795" w:rsidRDefault="00D57CE8" w:rsidP="006A7795">
            <w:pPr>
              <w:pStyle w:val="1"/>
              <w:shd w:val="clear" w:color="auto" w:fill="auto"/>
              <w:rPr>
                <w:i w:val="0"/>
                <w:sz w:val="24"/>
                <w:szCs w:val="24"/>
                <w:lang w:val="uk-UA"/>
              </w:rPr>
            </w:pPr>
            <w:proofErr w:type="spellStart"/>
            <w:r w:rsidRPr="00D57CE8">
              <w:rPr>
                <w:b/>
                <w:sz w:val="24"/>
                <w:szCs w:val="24"/>
              </w:rPr>
              <w:t>від</w:t>
            </w:r>
            <w:proofErr w:type="spellEnd"/>
            <w:r w:rsidRPr="00D57CE8">
              <w:rPr>
                <w:b/>
                <w:sz w:val="24"/>
                <w:szCs w:val="24"/>
              </w:rPr>
              <w:t xml:space="preserve"> </w:t>
            </w:r>
            <w:r w:rsidR="006A7795">
              <w:rPr>
                <w:b/>
                <w:sz w:val="24"/>
                <w:szCs w:val="24"/>
                <w:lang w:val="uk-UA"/>
              </w:rPr>
              <w:t xml:space="preserve">18.09.2017 </w:t>
            </w:r>
            <w:r w:rsidRPr="00D57CE8">
              <w:rPr>
                <w:b/>
                <w:sz w:val="24"/>
                <w:szCs w:val="24"/>
              </w:rPr>
              <w:t>№</w:t>
            </w:r>
            <w:r w:rsidR="006A7795">
              <w:rPr>
                <w:b/>
                <w:sz w:val="24"/>
                <w:szCs w:val="24"/>
                <w:lang w:val="uk-UA"/>
              </w:rPr>
              <w:t xml:space="preserve"> 7858/0/12-4/09-17</w:t>
            </w:r>
          </w:p>
        </w:tc>
      </w:tr>
      <w:tr w:rsidR="00D57CE8" w14:paraId="722F3FCB" w14:textId="77777777" w:rsidTr="006A7795">
        <w:tc>
          <w:tcPr>
            <w:tcW w:w="5098" w:type="dxa"/>
            <w:vAlign w:val="bottom"/>
          </w:tcPr>
          <w:p w14:paraId="06FF1E16" w14:textId="77777777" w:rsidR="006A7795" w:rsidRDefault="006A7795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10FED95B" w14:textId="085A3064" w:rsidR="00D57CE8" w:rsidRPr="00D85DDE" w:rsidRDefault="00D57CE8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1BE53F2B" w14:textId="77777777" w:rsidR="00D57CE8" w:rsidRPr="00D85DDE" w:rsidRDefault="00D57CE8" w:rsidP="006A7795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14:paraId="44B5168F" w14:textId="01494A2B" w:rsidR="00D57CE8" w:rsidRPr="006A7795" w:rsidRDefault="00D57CE8" w:rsidP="006A7795">
            <w:pPr>
              <w:pStyle w:val="1"/>
              <w:shd w:val="clear" w:color="auto" w:fill="auto"/>
              <w:rPr>
                <w:i w:val="0"/>
                <w:sz w:val="24"/>
                <w:szCs w:val="24"/>
                <w:lang w:val="uk-UA"/>
              </w:rPr>
            </w:pPr>
            <w:proofErr w:type="spellStart"/>
            <w:r w:rsidRPr="00D57CE8">
              <w:rPr>
                <w:b/>
                <w:sz w:val="24"/>
                <w:szCs w:val="24"/>
              </w:rPr>
              <w:t>від</w:t>
            </w:r>
            <w:proofErr w:type="spellEnd"/>
            <w:r w:rsidRPr="00D57CE8">
              <w:rPr>
                <w:b/>
                <w:sz w:val="24"/>
                <w:szCs w:val="24"/>
              </w:rPr>
              <w:t xml:space="preserve"> </w:t>
            </w:r>
            <w:r w:rsidR="006A7795">
              <w:rPr>
                <w:b/>
                <w:sz w:val="24"/>
                <w:szCs w:val="24"/>
                <w:lang w:val="uk-UA"/>
              </w:rPr>
              <w:t>24.04.2019</w:t>
            </w:r>
            <w:r w:rsidRPr="00D57CE8">
              <w:rPr>
                <w:b/>
                <w:sz w:val="24"/>
                <w:szCs w:val="24"/>
              </w:rPr>
              <w:t xml:space="preserve"> №</w:t>
            </w:r>
            <w:r w:rsidR="006A7795">
              <w:rPr>
                <w:b/>
                <w:sz w:val="24"/>
                <w:szCs w:val="24"/>
                <w:lang w:val="uk-UA"/>
              </w:rPr>
              <w:t xml:space="preserve"> 6089/82-19</w:t>
            </w:r>
          </w:p>
        </w:tc>
      </w:tr>
    </w:tbl>
    <w:p w14:paraId="1E1FC33D" w14:textId="77777777" w:rsidR="00D57CE8" w:rsidRDefault="00D57CE8" w:rsidP="006A779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4391C7E3" w14:textId="77777777" w:rsidR="00265722" w:rsidRPr="00265722" w:rsidRDefault="00265722" w:rsidP="006A779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lastRenderedPageBreak/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265722">
        <w:rPr>
          <w:i w:val="0"/>
          <w:sz w:val="24"/>
          <w:szCs w:val="24"/>
          <w:lang w:val="uk-UA"/>
        </w:rPr>
        <w:t>проєкт</w:t>
      </w:r>
      <w:proofErr w:type="spellEnd"/>
      <w:r w:rsidRPr="00265722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22FC62D2" w14:textId="77777777" w:rsidR="006A7795" w:rsidRDefault="006A7795" w:rsidP="006A7795">
      <w:pPr>
        <w:pStyle w:val="1"/>
        <w:shd w:val="clear" w:color="auto" w:fill="auto"/>
        <w:ind w:firstLine="567"/>
        <w:jc w:val="both"/>
        <w:rPr>
          <w:b/>
          <w:bCs/>
          <w:i w:val="0"/>
          <w:sz w:val="24"/>
          <w:szCs w:val="24"/>
          <w:lang w:val="ru-RU"/>
        </w:rPr>
      </w:pPr>
    </w:p>
    <w:p w14:paraId="4AAE294E" w14:textId="69454F34" w:rsidR="00B30291" w:rsidRPr="00B30291" w:rsidRDefault="00B30291" w:rsidP="006A779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 xml:space="preserve">4. 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16736703" w14:textId="77777777" w:rsidR="00B30291" w:rsidRPr="00B30291" w:rsidRDefault="00B30291" w:rsidP="006A779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6443911D" w14:textId="491867BD" w:rsidR="00B30291" w:rsidRDefault="00B30291" w:rsidP="006A7795">
      <w:pPr>
        <w:pStyle w:val="1"/>
        <w:shd w:val="clear" w:color="auto" w:fill="auto"/>
        <w:ind w:firstLine="567"/>
        <w:jc w:val="both"/>
        <w:rPr>
          <w:sz w:val="24"/>
          <w:szCs w:val="24"/>
          <w:lang w:val="ru-RU"/>
        </w:rPr>
      </w:pPr>
    </w:p>
    <w:p w14:paraId="14AFEFD8" w14:textId="0C27934C" w:rsidR="006A7795" w:rsidRPr="00FE3135" w:rsidRDefault="006A7795" w:rsidP="006A7795">
      <w:pPr>
        <w:pStyle w:val="a7"/>
        <w:shd w:val="clear" w:color="auto" w:fill="auto"/>
        <w:tabs>
          <w:tab w:val="left" w:pos="851"/>
        </w:tabs>
        <w:ind w:firstLine="567"/>
        <w:rPr>
          <w:sz w:val="24"/>
          <w:szCs w:val="24"/>
          <w:lang w:val="uk-UA"/>
        </w:rPr>
      </w:pPr>
      <w:r w:rsidRPr="00FE3135">
        <w:rPr>
          <w:sz w:val="24"/>
          <w:szCs w:val="24"/>
          <w:lang w:val="uk-UA"/>
        </w:rPr>
        <w:t>5. Особливі характеристики ділян</w:t>
      </w:r>
      <w:r>
        <w:rPr>
          <w:sz w:val="24"/>
          <w:szCs w:val="24"/>
          <w:lang w:val="uk-UA"/>
        </w:rPr>
        <w:t>к</w:t>
      </w:r>
      <w:r w:rsidR="00BC70E4">
        <w:rPr>
          <w:sz w:val="24"/>
          <w:szCs w:val="24"/>
          <w:lang w:val="uk-UA"/>
        </w:rPr>
        <w:t>и</w:t>
      </w:r>
      <w:r w:rsidRPr="00FE3135">
        <w:rPr>
          <w:sz w:val="24"/>
          <w:szCs w:val="24"/>
          <w:lang w:val="uk-UA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6A7795" w:rsidRPr="00BC4E9C" w14:paraId="6A60B727" w14:textId="77777777" w:rsidTr="00F93D71">
        <w:tc>
          <w:tcPr>
            <w:tcW w:w="3260" w:type="dxa"/>
          </w:tcPr>
          <w:p w14:paraId="3C90FBB9" w14:textId="77777777" w:rsidR="006A7795" w:rsidRPr="00BC4E9C" w:rsidRDefault="006A7795" w:rsidP="00F93D71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2115C246" w14:textId="77777777" w:rsidR="006A7795" w:rsidRPr="00BC4E9C" w:rsidRDefault="006A7795" w:rsidP="00F93D71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 ділян</w:t>
            </w:r>
            <w:r>
              <w:rPr>
                <w:i w:val="0"/>
                <w:sz w:val="24"/>
                <w:szCs w:val="24"/>
                <w:lang w:val="uk-UA"/>
              </w:rPr>
              <w:t>ках</w:t>
            </w:r>
            <w:r w:rsidRPr="00BC4E9C">
              <w:rPr>
                <w:i w:val="0"/>
                <w:sz w:val="24"/>
                <w:szCs w:val="24"/>
                <w:lang w:val="uk-UA"/>
              </w:rPr>
              <w:t>:</w:t>
            </w:r>
          </w:p>
        </w:tc>
        <w:tc>
          <w:tcPr>
            <w:tcW w:w="6237" w:type="dxa"/>
          </w:tcPr>
          <w:p w14:paraId="277EB49B" w14:textId="77777777" w:rsidR="00B71ACF" w:rsidRDefault="00B71ACF" w:rsidP="00F93D71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вільна від забудови.</w:t>
            </w:r>
          </w:p>
          <w:p w14:paraId="72C88FAC" w14:textId="01938F70" w:rsidR="006A7795" w:rsidRDefault="00B71ACF" w:rsidP="00BC70E4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Згідно з листом </w:t>
            </w:r>
            <w:r w:rsidRPr="00B71ACF">
              <w:rPr>
                <w:rFonts w:ascii="Times New Roman" w:hAnsi="Times New Roman" w:cs="Times New Roman"/>
                <w:i/>
              </w:rPr>
              <w:t>ДЕРЖАВН</w:t>
            </w:r>
            <w:r>
              <w:rPr>
                <w:rFonts w:ascii="Times New Roman" w:hAnsi="Times New Roman" w:cs="Times New Roman"/>
                <w:i/>
              </w:rPr>
              <w:t>ОГО</w:t>
            </w:r>
            <w:r w:rsidRPr="00B71ACF">
              <w:rPr>
                <w:rFonts w:ascii="Times New Roman" w:hAnsi="Times New Roman" w:cs="Times New Roman"/>
                <w:i/>
              </w:rPr>
              <w:t xml:space="preserve"> ПІДПРИЄМСТВ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B71ACF">
              <w:rPr>
                <w:rFonts w:ascii="Times New Roman" w:hAnsi="Times New Roman" w:cs="Times New Roman"/>
                <w:i/>
              </w:rPr>
              <w:t xml:space="preserve"> «ВСЕУКРАЇНСЬКИЙ ДЕРЖАВНИЙ НАУКОВО-ВИРОБНИЧИЙ ЦЕНТР СТАНДАРТИЗАЦІЇ, МЕТРОЛОГІЇ, СЕРТИФІКАЦІЇ ТА ЗАХИСТУ ПРАВ СПОЖИВАЧІВ»</w:t>
            </w:r>
            <w:r>
              <w:rPr>
                <w:rFonts w:ascii="Times New Roman" w:hAnsi="Times New Roman" w:cs="Times New Roman"/>
                <w:i/>
              </w:rPr>
              <w:t xml:space="preserve"> від 13.02.2025 № 03-20/79 </w:t>
            </w:r>
            <w:r w:rsidR="000143D6">
              <w:rPr>
                <w:rFonts w:ascii="Times New Roman" w:hAnsi="Times New Roman" w:cs="Times New Roman"/>
                <w:i/>
              </w:rPr>
              <w:t xml:space="preserve">обґрунтування </w:t>
            </w:r>
            <w:r w:rsidR="00BC70E4">
              <w:rPr>
                <w:rFonts w:ascii="Times New Roman" w:hAnsi="Times New Roman" w:cs="Times New Roman"/>
                <w:i/>
              </w:rPr>
              <w:t xml:space="preserve">відведення земельної ділянки полягає у необхідності створення Національного Метрологічного Інституту України на базі наукової установи задля належних умов збереження та функціонування національних еталонів. Розроблено концептуальний архітектурний </w:t>
            </w:r>
            <w:proofErr w:type="spellStart"/>
            <w:r w:rsidR="00BC70E4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="00BC70E4">
              <w:rPr>
                <w:rFonts w:ascii="Times New Roman" w:hAnsi="Times New Roman" w:cs="Times New Roman"/>
                <w:i/>
              </w:rPr>
              <w:t xml:space="preserve"> нового еталонного корпусу, який пропонується </w:t>
            </w:r>
            <w:proofErr w:type="spellStart"/>
            <w:r w:rsidR="00BC70E4">
              <w:rPr>
                <w:rFonts w:ascii="Times New Roman" w:hAnsi="Times New Roman" w:cs="Times New Roman"/>
                <w:i/>
              </w:rPr>
              <w:t>запроєктувати</w:t>
            </w:r>
            <w:proofErr w:type="spellEnd"/>
            <w:r w:rsidR="00BC70E4">
              <w:rPr>
                <w:rFonts w:ascii="Times New Roman" w:hAnsi="Times New Roman" w:cs="Times New Roman"/>
                <w:i/>
              </w:rPr>
              <w:t xml:space="preserve"> та збудувати на земельній ділянці.</w:t>
            </w:r>
          </w:p>
          <w:p w14:paraId="618C9C9A" w14:textId="2E47C5A3" w:rsidR="00BC70E4" w:rsidRPr="002E7DD2" w:rsidRDefault="00BC70E4" w:rsidP="005F3A79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Детальним планом території в районі вулиць Академіка Заболотного, Академіка Лебедєва та Метрологічної, затвердженим рішенням Київської міської ради від 21.07.2016 № 827/827, в межах земельної ділянки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запроєктовано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будівництв</w:t>
            </w:r>
            <w:r w:rsidR="005F3A79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 корпусу </w:t>
            </w:r>
            <w:r w:rsidRPr="00B71ACF">
              <w:rPr>
                <w:rFonts w:ascii="Times New Roman" w:hAnsi="Times New Roman" w:cs="Times New Roman"/>
                <w:i/>
              </w:rPr>
              <w:t>ДЕРЖАВН</w:t>
            </w:r>
            <w:r>
              <w:rPr>
                <w:rFonts w:ascii="Times New Roman" w:hAnsi="Times New Roman" w:cs="Times New Roman"/>
                <w:i/>
              </w:rPr>
              <w:t>ОГО</w:t>
            </w:r>
            <w:r w:rsidRPr="00B71ACF">
              <w:rPr>
                <w:rFonts w:ascii="Times New Roman" w:hAnsi="Times New Roman" w:cs="Times New Roman"/>
                <w:i/>
              </w:rPr>
              <w:t xml:space="preserve"> ПІДПРИЄМСТВ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B71ACF">
              <w:rPr>
                <w:rFonts w:ascii="Times New Roman" w:hAnsi="Times New Roman" w:cs="Times New Roman"/>
                <w:i/>
              </w:rPr>
              <w:t xml:space="preserve"> «ВСЕУКРАЇНСЬКИЙ ДЕРЖАВНИЙ НАУКОВО-ВИРОБНИЧИЙ ЦЕНТР СТАНДАРТИЗАЦІЇ, МЕТРОЛОГІЇ, СЕРТИФІКАЦІЇ ТА ЗАХИСТУ ПРАВ СПОЖИВАЧІВ»</w:t>
            </w:r>
            <w:r w:rsidR="005F3A7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A7795" w:rsidRPr="00BC4E9C" w14:paraId="1BBB1403" w14:textId="77777777" w:rsidTr="00F93D71">
        <w:trPr>
          <w:cantSplit/>
          <w:trHeight w:val="302"/>
        </w:trPr>
        <w:tc>
          <w:tcPr>
            <w:tcW w:w="3260" w:type="dxa"/>
          </w:tcPr>
          <w:p w14:paraId="1B5F5300" w14:textId="77777777" w:rsidR="006A7795" w:rsidRPr="00BC4E9C" w:rsidRDefault="006A7795" w:rsidP="00F93D71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BC4E9C">
              <w:rPr>
                <w:i w:val="0"/>
                <w:sz w:val="24"/>
                <w:szCs w:val="24"/>
                <w:lang w:val="uk-UA"/>
              </w:rPr>
              <w:t xml:space="preserve"> Наявність ДПТ:</w:t>
            </w:r>
          </w:p>
        </w:tc>
        <w:tc>
          <w:tcPr>
            <w:tcW w:w="6237" w:type="dxa"/>
          </w:tcPr>
          <w:p w14:paraId="5A3E555A" w14:textId="7A8D62A3" w:rsidR="00BC70E4" w:rsidRDefault="00B0552C" w:rsidP="00B0552C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листом </w:t>
            </w:r>
            <w:r>
              <w:rPr>
                <w:rFonts w:ascii="Times New Roman" w:eastAsia="Times New Roman" w:hAnsi="Times New Roman" w:cs="Times New Roman"/>
                <w:i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від 14.03.2025 № 055-3944 в</w:t>
            </w:r>
            <w:r w:rsidR="00BC70E4">
              <w:rPr>
                <w:rFonts w:ascii="Times New Roman" w:eastAsia="Times New Roman" w:hAnsi="Times New Roman" w:cs="Times New Roman"/>
                <w:i/>
                <w:color w:val="auto"/>
              </w:rPr>
              <w:t>ідповідно до д</w:t>
            </w:r>
            <w:r w:rsidR="00BC70E4">
              <w:rPr>
                <w:rFonts w:ascii="Times New Roman" w:hAnsi="Times New Roman" w:cs="Times New Roman"/>
                <w:i/>
              </w:rPr>
              <w:t>етального плану території в районі вулиць Академіка Заболотного, Академіка Лебедєва та Метрологічної</w:t>
            </w:r>
            <w:r>
              <w:rPr>
                <w:rFonts w:ascii="Times New Roman" w:hAnsi="Times New Roman" w:cs="Times New Roman"/>
                <w:i/>
              </w:rPr>
              <w:t xml:space="preserve"> у Голосіївському районі м. Києва,</w:t>
            </w:r>
            <w:r w:rsidR="00BC70E4">
              <w:rPr>
                <w:rFonts w:ascii="Times New Roman" w:hAnsi="Times New Roman" w:cs="Times New Roman"/>
                <w:i/>
              </w:rPr>
              <w:t xml:space="preserve"> затвердженого рішенням Київської міської ради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="00BC70E4">
              <w:rPr>
                <w:rFonts w:ascii="Times New Roman" w:hAnsi="Times New Roman" w:cs="Times New Roman"/>
                <w:i/>
              </w:rPr>
              <w:t xml:space="preserve">від 21.07.2016 № 827/827, земельна ділянка за </w:t>
            </w:r>
            <w:bookmarkStart w:id="0" w:name="_GoBack"/>
            <w:bookmarkEnd w:id="0"/>
            <w:r w:rsidR="00BC70E4">
              <w:rPr>
                <w:rFonts w:ascii="Times New Roman" w:hAnsi="Times New Roman" w:cs="Times New Roman"/>
                <w:i/>
              </w:rPr>
              <w:t>фу</w:t>
            </w:r>
            <w:r w:rsidR="00BC70E4" w:rsidRPr="00635244">
              <w:rPr>
                <w:rFonts w:ascii="Times New Roman" w:eastAsia="Times New Roman" w:hAnsi="Times New Roman" w:cs="Times New Roman"/>
                <w:i/>
              </w:rPr>
              <w:t xml:space="preserve">нкціональним призначенням </w:t>
            </w:r>
            <w:r w:rsidRPr="00B0552C">
              <w:rPr>
                <w:rFonts w:ascii="Times New Roman" w:eastAsia="Times New Roman" w:hAnsi="Times New Roman" w:cs="Times New Roman"/>
                <w:i/>
              </w:rPr>
              <w:t>відноситься до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B0552C">
              <w:rPr>
                <w:rFonts w:ascii="Times New Roman" w:eastAsia="Times New Roman" w:hAnsi="Times New Roman" w:cs="Times New Roman"/>
                <w:i/>
              </w:rPr>
              <w:t>території громадських будівель та споруд.</w:t>
            </w:r>
          </w:p>
          <w:p w14:paraId="32FFD5D5" w14:textId="13BDB5EB" w:rsidR="006A7795" w:rsidRPr="002E7DD2" w:rsidRDefault="006C20C7" w:rsidP="006C20C7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Згідно з листом Департаменту містобудування та архітектури виконавчого органу Київської міської ради (Київської міської державної адміністрації) від 21.04.2017 № 3200/0/12-4/19-17 заявлена ініціатива відповідає містобудівній документації.</w:t>
            </w:r>
          </w:p>
        </w:tc>
      </w:tr>
      <w:tr w:rsidR="006A7795" w:rsidRPr="00BC4E9C" w14:paraId="4F3AC85D" w14:textId="77777777" w:rsidTr="006C20C7">
        <w:tc>
          <w:tcPr>
            <w:tcW w:w="3260" w:type="dxa"/>
          </w:tcPr>
          <w:p w14:paraId="72FB8370" w14:textId="77777777" w:rsidR="006A7795" w:rsidRPr="00BC4E9C" w:rsidRDefault="006A7795" w:rsidP="00F93D71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Функціональне призначення  </w:t>
            </w:r>
          </w:p>
          <w:p w14:paraId="35EE636A" w14:textId="77777777" w:rsidR="006A7795" w:rsidRPr="00BC4E9C" w:rsidRDefault="006A7795" w:rsidP="00F93D71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</w:tcPr>
          <w:p w14:paraId="68D85B7D" w14:textId="2D0D08CC" w:rsidR="006A7795" w:rsidRPr="00BC4E9C" w:rsidRDefault="006A7795" w:rsidP="006C20C7">
            <w:pPr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від 28.03.2002 № 370/1804, </w:t>
            </w:r>
            <w:r>
              <w:rPr>
                <w:rFonts w:ascii="Times New Roman" w:eastAsia="Times New Roman" w:hAnsi="Times New Roman" w:cs="Times New Roman"/>
                <w:i/>
              </w:rPr>
              <w:t>з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>емельн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6352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C20C7">
              <w:rPr>
                <w:rFonts w:ascii="Times New Roman" w:hAnsi="Times New Roman" w:cs="Times New Roman"/>
                <w:i/>
              </w:rPr>
              <w:t xml:space="preserve">за </w:t>
            </w:r>
            <w:r w:rsidR="006C20C7">
              <w:rPr>
                <w:rFonts w:ascii="Times New Roman" w:hAnsi="Times New Roman" w:cs="Times New Roman"/>
                <w:i/>
              </w:rPr>
              <w:lastRenderedPageBreak/>
              <w:t>фу</w:t>
            </w:r>
            <w:r w:rsidR="006C20C7" w:rsidRPr="00635244">
              <w:rPr>
                <w:rFonts w:ascii="Times New Roman" w:eastAsia="Times New Roman" w:hAnsi="Times New Roman" w:cs="Times New Roman"/>
                <w:i/>
              </w:rPr>
              <w:t xml:space="preserve">нкціональним призначенням </w:t>
            </w:r>
            <w:r w:rsidR="006C20C7">
              <w:rPr>
                <w:rFonts w:ascii="Times New Roman" w:eastAsia="Times New Roman" w:hAnsi="Times New Roman" w:cs="Times New Roman"/>
                <w:i/>
              </w:rPr>
              <w:t>належить до території громадських будівель і споруд (існуючої).</w:t>
            </w:r>
          </w:p>
        </w:tc>
      </w:tr>
      <w:tr w:rsidR="006A7795" w:rsidRPr="00BC4E9C" w14:paraId="49137295" w14:textId="77777777" w:rsidTr="00F93D71">
        <w:trPr>
          <w:cantSplit/>
          <w:trHeight w:val="581"/>
        </w:trPr>
        <w:tc>
          <w:tcPr>
            <w:tcW w:w="3260" w:type="dxa"/>
          </w:tcPr>
          <w:p w14:paraId="1D257E97" w14:textId="77777777" w:rsidR="006A7795" w:rsidRPr="00BC4E9C" w:rsidRDefault="006A7795" w:rsidP="00F93D71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lastRenderedPageBreak/>
              <w:t xml:space="preserve"> Правовий режим:</w:t>
            </w:r>
          </w:p>
        </w:tc>
        <w:tc>
          <w:tcPr>
            <w:tcW w:w="6237" w:type="dxa"/>
          </w:tcPr>
          <w:p w14:paraId="4276226C" w14:textId="77777777" w:rsidR="006A7795" w:rsidRPr="00BC4E9C" w:rsidRDefault="006A7795" w:rsidP="00F93D71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BC4E9C">
              <w:rPr>
                <w:rFonts w:ascii="Times New Roman" w:hAnsi="Times New Roman" w:cs="Times New Roman"/>
                <w:i/>
              </w:rPr>
              <w:t>Земельн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BC4E9C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BC4E9C">
              <w:rPr>
                <w:rFonts w:ascii="Times New Roman" w:hAnsi="Times New Roman" w:cs="Times New Roman"/>
                <w:i/>
              </w:rPr>
              <w:t xml:space="preserve"> належ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BC4E9C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A7795" w:rsidRPr="00BC4E9C" w14:paraId="2052DCF2" w14:textId="77777777" w:rsidTr="00F93D71">
        <w:tc>
          <w:tcPr>
            <w:tcW w:w="3260" w:type="dxa"/>
          </w:tcPr>
          <w:p w14:paraId="0A1FA6CF" w14:textId="77777777" w:rsidR="006A7795" w:rsidRPr="00BC4E9C" w:rsidRDefault="006A7795" w:rsidP="00F93D71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7B4EFD28" w14:textId="16F5F29A" w:rsidR="006A7795" w:rsidRPr="00BC4E9C" w:rsidRDefault="006C20C7" w:rsidP="006C20C7">
            <w:pPr>
              <w:pStyle w:val="ad"/>
              <w:ind w:firstLine="323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Земельна ділянка </w:t>
            </w:r>
            <w:r w:rsidR="006A7795">
              <w:rPr>
                <w:rFonts w:ascii="Times New Roman" w:eastAsia="Times New Roman" w:hAnsi="Times New Roman" w:cs="Times New Roman"/>
                <w:i/>
              </w:rPr>
              <w:t>не потрапля</w:t>
            </w:r>
            <w:r>
              <w:rPr>
                <w:rFonts w:ascii="Times New Roman" w:eastAsia="Times New Roman" w:hAnsi="Times New Roman" w:cs="Times New Roman"/>
                <w:i/>
              </w:rPr>
              <w:t>є</w:t>
            </w:r>
            <w:r w:rsidR="006A7795">
              <w:rPr>
                <w:rFonts w:ascii="Times New Roman" w:eastAsia="Times New Roman" w:hAnsi="Times New Roman" w:cs="Times New Roman"/>
                <w:i/>
              </w:rPr>
              <w:t xml:space="preserve"> до зеленої зони.</w:t>
            </w:r>
          </w:p>
        </w:tc>
      </w:tr>
      <w:tr w:rsidR="006A7795" w:rsidRPr="00BC4E9C" w14:paraId="1158E9B0" w14:textId="77777777" w:rsidTr="00F93D71">
        <w:tc>
          <w:tcPr>
            <w:tcW w:w="3260" w:type="dxa"/>
          </w:tcPr>
          <w:p w14:paraId="25F2FBAB" w14:textId="77777777" w:rsidR="006A7795" w:rsidRPr="00BC4E9C" w:rsidRDefault="006A7795" w:rsidP="00F93D71">
            <w:pPr>
              <w:ind w:left="-113"/>
              <w:rPr>
                <w:rFonts w:ascii="Times New Roman" w:hAnsi="Times New Roman" w:cs="Times New Roman"/>
              </w:rPr>
            </w:pPr>
            <w:r w:rsidRPr="00BC4E9C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5E4A46B1" w14:textId="77777777" w:rsidR="006A7795" w:rsidRPr="00D637A5" w:rsidRDefault="006A7795" w:rsidP="00F93D71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DD3D55">
              <w:rPr>
                <w:rFonts w:ascii="Times New Roman" w:hAnsi="Times New Roman" w:cs="Times New Roman"/>
                <w:i/>
              </w:rPr>
              <w:t>З</w:t>
            </w:r>
            <w:r w:rsidRPr="00D637A5">
              <w:rPr>
                <w:rFonts w:ascii="Times New Roman" w:hAnsi="Times New Roman" w:cs="Times New Roman"/>
                <w:i/>
              </w:rPr>
              <w:t xml:space="preserve">азначаємо, що Департамент земельних ресурсів </w:t>
            </w:r>
            <w:r w:rsidRPr="00D637A5">
              <w:rPr>
                <w:rFonts w:ascii="Times New Roman" w:hAnsi="Times New Roman" w:cs="Times New Roman"/>
                <w:i/>
              </w:rPr>
              <w:br/>
              <w:t>не може перебирати на себе повноваження Київської міської ради та приймати рішення про надання або відмову у наданні в постійне користування земельн</w:t>
            </w:r>
            <w:r>
              <w:rPr>
                <w:rFonts w:ascii="Times New Roman" w:hAnsi="Times New Roman" w:cs="Times New Roman"/>
                <w:i/>
              </w:rPr>
              <w:t>их</w:t>
            </w:r>
            <w:r w:rsidRPr="00D637A5">
              <w:rPr>
                <w:rFonts w:ascii="Times New Roman" w:hAnsi="Times New Roman" w:cs="Times New Roman"/>
                <w:i/>
              </w:rPr>
              <w:t xml:space="preserve"> ділян</w:t>
            </w:r>
            <w:r>
              <w:rPr>
                <w:rFonts w:ascii="Times New Roman" w:hAnsi="Times New Roman" w:cs="Times New Roman"/>
                <w:i/>
              </w:rPr>
              <w:t>ок</w:t>
            </w:r>
            <w:r w:rsidRPr="00D637A5">
              <w:rPr>
                <w:rFonts w:ascii="Times New Roman" w:hAnsi="Times New Roman" w:cs="Times New Roman"/>
                <w:i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286CDC3" w14:textId="77777777" w:rsidR="006A7795" w:rsidRPr="00D637A5" w:rsidRDefault="006A7795" w:rsidP="00F93D71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D637A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637A5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6890AD65" w14:textId="77777777" w:rsidR="006A7795" w:rsidRPr="00BC4E9C" w:rsidRDefault="006A7795" w:rsidP="00F93D71">
            <w:pPr>
              <w:ind w:firstLine="323"/>
              <w:jc w:val="both"/>
              <w:rPr>
                <w:rFonts w:ascii="Times New Roman" w:hAnsi="Times New Roman" w:cs="Times New Roman"/>
                <w:i/>
              </w:rPr>
            </w:pPr>
            <w:r w:rsidRPr="00D637A5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D637A5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D637A5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B09D14B" w14:textId="77777777" w:rsidR="006A7795" w:rsidRPr="00BC4E9C" w:rsidRDefault="006A7795" w:rsidP="006A7795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  <w:lang w:val="uk-UA"/>
        </w:rPr>
      </w:pPr>
    </w:p>
    <w:p w14:paraId="62AEE13E" w14:textId="77777777" w:rsidR="006A7795" w:rsidRPr="00BC4E9C" w:rsidRDefault="006A7795" w:rsidP="00C227E5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6A03EDCC" w14:textId="77777777" w:rsidR="006A7795" w:rsidRDefault="006A7795" w:rsidP="00C227E5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  <w:lang w:val="uk-UA"/>
        </w:rPr>
      </w:pPr>
      <w:r w:rsidRPr="0085621F">
        <w:rPr>
          <w:i w:val="0"/>
          <w:sz w:val="24"/>
          <w:szCs w:val="24"/>
          <w:lang w:val="uk-UA"/>
        </w:rPr>
        <w:t xml:space="preserve">Загальні засади та порядок </w:t>
      </w:r>
      <w:r w:rsidRPr="00AE15B9">
        <w:rPr>
          <w:i w:val="0"/>
          <w:sz w:val="24"/>
          <w:szCs w:val="24"/>
          <w:lang w:val="uk-UA"/>
        </w:rPr>
        <w:t xml:space="preserve">передачі земельних ділянок </w:t>
      </w:r>
      <w:r w:rsidRPr="00BC4E9C">
        <w:rPr>
          <w:i w:val="0"/>
          <w:sz w:val="24"/>
          <w:szCs w:val="24"/>
          <w:lang w:val="uk-UA"/>
        </w:rPr>
        <w:t xml:space="preserve">у користування зацікавленим особам </w:t>
      </w:r>
      <w:r w:rsidRPr="0085621F">
        <w:rPr>
          <w:i w:val="0"/>
          <w:sz w:val="24"/>
          <w:szCs w:val="24"/>
          <w:lang w:val="uk-UA"/>
        </w:rPr>
        <w:t xml:space="preserve">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>
        <w:rPr>
          <w:i w:val="0"/>
          <w:sz w:val="24"/>
          <w:szCs w:val="24"/>
          <w:lang w:val="uk-UA"/>
        </w:rPr>
        <w:br/>
      </w:r>
      <w:r w:rsidRPr="0085621F">
        <w:rPr>
          <w:i w:val="0"/>
          <w:sz w:val="24"/>
          <w:szCs w:val="24"/>
          <w:lang w:val="uk-UA"/>
        </w:rPr>
        <w:t>від 20.04.2017 № 241/2463.</w:t>
      </w:r>
    </w:p>
    <w:p w14:paraId="33C6A8FD" w14:textId="77777777" w:rsidR="006A7795" w:rsidRPr="00065A8A" w:rsidRDefault="006A7795" w:rsidP="00C227E5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674DD1BE" w14:textId="77777777" w:rsidR="006A7795" w:rsidRPr="00065A8A" w:rsidRDefault="006A7795" w:rsidP="00C227E5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</w:t>
      </w:r>
      <w:r>
        <w:rPr>
          <w:i w:val="0"/>
          <w:sz w:val="24"/>
          <w:szCs w:val="24"/>
          <w:lang w:val="uk-UA"/>
        </w:rPr>
        <w:t xml:space="preserve">не </w:t>
      </w:r>
      <w:r w:rsidRPr="00065A8A">
        <w:rPr>
          <w:i w:val="0"/>
          <w:sz w:val="24"/>
          <w:szCs w:val="24"/>
          <w:lang w:val="uk-UA"/>
        </w:rPr>
        <w:t>містить службов</w:t>
      </w:r>
      <w:r>
        <w:rPr>
          <w:i w:val="0"/>
          <w:sz w:val="24"/>
          <w:szCs w:val="24"/>
          <w:lang w:val="uk-UA"/>
        </w:rPr>
        <w:t>ої</w:t>
      </w:r>
      <w:r w:rsidRPr="00065A8A">
        <w:rPr>
          <w:i w:val="0"/>
          <w:sz w:val="24"/>
          <w:szCs w:val="24"/>
          <w:lang w:val="uk-UA"/>
        </w:rPr>
        <w:t xml:space="preserve"> інформаці</w:t>
      </w:r>
      <w:r>
        <w:rPr>
          <w:i w:val="0"/>
          <w:sz w:val="24"/>
          <w:szCs w:val="24"/>
          <w:lang w:val="uk-UA"/>
        </w:rPr>
        <w:t>ї</w:t>
      </w:r>
      <w:r w:rsidRPr="00065A8A">
        <w:rPr>
          <w:i w:val="0"/>
          <w:sz w:val="24"/>
          <w:szCs w:val="24"/>
          <w:lang w:val="uk-UA"/>
        </w:rPr>
        <w:t xml:space="preserve"> у розумінні статті 6 Закону України «Про доступ до публічної інформації».</w:t>
      </w:r>
    </w:p>
    <w:p w14:paraId="2F744C14" w14:textId="77777777" w:rsidR="006A7795" w:rsidRDefault="006A7795" w:rsidP="00C227E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065A8A">
        <w:rPr>
          <w:i w:val="0"/>
          <w:sz w:val="24"/>
          <w:szCs w:val="24"/>
          <w:lang w:val="uk-UA"/>
        </w:rPr>
        <w:t>Проєкт</w:t>
      </w:r>
      <w:proofErr w:type="spellEnd"/>
      <w:r w:rsidRPr="00065A8A">
        <w:rPr>
          <w:i w:val="0"/>
          <w:sz w:val="24"/>
          <w:szCs w:val="24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B975DE1" w14:textId="77777777" w:rsidR="006A7795" w:rsidRPr="00BC4E9C" w:rsidRDefault="006A7795" w:rsidP="00C227E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18F94693" w14:textId="77777777" w:rsidR="006A7795" w:rsidRPr="00BC4E9C" w:rsidRDefault="006A7795" w:rsidP="00C227E5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ind w:firstLine="42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2E1533F8" w14:textId="77777777" w:rsidR="006A7795" w:rsidRPr="00BC4E9C" w:rsidRDefault="006A7795" w:rsidP="00C227E5">
      <w:pPr>
        <w:pStyle w:val="1"/>
        <w:tabs>
          <w:tab w:val="left" w:pos="426"/>
        </w:tabs>
        <w:ind w:left="400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A182E14" w14:textId="7AC38BCC" w:rsidR="006A7795" w:rsidRPr="00C37D58" w:rsidRDefault="006A7795" w:rsidP="00C227E5">
      <w:pPr>
        <w:pStyle w:val="1"/>
        <w:shd w:val="clear" w:color="auto" w:fill="auto"/>
        <w:ind w:firstLine="426"/>
        <w:jc w:val="both"/>
      </w:pPr>
      <w:r w:rsidRPr="00C37D58">
        <w:rPr>
          <w:i w:val="0"/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</w:t>
      </w:r>
      <w:r w:rsidRPr="008A6AD9">
        <w:rPr>
          <w:i w:val="0"/>
          <w:sz w:val="24"/>
          <w:szCs w:val="24"/>
          <w:lang w:val="uk-UA"/>
        </w:rPr>
        <w:t>датиме</w:t>
      </w:r>
      <w:r w:rsidRPr="00D74B7D">
        <w:rPr>
          <w:i w:val="0"/>
          <w:sz w:val="24"/>
          <w:szCs w:val="24"/>
          <w:lang w:val="uk-UA"/>
        </w:rPr>
        <w:t>:</w:t>
      </w:r>
      <w:r>
        <w:t xml:space="preserve"> </w:t>
      </w:r>
      <w:r w:rsidR="00D74B7D" w:rsidRPr="00D74B7D">
        <w:rPr>
          <w:b/>
          <w:i w:val="0"/>
          <w:sz w:val="24"/>
          <w:szCs w:val="24"/>
          <w:lang w:val="uk-UA"/>
        </w:rPr>
        <w:t>123</w:t>
      </w:r>
      <w:r w:rsidR="00D74B7D">
        <w:rPr>
          <w:b/>
          <w:i w:val="0"/>
          <w:sz w:val="24"/>
          <w:szCs w:val="24"/>
          <w:lang w:val="uk-UA"/>
        </w:rPr>
        <w:t> </w:t>
      </w:r>
      <w:r w:rsidR="00D74B7D" w:rsidRPr="00D74B7D">
        <w:rPr>
          <w:b/>
          <w:i w:val="0"/>
          <w:sz w:val="24"/>
          <w:szCs w:val="24"/>
          <w:lang w:val="uk-UA"/>
        </w:rPr>
        <w:t>880</w:t>
      </w:r>
      <w:r w:rsidR="00D74B7D">
        <w:rPr>
          <w:b/>
          <w:i w:val="0"/>
          <w:sz w:val="24"/>
          <w:szCs w:val="24"/>
          <w:lang w:val="uk-UA"/>
        </w:rPr>
        <w:t xml:space="preserve"> </w:t>
      </w:r>
      <w:r w:rsidRPr="00D74B7D">
        <w:rPr>
          <w:b/>
          <w:i w:val="0"/>
          <w:sz w:val="24"/>
          <w:szCs w:val="24"/>
          <w:lang w:val="uk-UA"/>
        </w:rPr>
        <w:t xml:space="preserve">грн </w:t>
      </w:r>
      <w:r w:rsidR="00D74B7D" w:rsidRPr="00D74B7D">
        <w:rPr>
          <w:b/>
          <w:i w:val="0"/>
          <w:sz w:val="24"/>
          <w:szCs w:val="24"/>
          <w:lang w:val="uk-UA"/>
        </w:rPr>
        <w:t>33</w:t>
      </w:r>
      <w:r w:rsidRPr="00D74B7D">
        <w:rPr>
          <w:b/>
          <w:i w:val="0"/>
          <w:sz w:val="24"/>
          <w:szCs w:val="24"/>
          <w:lang w:val="uk-UA"/>
        </w:rPr>
        <w:t xml:space="preserve"> коп. (1 %)</w:t>
      </w:r>
      <w:r w:rsidRPr="00C37D58">
        <w:t>.</w:t>
      </w:r>
    </w:p>
    <w:p w14:paraId="3CAC97DF" w14:textId="77777777" w:rsidR="006A7795" w:rsidRDefault="006A7795" w:rsidP="00C227E5">
      <w:pPr>
        <w:pStyle w:val="1"/>
        <w:shd w:val="clear" w:color="auto" w:fill="auto"/>
        <w:tabs>
          <w:tab w:val="left" w:pos="708"/>
        </w:tabs>
        <w:ind w:firstLine="426"/>
        <w:jc w:val="both"/>
        <w:rPr>
          <w:i w:val="0"/>
          <w:sz w:val="24"/>
          <w:szCs w:val="24"/>
          <w:lang w:val="uk-UA"/>
        </w:rPr>
      </w:pPr>
    </w:p>
    <w:p w14:paraId="444B2159" w14:textId="77777777" w:rsidR="006A7795" w:rsidRPr="00BC4E9C" w:rsidRDefault="006A7795" w:rsidP="00C227E5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BC4E9C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114B3D49" w14:textId="77777777" w:rsidR="006A7795" w:rsidRPr="00BC4E9C" w:rsidRDefault="006A7795" w:rsidP="00C227E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BC4E9C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C4E9C">
        <w:rPr>
          <w:i w:val="0"/>
          <w:sz w:val="24"/>
          <w:szCs w:val="24"/>
          <w:lang w:val="uk-UA"/>
        </w:rPr>
        <w:t>проєкту</w:t>
      </w:r>
      <w:proofErr w:type="spellEnd"/>
      <w:r w:rsidRPr="00BC4E9C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</w:t>
      </w:r>
      <w:r>
        <w:rPr>
          <w:i w:val="0"/>
          <w:sz w:val="24"/>
          <w:szCs w:val="24"/>
          <w:lang w:val="uk-UA"/>
        </w:rPr>
        <w:t>ування</w:t>
      </w:r>
      <w:r w:rsidRPr="00BC4E9C">
        <w:rPr>
          <w:i w:val="0"/>
          <w:sz w:val="24"/>
          <w:szCs w:val="24"/>
          <w:lang w:val="uk-UA"/>
        </w:rPr>
        <w:t xml:space="preserve"> земельно</w:t>
      </w:r>
      <w:r>
        <w:rPr>
          <w:i w:val="0"/>
          <w:sz w:val="24"/>
          <w:szCs w:val="24"/>
          <w:lang w:val="uk-UA"/>
        </w:rPr>
        <w:t>ю</w:t>
      </w:r>
      <w:r w:rsidRPr="00BC4E9C">
        <w:rPr>
          <w:i w:val="0"/>
          <w:sz w:val="24"/>
          <w:szCs w:val="24"/>
          <w:lang w:val="uk-UA"/>
        </w:rPr>
        <w:t xml:space="preserve"> ділянк</w:t>
      </w:r>
      <w:r>
        <w:rPr>
          <w:i w:val="0"/>
          <w:sz w:val="24"/>
          <w:szCs w:val="24"/>
          <w:lang w:val="uk-UA"/>
        </w:rPr>
        <w:t>ою</w:t>
      </w:r>
      <w:r w:rsidRPr="00BC4E9C">
        <w:rPr>
          <w:i w:val="0"/>
          <w:sz w:val="24"/>
          <w:szCs w:val="24"/>
          <w:lang w:val="uk-UA"/>
        </w:rPr>
        <w:t>.</w:t>
      </w:r>
    </w:p>
    <w:p w14:paraId="0E7AC6DB" w14:textId="77777777" w:rsidR="006A7795" w:rsidRPr="00BC4E9C" w:rsidRDefault="006A7795" w:rsidP="00C227E5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172B6EEB" w14:textId="77777777" w:rsidR="006A7795" w:rsidRPr="00BC4E9C" w:rsidRDefault="006A7795" w:rsidP="00C227E5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BC4E9C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BC4E9C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784AD90D" w14:textId="77777777" w:rsidR="006A7795" w:rsidRDefault="006A7795" w:rsidP="00C227E5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p w14:paraId="47944991" w14:textId="77777777" w:rsidR="007D4A0A" w:rsidRDefault="007D4A0A" w:rsidP="00C227E5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1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C227E5">
            <w:pPr>
              <w:pStyle w:val="30"/>
              <w:spacing w:line="240" w:lineRule="auto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C227E5">
            <w:pPr>
              <w:pStyle w:val="30"/>
              <w:shd w:val="clear" w:color="auto" w:fill="auto"/>
              <w:spacing w:line="240" w:lineRule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 w:rsidP="00C227E5">
      <w:pPr>
        <w:rPr>
          <w:rFonts w:ascii="Times New Roman" w:hAnsi="Times New Roman" w:cs="Times New Roman"/>
        </w:rPr>
      </w:pPr>
    </w:p>
    <w:sectPr w:rsidR="00FF1715" w:rsidRPr="00B30291" w:rsidSect="006A7795">
      <w:headerReference w:type="default" r:id="rId10"/>
      <w:footerReference w:type="default" r:id="rId11"/>
      <w:pgSz w:w="11907" w:h="16839" w:code="9"/>
      <w:pgMar w:top="1134" w:right="850" w:bottom="1134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04F86" w14:textId="77777777" w:rsidR="004E79E2" w:rsidRDefault="004E79E2">
      <w:r>
        <w:separator/>
      </w:r>
    </w:p>
  </w:endnote>
  <w:endnote w:type="continuationSeparator" w:id="0">
    <w:p w14:paraId="5F69DDBF" w14:textId="77777777" w:rsidR="004E79E2" w:rsidRDefault="004E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DB5A09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DB5A09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DB5A09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2863" w14:textId="77777777" w:rsidR="004E79E2" w:rsidRDefault="004E79E2">
      <w:r>
        <w:separator/>
      </w:r>
    </w:p>
  </w:footnote>
  <w:footnote w:type="continuationSeparator" w:id="0">
    <w:p w14:paraId="7E31F4F6" w14:textId="77777777" w:rsidR="004E79E2" w:rsidRDefault="004E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541320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7C822C" w14:textId="77777777" w:rsidR="006A7795" w:rsidRDefault="002D265C" w:rsidP="006A7795">
        <w:pPr>
          <w:pStyle w:val="22"/>
          <w:shd w:val="clear" w:color="auto" w:fill="auto"/>
          <w:spacing w:after="0"/>
          <w:ind w:left="2680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</w:p>
      <w:p w14:paraId="21B8399B" w14:textId="05074F5E" w:rsidR="00DB5A09" w:rsidRPr="00800A09" w:rsidRDefault="0012494D" w:rsidP="006A7795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</w:rPr>
        </w:pPr>
        <w:proofErr w:type="spellStart"/>
        <w:r w:rsidRPr="00800A09">
          <w:rPr>
            <w:i w:val="0"/>
            <w:sz w:val="12"/>
            <w:szCs w:val="12"/>
          </w:rPr>
          <w:t>Пояснювальна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записка</w:t>
        </w:r>
        <w:proofErr w:type="spellEnd"/>
        <w:r w:rsidRPr="00800A09">
          <w:rPr>
            <w:i w:val="0"/>
            <w:sz w:val="12"/>
            <w:szCs w:val="12"/>
          </w:rPr>
          <w:t xml:space="preserve"> № ПЗН-78488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від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r w:rsidR="00855E11">
          <w:rPr>
            <w:i w:val="0"/>
            <w:sz w:val="12"/>
            <w:szCs w:val="12"/>
          </w:rPr>
          <w:t>27.02.2025</w:t>
        </w:r>
        <w:r w:rsidRPr="00800A09">
          <w:rPr>
            <w:i w:val="0"/>
            <w:sz w:val="12"/>
            <w:szCs w:val="12"/>
          </w:rPr>
          <w:t xml:space="preserve"> </w:t>
        </w:r>
        <w:proofErr w:type="spellStart"/>
        <w:r w:rsidRPr="00800A09">
          <w:rPr>
            <w:i w:val="0"/>
            <w:sz w:val="12"/>
            <w:szCs w:val="12"/>
          </w:rPr>
          <w:t>до</w:t>
        </w:r>
        <w:proofErr w:type="spellEnd"/>
        <w:r w:rsidRPr="00800A09">
          <w:rPr>
            <w:i w:val="0"/>
            <w:sz w:val="12"/>
            <w:szCs w:val="12"/>
          </w:rPr>
          <w:t xml:space="preserve"> </w:t>
        </w:r>
        <w:r w:rsidR="006A7795">
          <w:rPr>
            <w:i w:val="0"/>
            <w:sz w:val="12"/>
            <w:szCs w:val="12"/>
            <w:lang w:val="uk-UA"/>
          </w:rPr>
          <w:t>справи</w:t>
        </w:r>
        <w:r w:rsidRPr="00800A09">
          <w:rPr>
            <w:i w:val="0"/>
            <w:sz w:val="12"/>
            <w:szCs w:val="12"/>
          </w:rPr>
          <w:t xml:space="preserve"> 333999291</w:t>
        </w:r>
      </w:p>
      <w:p w14:paraId="3386C57A" w14:textId="4079AEEC" w:rsidR="00DB5A09" w:rsidRPr="00800A09" w:rsidRDefault="0012494D" w:rsidP="006A7795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B0552C" w:rsidRPr="00B0552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DB5A09" w:rsidRDefault="00DB5A09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143D6"/>
    <w:rsid w:val="00037BE6"/>
    <w:rsid w:val="0012494D"/>
    <w:rsid w:val="001675FB"/>
    <w:rsid w:val="00173F07"/>
    <w:rsid w:val="00174E19"/>
    <w:rsid w:val="001A7756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95A67"/>
    <w:rsid w:val="004E79E2"/>
    <w:rsid w:val="0050652B"/>
    <w:rsid w:val="005740F1"/>
    <w:rsid w:val="00581A44"/>
    <w:rsid w:val="005C003C"/>
    <w:rsid w:val="005D5C2D"/>
    <w:rsid w:val="005E2EFF"/>
    <w:rsid w:val="005F3A79"/>
    <w:rsid w:val="0065190A"/>
    <w:rsid w:val="006A34C6"/>
    <w:rsid w:val="006A7795"/>
    <w:rsid w:val="006C20C7"/>
    <w:rsid w:val="007033CD"/>
    <w:rsid w:val="00706695"/>
    <w:rsid w:val="00725C6A"/>
    <w:rsid w:val="007312B1"/>
    <w:rsid w:val="007C0899"/>
    <w:rsid w:val="007D4A0A"/>
    <w:rsid w:val="007E3A33"/>
    <w:rsid w:val="007F05B6"/>
    <w:rsid w:val="007F1356"/>
    <w:rsid w:val="00820317"/>
    <w:rsid w:val="00855E11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0552C"/>
    <w:rsid w:val="00B11B2C"/>
    <w:rsid w:val="00B30291"/>
    <w:rsid w:val="00B71ACF"/>
    <w:rsid w:val="00B84B97"/>
    <w:rsid w:val="00B96FCD"/>
    <w:rsid w:val="00BC70E4"/>
    <w:rsid w:val="00C04B24"/>
    <w:rsid w:val="00C20204"/>
    <w:rsid w:val="00C227E5"/>
    <w:rsid w:val="00C55928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4B7D"/>
    <w:rsid w:val="00D77F52"/>
    <w:rsid w:val="00D85DDE"/>
    <w:rsid w:val="00DB5A09"/>
    <w:rsid w:val="00E34240"/>
    <w:rsid w:val="00E420E1"/>
    <w:rsid w:val="00E60C6D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53EB-3319-4691-BB1B-11C06BDC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7475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Рабець Максим Миколайович</cp:lastModifiedBy>
  <cp:revision>48</cp:revision>
  <cp:lastPrinted>2025-03-14T13:19:00Z</cp:lastPrinted>
  <dcterms:created xsi:type="dcterms:W3CDTF">2020-11-18T11:16:00Z</dcterms:created>
  <dcterms:modified xsi:type="dcterms:W3CDTF">2025-03-14T13:20:00Z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