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330179054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330179054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664A6D2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370DD5">
        <w:rPr>
          <w:b/>
          <w:bCs/>
          <w:color w:val="auto"/>
          <w:sz w:val="24"/>
          <w:szCs w:val="24"/>
          <w:lang w:val="ru-RU"/>
        </w:rPr>
        <w:t>ПЗН-71165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370DD5">
        <w:rPr>
          <w:b/>
          <w:bCs/>
          <w:color w:val="auto"/>
          <w:sz w:val="24"/>
          <w:szCs w:val="24"/>
          <w:lang w:val="ru-RU"/>
        </w:rPr>
        <w:t>17.09.2024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4969A020" w:rsidR="004F0681" w:rsidRPr="00965A55" w:rsidRDefault="00370DD5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370DD5">
        <w:rPr>
          <w:b/>
          <w:i/>
          <w:iCs/>
          <w:color w:val="auto"/>
          <w:sz w:val="24"/>
          <w:szCs w:val="24"/>
        </w:rPr>
        <w:t xml:space="preserve">Про надання громадянину </w:t>
      </w:r>
      <w:proofErr w:type="spellStart"/>
      <w:r w:rsidRPr="00370DD5">
        <w:rPr>
          <w:b/>
          <w:i/>
          <w:iCs/>
          <w:color w:val="auto"/>
          <w:sz w:val="24"/>
          <w:szCs w:val="24"/>
        </w:rPr>
        <w:t>Мєзєнцеву</w:t>
      </w:r>
      <w:proofErr w:type="spellEnd"/>
      <w:r w:rsidRPr="00370DD5">
        <w:rPr>
          <w:b/>
          <w:i/>
          <w:iCs/>
          <w:color w:val="auto"/>
          <w:sz w:val="24"/>
          <w:szCs w:val="24"/>
        </w:rPr>
        <w:t xml:space="preserve"> Володимиру Анатолійовичу дозволу на розроблення </w:t>
      </w:r>
      <w:proofErr w:type="spellStart"/>
      <w:r w:rsidRPr="00370DD5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370DD5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 для будівництва і обслуговування житлового будинку, господарських будівель і споруд (присадибна ділянка) на </w:t>
      </w:r>
      <w:r>
        <w:rPr>
          <w:b/>
          <w:i/>
          <w:iCs/>
          <w:color w:val="auto"/>
          <w:sz w:val="24"/>
          <w:szCs w:val="24"/>
        </w:rPr>
        <w:br/>
      </w:r>
      <w:r w:rsidRPr="00370DD5">
        <w:rPr>
          <w:b/>
          <w:i/>
          <w:iCs/>
          <w:color w:val="auto"/>
          <w:sz w:val="24"/>
          <w:szCs w:val="24"/>
        </w:rPr>
        <w:t>вул. Фруктовій, 4А у Подільському районі міста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A54AB4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Мєзєнцев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02.09.2024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330179054</w:t>
            </w:r>
          </w:p>
        </w:tc>
      </w:tr>
    </w:tbl>
    <w:p w14:paraId="240C3A2D" w14:textId="77777777" w:rsidR="002438BA" w:rsidRPr="00A54AB4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16"/>
          <w:szCs w:val="16"/>
        </w:rPr>
      </w:pPr>
    </w:p>
    <w:p w14:paraId="2B91693E" w14:textId="3E5F336E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7E5816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85:241:0167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Подільський, вул. Фруктова, 4 а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E333EE4" w:rsidR="00637B70" w:rsidRPr="00965A55" w:rsidRDefault="00C637AA" w:rsidP="005E212D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E212D" w:rsidRPr="005E212D">
              <w:rPr>
                <w:b w:val="0"/>
                <w:i/>
                <w:color w:val="auto"/>
                <w:sz w:val="24"/>
                <w:szCs w:val="24"/>
              </w:rPr>
              <w:t>Орієнтовна 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0,09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49B3967D" w:rsidR="00637B70" w:rsidRPr="000B0F13" w:rsidRDefault="005E212D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5E212D">
              <w:rPr>
                <w:rFonts w:ascii="Times New Roman" w:hAnsi="Times New Roman" w:cs="Times New Roman"/>
                <w:bCs/>
                <w:i/>
                <w:color w:val="auto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A54AB4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16"/>
          <w:szCs w:val="16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A54AB4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16"/>
          <w:szCs w:val="16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60659A22" w14:textId="0D6D8CF2" w:rsidR="00024B79" w:rsidRDefault="005E212D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5E212D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3EC4E320" w14:textId="77777777" w:rsidR="005E212D" w:rsidRPr="00A54AB4" w:rsidRDefault="005E212D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16"/>
          <w:szCs w:val="16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4896E2C" w:rsidR="00592B62" w:rsidRPr="00965A55" w:rsidRDefault="005E212D" w:rsidP="007E581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67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який належить громадянину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Мезєнцеву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В.А.</w:t>
            </w:r>
            <w:r w:rsidR="007E58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праві приватної власності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реєстраційний номер об’єкта нерухомого майна </w:t>
            </w:r>
            <w:r w:rsidR="007E58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2835020180000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>, дат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державної реєстрації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05.12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.2023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18.11.2023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>, номер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відомостей про речове право 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52814953 та 52642881</w:t>
            </w:r>
            <w:r w:rsidR="007E58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відповідно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                    від 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17.09.2024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 w:rsidR="00FF4010">
              <w:rPr>
                <w:rFonts w:ascii="Times New Roman" w:eastAsia="Times New Roman" w:hAnsi="Times New Roman" w:cs="Times New Roman"/>
                <w:i/>
                <w:color w:val="auto"/>
              </w:rPr>
              <w:t>395181090</w:t>
            </w:r>
            <w:r w:rsidRPr="005E212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785E9B93" w14:textId="77777777" w:rsidTr="00A54AB4">
        <w:trPr>
          <w:cantSplit/>
          <w:trHeight w:val="416"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29F8D0E6" w:rsidR="00592B62" w:rsidRPr="00965A55" w:rsidRDefault="00592B62" w:rsidP="00A54AB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05BDD7F" w:rsidR="00592B62" w:rsidRPr="00965A55" w:rsidRDefault="00FF4010" w:rsidP="00FF401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F40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Pr="00FF4010">
              <w:rPr>
                <w:rFonts w:ascii="Times New Roman" w:eastAsia="Times New Roman" w:hAnsi="Times New Roman" w:cs="Times New Roman"/>
                <w:i/>
                <w:color w:val="auto"/>
              </w:rPr>
              <w:t>від 28.03.2002 № 370/1804, земельна ділянка за функціональним призначенням належить до території житлової садибної забудови</w:t>
            </w:r>
            <w:r w:rsidR="007E581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7E5816" w:rsidRPr="007E5816">
              <w:rPr>
                <w:rFonts w:ascii="Times New Roman" w:eastAsia="Times New Roman" w:hAnsi="Times New Roman" w:cs="Times New Roman"/>
                <w:i/>
                <w:color w:val="auto"/>
              </w:rPr>
              <w:t>та заявлена ініціатива відповідає містобудівній документації</w:t>
            </w:r>
            <w:r w:rsidR="00A54AB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функціональним призначенням</w:t>
            </w:r>
            <w:r w:rsidRPr="00FF40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08.08</w:t>
            </w:r>
            <w:r w:rsidRPr="00FF4010">
              <w:rPr>
                <w:rFonts w:ascii="Times New Roman" w:eastAsia="Times New Roman" w:hAnsi="Times New Roman" w:cs="Times New Roman"/>
                <w:i/>
                <w:color w:val="auto"/>
              </w:rPr>
              <w:t>.2024 № 055-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7498</w:t>
            </w:r>
            <w:r w:rsidRPr="00FF4010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29317F92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B697BB4" w14:textId="77777777" w:rsidR="00FF4010" w:rsidRPr="00FF4010" w:rsidRDefault="00FF4010" w:rsidP="00FF40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286DDB1C" w14:textId="77777777" w:rsidR="00FF4010" w:rsidRPr="00FF4010" w:rsidRDefault="00FF4010" w:rsidP="00FF40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надані дозволу на розроблення </w:t>
            </w:r>
            <w:proofErr w:type="spellStart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97B91B9" w14:textId="77777777" w:rsidR="00FF4010" w:rsidRPr="00FF4010" w:rsidRDefault="00FF4010" w:rsidP="00FF40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3E25B2DF" w14:textId="349223CD" w:rsidR="002500BB" w:rsidRPr="00965A55" w:rsidRDefault="00FF4010" w:rsidP="00FF40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C832079" w14:textId="77777777" w:rsidR="00FF4010" w:rsidRPr="002247CE" w:rsidRDefault="00FF4010" w:rsidP="00FF4010">
      <w:pPr>
        <w:pStyle w:val="1"/>
        <w:spacing w:after="0"/>
        <w:ind w:firstLine="426"/>
        <w:jc w:val="both"/>
        <w:rPr>
          <w:sz w:val="24"/>
          <w:szCs w:val="24"/>
        </w:rPr>
      </w:pPr>
      <w:r w:rsidRPr="002247CE">
        <w:rPr>
          <w:sz w:val="24"/>
          <w:szCs w:val="24"/>
        </w:rPr>
        <w:t xml:space="preserve">Загальні засади та порядок </w:t>
      </w:r>
      <w:r w:rsidRPr="0070594F">
        <w:rPr>
          <w:sz w:val="24"/>
          <w:szCs w:val="24"/>
        </w:rPr>
        <w:t>отримання дозволу на розроблення документації із землеустрою визначено</w:t>
      </w:r>
      <w:r w:rsidRPr="002247CE">
        <w:rPr>
          <w:sz w:val="24"/>
          <w:szCs w:val="24"/>
        </w:rPr>
        <w:t xml:space="preserve">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6D8178E1" w14:textId="77777777" w:rsidR="00FF4010" w:rsidRPr="002247CE" w:rsidRDefault="00FF4010" w:rsidP="00FF4010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B072F0D" w14:textId="77777777" w:rsidR="00FF4010" w:rsidRPr="002247CE" w:rsidRDefault="00FF4010" w:rsidP="00FF4010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DA4BAFE" w14:textId="77777777" w:rsidR="00FF4010" w:rsidRDefault="00FF4010" w:rsidP="00FF401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61C45DA9" w14:textId="36C2D025" w:rsidR="00A30C1A" w:rsidRPr="005E06A1" w:rsidRDefault="00A30C1A" w:rsidP="00A30C1A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  <w:lang w:val="en-US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</w:t>
      </w:r>
      <w:r w:rsidR="00D966F3">
        <w:rPr>
          <w:sz w:val="24"/>
          <w:szCs w:val="24"/>
        </w:rPr>
        <w:t>.</w:t>
      </w:r>
      <w:bookmarkStart w:id="0" w:name="_GoBack"/>
      <w:bookmarkEnd w:id="0"/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370DD5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42499645" w:rsidR="00862990" w:rsidRDefault="00E4749A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</w:t>
    </w:r>
    <w:r w:rsidR="00862990">
      <w:rPr>
        <w:sz w:val="12"/>
        <w:szCs w:val="12"/>
      </w:rPr>
      <w:t xml:space="preserve">Пояснювальна записка № </w:t>
    </w:r>
    <w:r w:rsidR="00C77937" w:rsidRPr="00370DD5">
      <w:rPr>
        <w:sz w:val="12"/>
        <w:szCs w:val="12"/>
        <w:lang w:val="ru-RU"/>
      </w:rPr>
      <w:t>ПЗН-71165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17.09.2024</w:t>
    </w:r>
    <w:r w:rsidR="00862990">
      <w:rPr>
        <w:sz w:val="12"/>
        <w:szCs w:val="12"/>
      </w:rPr>
      <w:t xml:space="preserve"> до клопотання 330179054</w:t>
    </w:r>
  </w:p>
  <w:p w14:paraId="2CBD23C3" w14:textId="1F17D2D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E06A1" w:rsidRPr="005E06A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70DD5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5E06A1"/>
    <w:rsid w:val="005E212D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E5816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0C1A"/>
    <w:rsid w:val="00A34E3F"/>
    <w:rsid w:val="00A43A8F"/>
    <w:rsid w:val="00A47B0D"/>
    <w:rsid w:val="00A54AB4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966F3"/>
    <w:rsid w:val="00DC1064"/>
    <w:rsid w:val="00DC6EFC"/>
    <w:rsid w:val="00DD18F4"/>
    <w:rsid w:val="00DD788D"/>
    <w:rsid w:val="00DF6F41"/>
    <w:rsid w:val="00E4749A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5035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Філіпенко Наталія Анатоліївна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Філіпенко Наталія Анатоліївна</cp:lastModifiedBy>
  <cp:revision>5</cp:revision>
  <cp:lastPrinted>2024-09-23T10:30:00Z</cp:lastPrinted>
  <dcterms:created xsi:type="dcterms:W3CDTF">2024-09-17T08:14:00Z</dcterms:created>
  <dcterms:modified xsi:type="dcterms:W3CDTF">2024-09-23T10:41:00Z</dcterms:modified>
</cp:coreProperties>
</file>