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330126906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330126906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84456D0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065A48">
        <w:rPr>
          <w:b/>
          <w:bCs/>
          <w:color w:val="auto"/>
          <w:sz w:val="24"/>
          <w:szCs w:val="24"/>
          <w:lang w:val="ru-RU"/>
        </w:rPr>
        <w:t>ПЗН-58384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065A48">
        <w:rPr>
          <w:b/>
          <w:bCs/>
          <w:color w:val="auto"/>
          <w:sz w:val="24"/>
          <w:szCs w:val="24"/>
          <w:lang w:val="ru-RU"/>
        </w:rPr>
        <w:t>21.09.2023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309A9BE6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065A48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065A48">
        <w:rPr>
          <w:b/>
          <w:i/>
          <w:iCs/>
          <w:color w:val="auto"/>
          <w:sz w:val="24"/>
          <w:szCs w:val="24"/>
        </w:rPr>
        <w:t>Білаку Артуру Васильовичу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965A55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965A55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</w:t>
      </w:r>
      <w:r w:rsidR="00065A48">
        <w:rPr>
          <w:rStyle w:val="af"/>
          <w:b/>
          <w:color w:val="auto"/>
          <w:sz w:val="24"/>
          <w:szCs w:val="24"/>
        </w:rPr>
        <w:t>господарських будівель і споруд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Каменярів, 71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Білак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Артур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14.09.2023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330126906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9AB6DC2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065A48">
        <w:rPr>
          <w:color w:val="auto"/>
          <w:sz w:val="24"/>
          <w:szCs w:val="24"/>
        </w:rPr>
        <w:t xml:space="preserve">кадастровий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8000000000:72:437:0144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вул. Каменярів, 71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FD81E79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0,04</w:t>
            </w:r>
            <w:r w:rsidR="00065A48">
              <w:rPr>
                <w:rFonts w:ascii="Times New Roman" w:hAnsi="Times New Roman" w:cs="Times New Roman"/>
                <w:bCs/>
                <w:i/>
                <w:color w:val="auto"/>
              </w:rPr>
              <w:t>14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BF5C73A" w14:textId="77777777" w:rsidR="007F2AF0" w:rsidRPr="00965A55" w:rsidRDefault="007F2AF0" w:rsidP="007F2AF0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184C31E5" w14:textId="77777777" w:rsidR="00592B62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11E84FDB" w:rsidR="00065A48" w:rsidRPr="00965A55" w:rsidRDefault="00065A48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8E7F272" w:rsidR="00592B62" w:rsidRPr="00965A55" w:rsidRDefault="00592B62" w:rsidP="00065A4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</w:t>
            </w:r>
            <w:r w:rsidR="00E247F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Pr="00065A48">
              <w:rPr>
                <w:rFonts w:ascii="Times New Roman" w:eastAsia="Times New Roman" w:hAnsi="Times New Roman" w:cs="Times New Roman"/>
                <w:i/>
                <w:color w:val="auto"/>
              </w:rPr>
              <w:t>житлової садибної забудови</w:t>
            </w:r>
            <w:r w:rsidR="00065A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65A48" w:rsidRPr="0009308E">
              <w:rPr>
                <w:rFonts w:ascii="Times New Roman" w:hAnsi="Times New Roman" w:cs="Times New Roman"/>
                <w:i/>
                <w:snapToGrid w:val="0"/>
              </w:rPr>
              <w:t xml:space="preserve"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065A48">
              <w:rPr>
                <w:rFonts w:ascii="Times New Roman" w:hAnsi="Times New Roman" w:cs="Times New Roman"/>
                <w:i/>
                <w:snapToGrid w:val="0"/>
              </w:rPr>
              <w:t>15.09</w:t>
            </w:r>
            <w:r w:rsidR="00065A48" w:rsidRPr="0009308E">
              <w:rPr>
                <w:rFonts w:ascii="Times New Roman" w:hAnsi="Times New Roman" w:cs="Times New Roman"/>
                <w:i/>
                <w:snapToGrid w:val="0"/>
              </w:rPr>
              <w:t>.2023 № 055-</w:t>
            </w:r>
            <w:r w:rsidR="00065A48">
              <w:rPr>
                <w:rFonts w:ascii="Times New Roman" w:hAnsi="Times New Roman" w:cs="Times New Roman"/>
                <w:i/>
                <w:snapToGrid w:val="0"/>
              </w:rPr>
              <w:t>7282</w:t>
            </w:r>
            <w:r w:rsidR="00065A48" w:rsidRPr="0009308E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Pr="00065A48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6420F39A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0E95A6A" w14:textId="110A1A7D" w:rsidR="00E247FE" w:rsidRDefault="00E247FE" w:rsidP="00E247FE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на вул. 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 xml:space="preserve">Каменярів, 71 у Солом'янському районі м. Києва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площею 0,0414 га (кадастровий номер 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 xml:space="preserve">8000000000:72:437:0144)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сформована та зареєстрована в Державному земельному кадастрі з кодом виду цільового призначення - 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на підставі розробленого та погодженого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громадянці </w:t>
            </w:r>
            <w:proofErr w:type="spellStart"/>
            <w:r w:rsidRPr="00E247FE">
              <w:rPr>
                <w:rFonts w:ascii="Times New Roman" w:hAnsi="Times New Roman" w:cs="Times New Roman"/>
                <w:i/>
                <w:color w:val="auto"/>
              </w:rPr>
              <w:t>Чалієнко</w:t>
            </w:r>
            <w:proofErr w:type="spellEnd"/>
            <w:r w:rsidRPr="00E247FE">
              <w:rPr>
                <w:rFonts w:ascii="Times New Roman" w:hAnsi="Times New Roman" w:cs="Times New Roman"/>
                <w:i/>
                <w:color w:val="auto"/>
              </w:rPr>
              <w:t xml:space="preserve"> В. І.</w:t>
            </w:r>
          </w:p>
          <w:p w14:paraId="4BA6F784" w14:textId="24E910F1" w:rsidR="00E247FE" w:rsidRDefault="00E247FE" w:rsidP="00E247FE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F5968">
              <w:rPr>
                <w:rFonts w:ascii="Times New Roman" w:hAnsi="Times New Roman" w:cs="Times New Roman"/>
                <w:i/>
              </w:rPr>
              <w:t>Рішення про передачу зазначеної земельної ділянки у власність або у користування будь-яким фізичним або юридичним особам за поданням Департаменту</w:t>
            </w:r>
            <w:r>
              <w:rPr>
                <w:rFonts w:ascii="Times New Roman" w:hAnsi="Times New Roman" w:cs="Times New Roman"/>
                <w:i/>
              </w:rPr>
              <w:t xml:space="preserve"> земельних ресурсів виконавчого органу Київської міської (Київської міської державної адміністрації) </w:t>
            </w:r>
            <w:r w:rsidRPr="00AF5968">
              <w:rPr>
                <w:rFonts w:ascii="Times New Roman" w:hAnsi="Times New Roman" w:cs="Times New Roman"/>
                <w:i/>
              </w:rPr>
              <w:t>Київська міська рада не приймала.</w:t>
            </w:r>
          </w:p>
          <w:p w14:paraId="607AF7EB" w14:textId="62DAD9FB" w:rsidR="00E247FE" w:rsidRPr="00F14BC5" w:rsidRDefault="00E247FE" w:rsidP="00E247FE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885D49A" w14:textId="77777777" w:rsidR="00E247FE" w:rsidRPr="00F14BC5" w:rsidRDefault="00E247FE" w:rsidP="00E247FE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7139F6CD" w:rsidR="002500BB" w:rsidRPr="00965A55" w:rsidRDefault="00E247FE" w:rsidP="007F2AF0">
            <w:pPr>
              <w:ind w:firstLine="34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14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14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27D4686F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 w:rsidRPr="00CA1DB1">
        <w:rPr>
          <w:sz w:val="24"/>
          <w:szCs w:val="24"/>
        </w:rPr>
        <w:t>Про</w:t>
      </w:r>
      <w:r w:rsidR="00E247FE">
        <w:rPr>
          <w:sz w:val="24"/>
          <w:szCs w:val="24"/>
        </w:rPr>
        <w:t>єкт</w:t>
      </w:r>
      <w:proofErr w:type="spellEnd"/>
      <w:r w:rsidR="00E247FE">
        <w:rPr>
          <w:sz w:val="24"/>
          <w:szCs w:val="24"/>
        </w:rPr>
        <w:t xml:space="preserve"> рішення </w:t>
      </w:r>
      <w:r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065A48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0931710B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065A48">
      <w:rPr>
        <w:sz w:val="12"/>
        <w:szCs w:val="12"/>
        <w:lang w:val="ru-RU"/>
      </w:rPr>
      <w:t>ПЗН-58384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21.09.2023</w:t>
    </w:r>
    <w:r w:rsidR="00862990">
      <w:rPr>
        <w:sz w:val="12"/>
        <w:szCs w:val="12"/>
      </w:rPr>
      <w:t xml:space="preserve"> до </w:t>
    </w:r>
    <w:r w:rsidR="00065A48">
      <w:rPr>
        <w:sz w:val="12"/>
        <w:szCs w:val="12"/>
      </w:rPr>
      <w:t>справи</w:t>
    </w:r>
    <w:r w:rsidR="00862990">
      <w:rPr>
        <w:sz w:val="12"/>
        <w:szCs w:val="12"/>
      </w:rPr>
      <w:t xml:space="preserve"> 330126906</w:t>
    </w:r>
  </w:p>
  <w:p w14:paraId="2CBD23C3" w14:textId="2C133BA8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46A25" w:rsidRPr="00846A2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65A48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F2AF0"/>
    <w:rsid w:val="00803806"/>
    <w:rsid w:val="008067C7"/>
    <w:rsid w:val="00812652"/>
    <w:rsid w:val="00816AD3"/>
    <w:rsid w:val="00822960"/>
    <w:rsid w:val="00826937"/>
    <w:rsid w:val="00831BB1"/>
    <w:rsid w:val="00846A25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247FE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4760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2023-10-03T10:27:00Z</cp:lastPrinted>
  <dcterms:created xsi:type="dcterms:W3CDTF">2023-10-06T07:38:00Z</dcterms:created>
  <dcterms:modified xsi:type="dcterms:W3CDTF">2023-10-06T07:38:00Z</dcterms:modified>
</cp:coreProperties>
</file>