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320124372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320124372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1A05FE9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6F102F">
        <w:rPr>
          <w:b/>
          <w:bCs/>
          <w:color w:val="auto"/>
          <w:sz w:val="24"/>
          <w:szCs w:val="24"/>
          <w:lang w:val="ru-RU"/>
        </w:rPr>
        <w:t>ПЗН-55181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6F102F">
        <w:rPr>
          <w:b/>
          <w:bCs/>
          <w:color w:val="auto"/>
          <w:sz w:val="24"/>
          <w:szCs w:val="24"/>
          <w:lang w:val="ru-RU"/>
        </w:rPr>
        <w:t>19.06.2023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36F83690" w:rsidR="004F0681" w:rsidRPr="00965A55" w:rsidRDefault="004F176B" w:rsidP="006F102F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6F102F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6F102F">
        <w:rPr>
          <w:b/>
          <w:i/>
          <w:iCs/>
          <w:color w:val="auto"/>
          <w:sz w:val="24"/>
          <w:szCs w:val="24"/>
        </w:rPr>
        <w:t>Ярмошу Платону Олеговичу у</w:t>
      </w:r>
      <w:r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</w:t>
      </w:r>
      <w:r w:rsidR="006F102F">
        <w:rPr>
          <w:rStyle w:val="af"/>
          <w:b/>
          <w:color w:val="auto"/>
          <w:sz w:val="24"/>
          <w:szCs w:val="24"/>
        </w:rPr>
        <w:t>господарських будівель і споруд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D58A7">
        <w:rPr>
          <w:b/>
          <w:i/>
          <w:iCs/>
          <w:color w:val="auto"/>
          <w:sz w:val="24"/>
          <w:szCs w:val="24"/>
        </w:rPr>
        <w:t>вул. Хохлова Костянтина, 1</w:t>
      </w:r>
      <w:r w:rsidR="00765699" w:rsidRPr="00965A55">
        <w:rPr>
          <w:b/>
          <w:i/>
          <w:iCs/>
          <w:color w:val="auto"/>
          <w:sz w:val="24"/>
          <w:szCs w:val="24"/>
        </w:rPr>
        <w:t>а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Ярмош Платон Олегович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08.06.2023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320124372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68298F8F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7D58A7">
        <w:rPr>
          <w:color w:val="auto"/>
          <w:sz w:val="24"/>
          <w:szCs w:val="24"/>
        </w:rPr>
        <w:t xml:space="preserve">кадастровий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8000000000:90:184:0011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4383FE8B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</w:t>
            </w:r>
            <w:r w:rsidR="007D58A7">
              <w:rPr>
                <w:b w:val="0"/>
                <w:i/>
                <w:color w:val="auto"/>
                <w:sz w:val="24"/>
                <w:szCs w:val="24"/>
              </w:rPr>
              <w:t>кий, вул. Хохлова Костянтина, 1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8670BEC" w:rsidR="00637B70" w:rsidRPr="00965A55" w:rsidRDefault="00C637AA" w:rsidP="007D58A7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7D58A7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7BED93EA" w14:textId="7D6FB070" w:rsidR="007D58A7" w:rsidRDefault="007D58A7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>Згідно з довідкою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 Державного реєстру речових прав на нерухоме майно про реєстрацію права власності від 19.06.2023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336154438 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земельній ділянці знаходиться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житловий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будинок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загальною площею 371,4 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кв.м, який належить на праві приватної власності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громадянину Ярмошу П.О.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номер запису про право власності 50319729, дата державної реєстрації 18.05.2023</w:t>
            </w:r>
            <w:r w:rsidRPr="00CD246B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4A08CA83" w14:textId="78ED9088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DA2D2E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19DE8244" w:rsidR="00592B62" w:rsidRPr="00965A55" w:rsidRDefault="00592B62" w:rsidP="007D58A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="006F102F" w:rsidRPr="006F102F">
              <w:rPr>
                <w:rFonts w:ascii="Times New Roman" w:eastAsia="Times New Roman" w:hAnsi="Times New Roman" w:cs="Times New Roman"/>
                <w:i/>
                <w:color w:val="auto"/>
              </w:rPr>
              <w:t>детального плану території селища Чапаєвка, затвердженого рішенням Київської міської ради від 20.12.2007 № 1463/4296</w:t>
            </w:r>
            <w:r w:rsidRPr="006F102F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F102F" w:rsidRPr="006F102F">
              <w:rPr>
                <w:rFonts w:ascii="Times New Roman" w:eastAsia="Times New Roman" w:hAnsi="Times New Roman" w:cs="Times New Roman"/>
                <w:i/>
                <w:color w:val="auto"/>
              </w:rPr>
              <w:t>належить до території зелених насаджень загального користування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09.06.2023</w:t>
            </w:r>
            <w:r w:rsidR="006F10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F102F" w:rsidRPr="006F102F">
              <w:rPr>
                <w:rFonts w:ascii="Times New Roman" w:eastAsia="Times New Roman" w:hAnsi="Times New Roman" w:cs="Times New Roman"/>
                <w:i/>
                <w:color w:val="auto"/>
              </w:rPr>
              <w:t>№ 055-4228)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4F12836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6F102F" w:rsidRPr="006F102F">
              <w:rPr>
                <w:rFonts w:ascii="Times New Roman" w:eastAsia="Times New Roman" w:hAnsi="Times New Roman" w:cs="Times New Roman"/>
                <w:i/>
                <w:color w:val="auto"/>
              </w:rPr>
              <w:t>зелених насаджень загального користування</w:t>
            </w:r>
            <w:r w:rsidR="006F102F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3B55504B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56CF270C" w14:textId="50EF67D1" w:rsidR="006F102F" w:rsidRPr="00F14BC5" w:rsidRDefault="006F102F" w:rsidP="006F102F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</w:t>
            </w:r>
            <w:r w:rsidR="007D58A7">
              <w:rPr>
                <w:rFonts w:ascii="Times New Roman" w:hAnsi="Times New Roman" w:cs="Times New Roman"/>
                <w:i/>
                <w:color w:val="auto"/>
              </w:rPr>
              <w:t xml:space="preserve"> про надання дозволу на розроблення проєкту землеустрою щодо відведення земельної ділянки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419CE0D" w14:textId="77777777" w:rsidR="006F102F" w:rsidRPr="00F14BC5" w:rsidRDefault="006F102F" w:rsidP="006F102F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4D02A8A1" w:rsidR="002500BB" w:rsidRPr="00965A55" w:rsidRDefault="006F102F" w:rsidP="006F102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023FC43D" w:rsidR="009F1DC8" w:rsidRDefault="006F102F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</w:t>
      </w:r>
      <w:r w:rsidR="007D58A7">
        <w:rPr>
          <w:sz w:val="24"/>
          <w:szCs w:val="24"/>
        </w:rPr>
        <w:t>є</w:t>
      </w:r>
      <w:r>
        <w:rPr>
          <w:sz w:val="24"/>
          <w:szCs w:val="24"/>
        </w:rPr>
        <w:t>кт рішення не</w:t>
      </w:r>
      <w:r w:rsidR="00CA1DB1" w:rsidRPr="00CA1DB1">
        <w:rPr>
          <w:sz w:val="24"/>
          <w:szCs w:val="24"/>
        </w:rPr>
        <w:t xml:space="preserve"> містить інформаці</w:t>
      </w:r>
      <w:r>
        <w:rPr>
          <w:sz w:val="24"/>
          <w:szCs w:val="24"/>
        </w:rPr>
        <w:t>ї</w:t>
      </w:r>
      <w:r w:rsidR="00CA1DB1" w:rsidRPr="00CA1DB1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6F102F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F102F">
      <w:rPr>
        <w:sz w:val="12"/>
        <w:szCs w:val="12"/>
        <w:lang w:val="ru-RU"/>
      </w:rPr>
      <w:t>ПЗН-55181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19.06.2023</w:t>
    </w:r>
    <w:r w:rsidR="00862990">
      <w:rPr>
        <w:sz w:val="12"/>
        <w:szCs w:val="12"/>
      </w:rPr>
      <w:t xml:space="preserve"> до клопотання 320124372</w:t>
    </w:r>
  </w:p>
  <w:p w14:paraId="2CBD23C3" w14:textId="635900D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851D1" w:rsidRPr="001851D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851D1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A55D4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6F102F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D58A7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A2D2E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4516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2023-06-28T06:14:00Z</cp:lastPrinted>
  <dcterms:created xsi:type="dcterms:W3CDTF">2023-06-30T11:58:00Z</dcterms:created>
  <dcterms:modified xsi:type="dcterms:W3CDTF">2023-06-30T11:58:00Z</dcterms:modified>
</cp:coreProperties>
</file>