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77777777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310110472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77777777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310110472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23496F0F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BD1125">
        <w:rPr>
          <w:b/>
          <w:bCs/>
          <w:color w:val="auto"/>
          <w:sz w:val="24"/>
          <w:szCs w:val="24"/>
          <w:lang w:val="ru-RU"/>
        </w:rPr>
        <w:t>ПЗН-39398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BD1125">
        <w:rPr>
          <w:b/>
          <w:bCs/>
          <w:color w:val="auto"/>
          <w:sz w:val="24"/>
          <w:szCs w:val="24"/>
          <w:lang w:val="ru-RU"/>
        </w:rPr>
        <w:t>14.02.2022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85F4058" w14:textId="6FB28315" w:rsidR="004F0681" w:rsidRPr="00965A55" w:rsidRDefault="004F176B" w:rsidP="005070E1">
      <w:pPr>
        <w:pStyle w:val="1"/>
        <w:shd w:val="clear" w:color="auto" w:fill="auto"/>
        <w:spacing w:after="0" w:line="226" w:lineRule="auto"/>
        <w:ind w:left="142" w:right="2914" w:firstLine="142"/>
        <w:jc w:val="center"/>
        <w:rPr>
          <w:b/>
          <w:i/>
          <w:iCs/>
          <w:color w:val="auto"/>
          <w:sz w:val="24"/>
          <w:szCs w:val="24"/>
        </w:rPr>
      </w:pPr>
      <w:r w:rsidRPr="00965A55">
        <w:rPr>
          <w:b/>
          <w:i/>
          <w:iCs/>
          <w:color w:val="auto"/>
          <w:sz w:val="24"/>
          <w:szCs w:val="24"/>
        </w:rPr>
        <w:t>Про відмову</w:t>
      </w:r>
      <w:r w:rsidR="001D2CA2">
        <w:rPr>
          <w:b/>
          <w:i/>
          <w:iCs/>
          <w:color w:val="auto"/>
          <w:sz w:val="24"/>
          <w:szCs w:val="24"/>
        </w:rPr>
        <w:t xml:space="preserve"> </w:t>
      </w:r>
      <w:r w:rsidR="001D2CA2" w:rsidRPr="001D2CA2">
        <w:rPr>
          <w:b/>
          <w:i/>
          <w:iCs/>
          <w:color w:val="auto"/>
          <w:sz w:val="24"/>
          <w:szCs w:val="24"/>
        </w:rPr>
        <w:t>громадянці</w:t>
      </w:r>
      <w:r w:rsidR="004C56B2" w:rsidRPr="00965A55">
        <w:rPr>
          <w:b/>
          <w:i/>
          <w:iCs/>
          <w:color w:val="auto"/>
          <w:sz w:val="24"/>
          <w:szCs w:val="24"/>
        </w:rPr>
        <w:t xml:space="preserve"> </w:t>
      </w:r>
      <w:r w:rsidRPr="00BD1125">
        <w:rPr>
          <w:b/>
          <w:i/>
          <w:iCs/>
          <w:color w:val="auto"/>
          <w:sz w:val="24"/>
          <w:szCs w:val="24"/>
        </w:rPr>
        <w:t>Іоновій Людмилі Григорівні у</w:t>
      </w:r>
      <w:r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8F2FF1" w:rsidRPr="00965A55">
        <w:rPr>
          <w:b/>
          <w:i/>
          <w:iCs/>
          <w:color w:val="auto"/>
          <w:sz w:val="24"/>
          <w:szCs w:val="24"/>
        </w:rPr>
        <w:t xml:space="preserve">наданні дозволу на розроблення </w:t>
      </w:r>
      <w:r w:rsidR="008F2FF1" w:rsidRPr="00965A55">
        <w:rPr>
          <w:b/>
          <w:i/>
          <w:color w:val="auto"/>
          <w:sz w:val="24"/>
          <w:szCs w:val="24"/>
        </w:rPr>
        <w:t>проєкту землеустрою щодо відведення земельної ділянки у</w:t>
      </w:r>
      <w:r w:rsidR="00CC21F5">
        <w:rPr>
          <w:b/>
          <w:i/>
          <w:color w:val="auto"/>
          <w:sz w:val="24"/>
          <w:szCs w:val="24"/>
        </w:rPr>
        <w:t xml:space="preserve"> </w:t>
      </w:r>
      <w:r w:rsidR="008F2FF1" w:rsidRPr="00965A55">
        <w:rPr>
          <w:b/>
          <w:i/>
          <w:color w:val="auto"/>
          <w:sz w:val="24"/>
          <w:szCs w:val="24"/>
        </w:rPr>
        <w:t>власність</w:t>
      </w:r>
      <w:r w:rsidR="00EA49AA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FA7726" w:rsidRPr="00965A55">
        <w:rPr>
          <w:rStyle w:val="af"/>
          <w:b/>
          <w:color w:val="auto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9872A6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на </w:t>
      </w:r>
      <w:r w:rsidR="00765699" w:rsidRPr="00965A55">
        <w:rPr>
          <w:b/>
          <w:i/>
          <w:iCs/>
          <w:color w:val="auto"/>
          <w:sz w:val="24"/>
          <w:szCs w:val="24"/>
        </w:rPr>
        <w:t>вул. Львівськ</w:t>
      </w:r>
      <w:r w:rsidR="00BD1125">
        <w:rPr>
          <w:b/>
          <w:i/>
          <w:iCs/>
          <w:color w:val="auto"/>
          <w:sz w:val="24"/>
          <w:szCs w:val="24"/>
        </w:rPr>
        <w:t>ій</w:t>
      </w:r>
      <w:r w:rsidR="00765699" w:rsidRPr="00965A55">
        <w:rPr>
          <w:b/>
          <w:i/>
          <w:iCs/>
          <w:color w:val="auto"/>
          <w:sz w:val="24"/>
          <w:szCs w:val="24"/>
        </w:rPr>
        <w:t>, 82-а</w:t>
      </w:r>
      <w:r w:rsidR="001F71B4" w:rsidRPr="00965A55">
        <w:rPr>
          <w:b/>
          <w:i/>
          <w:iCs/>
          <w:color w:val="auto"/>
          <w:sz w:val="24"/>
          <w:szCs w:val="24"/>
        </w:rPr>
        <w:t xml:space="preserve"> у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765699" w:rsidRPr="00965A55">
        <w:rPr>
          <w:b/>
          <w:i/>
          <w:iCs/>
          <w:color w:val="auto"/>
          <w:sz w:val="24"/>
          <w:szCs w:val="24"/>
        </w:rPr>
        <w:t xml:space="preserve">Святошинському </w:t>
      </w:r>
      <w:r w:rsidR="00604821" w:rsidRPr="00965A55">
        <w:rPr>
          <w:b/>
          <w:i/>
          <w:iCs/>
          <w:color w:val="auto"/>
          <w:sz w:val="24"/>
          <w:szCs w:val="24"/>
        </w:rPr>
        <w:t>районі м</w:t>
      </w:r>
      <w:r w:rsidR="00774161" w:rsidRPr="00965A55">
        <w:rPr>
          <w:b/>
          <w:i/>
          <w:iCs/>
          <w:color w:val="auto"/>
          <w:sz w:val="24"/>
          <w:szCs w:val="24"/>
        </w:rPr>
        <w:t>іста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Києва</w:t>
      </w:r>
      <w:r w:rsidR="00A43A8F" w:rsidRPr="00965A55">
        <w:rPr>
          <w:b/>
          <w:i/>
          <w:iCs/>
          <w:color w:val="auto"/>
          <w:sz w:val="24"/>
          <w:szCs w:val="24"/>
        </w:rPr>
        <w:t xml:space="preserve"> </w:t>
      </w:r>
    </w:p>
    <w:p w14:paraId="3934308F" w14:textId="77777777" w:rsidR="00816AD3" w:rsidRPr="00965A55" w:rsidRDefault="00816AD3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Іонова Людмила Григорівна</w:t>
            </w:r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04.02.2022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310110472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1F5470A8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2. Відомості про земельну ділянку (№ </w:t>
      </w:r>
      <w:r w:rsidR="00765699" w:rsidRPr="00965A55">
        <w:rPr>
          <w:color w:val="auto"/>
          <w:sz w:val="24"/>
          <w:szCs w:val="24"/>
        </w:rPr>
        <w:t>8000000000:75:212:0020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60458A27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>Київ, р-н Святошинський, вул. Львівська, 82-а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3776A0D2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0,07</w:t>
            </w:r>
            <w:r w:rsidR="00C52828">
              <w:rPr>
                <w:rFonts w:ascii="Times New Roman" w:hAnsi="Times New Roman" w:cs="Times New Roman"/>
                <w:bCs/>
                <w:i/>
                <w:color w:val="auto"/>
              </w:rPr>
              <w:t>28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1015C833" w:rsidR="00637B70" w:rsidRPr="00965A55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Вид використання: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E2B5CC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007297EF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дотримання вимог Закону України «Про регулювання містобудівної діяльності» та забезпечення дотримання вимог Земельного кодексу України.</w:t>
      </w:r>
    </w:p>
    <w:p w14:paraId="60659A22" w14:textId="77777777" w:rsidR="00024B79" w:rsidRPr="00965A55" w:rsidRDefault="00024B79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6015AEAA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вільна від капітальної забудови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26F0A109" w14:textId="30229EBB" w:rsidR="00592B62" w:rsidRPr="00965A55" w:rsidRDefault="00592B62" w:rsidP="00BD1125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5A71FAE7" w:rsidR="00592B62" w:rsidRPr="00965A55" w:rsidRDefault="00592B62" w:rsidP="00BD1125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</w:t>
            </w:r>
            <w:r w:rsidR="00580F3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Києва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рішенням Київської міської ради </w:t>
            </w:r>
            <w:r w:rsidR="000B0F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 28</w:t>
            </w:r>
            <w:r w:rsidR="00313435">
              <w:rPr>
                <w:rFonts w:ascii="Times New Roman" w:eastAsia="Times New Roman" w:hAnsi="Times New Roman" w:cs="Times New Roman"/>
                <w:i/>
                <w:color w:val="auto"/>
              </w:rPr>
              <w:t>.03.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2002 № 370/1804, земельна ділянка за функціональним призначенням належить до території </w:t>
            </w:r>
            <w:r w:rsidR="00BD1125" w:rsidRPr="00BD1125">
              <w:rPr>
                <w:rFonts w:ascii="Times New Roman" w:eastAsia="Times New Roman" w:hAnsi="Times New Roman" w:cs="Times New Roman"/>
                <w:i/>
                <w:color w:val="auto"/>
              </w:rPr>
              <w:t>комунально-складської</w:t>
            </w:r>
            <w:r w:rsidR="00BD112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(витяг з містобудівного кадастру, наданий листом Департаменту містобудування та архітектури виконавчого органу Київської міської ради (Київської міської державної адміністрації) від 08.02.2022 № 055-1616).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6F5A7709" w14:textId="77777777" w:rsidR="00592B62" w:rsidRDefault="00A70EC2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не входить до зеленої </w:t>
            </w:r>
            <w:r w:rsidR="006346C9" w:rsidRPr="00965A55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  <w:p w14:paraId="107D3195" w14:textId="61B34C27" w:rsidR="009E3977" w:rsidRPr="00965A55" w:rsidRDefault="009E3977" w:rsidP="000B0F13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17C87CEE" w:rsidR="00592B62" w:rsidRPr="000B0F13" w:rsidRDefault="00C52828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51CEEE49" w14:textId="0508694F" w:rsidR="00C52828" w:rsidRPr="00C52828" w:rsidRDefault="009E3910" w:rsidP="00E0350F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Відповідно до даних м</w:t>
            </w:r>
            <w:r w:rsidR="00BD1125" w:rsidRPr="00BD1125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 xml:space="preserve">іського земельного кадастру земельна ділянка </w:t>
            </w:r>
            <w:r w:rsidR="00BD1125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зареєстрована на підставі проєкту землеустрою щодо відведення земельної ділянки іншій фізичній особі</w:t>
            </w:r>
            <w:r w:rsidR="00BD1125" w:rsidRPr="00BD1125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.</w:t>
            </w:r>
            <w:r w:rsidR="00C52828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 xml:space="preserve"> </w:t>
            </w:r>
            <w:r w:rsidR="00C52828" w:rsidRPr="00C52828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За поданням Департаменту земельних ресурсів виконавчого органу Київської міської ради (Київської міської державної адміністрації) рішення щодо передачі (надання) вказан</w:t>
            </w:r>
            <w:r w:rsidR="00C52828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ої</w:t>
            </w:r>
            <w:r w:rsidR="00C52828" w:rsidRPr="00C52828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 xml:space="preserve"> земельн</w:t>
            </w:r>
            <w:r w:rsidR="00C52828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ої</w:t>
            </w:r>
            <w:r w:rsidR="00C52828" w:rsidRPr="00C52828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 xml:space="preserve"> ділян</w:t>
            </w:r>
            <w:r w:rsidR="00C52828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ки</w:t>
            </w:r>
            <w:r w:rsidR="00C52828" w:rsidRPr="00C52828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 xml:space="preserve"> фізичним або юридичним особам у власність (користування) Київська міська рада не приймала.</w:t>
            </w:r>
          </w:p>
          <w:p w14:paraId="1B901F59" w14:textId="7623A8D6" w:rsidR="00C52828" w:rsidRDefault="00BD1125" w:rsidP="00E0350F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</w:pPr>
            <w:r w:rsidRPr="00BD1125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Вод</w:t>
            </w:r>
            <w:r w:rsidR="009E3910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ночас зазначаємо, що відомості м</w:t>
            </w:r>
            <w:r w:rsidRPr="00BD1125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іського земельного кадастру не є підтвердженням виникнення права власності (користування) земельними ділянками та носять виключно інформативний характер.</w:t>
            </w:r>
          </w:p>
          <w:p w14:paraId="10EC8D92" w14:textId="33CD081E" w:rsidR="00C52828" w:rsidRDefault="00BD1125" w:rsidP="00E0350F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</w:pPr>
            <w:r w:rsidRPr="00BD1125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За даними Державного земельного кадастру (публічної кадастрової карти) земельна ділянка з кадастровим номер 8000000000: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75</w:t>
            </w:r>
            <w:r w:rsidRPr="00BD1125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: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212</w:t>
            </w:r>
            <w:r w:rsidRPr="00BD1125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: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0020</w:t>
            </w:r>
            <w:r w:rsidRPr="00BD1125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, площа  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0,0728</w:t>
            </w:r>
            <w:r w:rsidRPr="00BD1125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 xml:space="preserve"> га), щодо якої подане клопотання, сформована та зареєстр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 xml:space="preserve">ована з цільовим призначенням: </w:t>
            </w:r>
            <w:r w:rsidRPr="00BD1125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 xml:space="preserve">02.01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д</w:t>
            </w:r>
            <w:r w:rsidRPr="00BD1125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ля будівництва і обслуговування житлового будинку, господарських будівель і споруд (присадибна ділянка) для будівництва і обслуговування жилого будинку, господарських будівель і споруд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.</w:t>
            </w:r>
          </w:p>
          <w:p w14:paraId="5BBD3532" w14:textId="77777777" w:rsidR="009E3910" w:rsidRPr="009E3910" w:rsidRDefault="009E3910" w:rsidP="00E0350F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  <w:sz w:val="12"/>
                <w:szCs w:val="12"/>
                <w:lang w:eastAsia="ru-RU" w:bidi="ar-SA"/>
              </w:rPr>
            </w:pPr>
          </w:p>
          <w:p w14:paraId="3E25B2DF" w14:textId="1DD509FA" w:rsidR="00592B62" w:rsidRPr="00BD1125" w:rsidRDefault="00BD1125" w:rsidP="00E0350F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</w:pPr>
            <w:r w:rsidRPr="00BD1125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586C5508" w:rsidR="00114807" w:rsidRPr="00965A55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0C6C5CB5" w:rsidR="00114807" w:rsidRPr="00965A55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BD1125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земельних ресурсів</w:t>
            </w:r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B6F885" w14:textId="77777777" w:rsidR="00822960" w:rsidRDefault="00822960">
      <w:r>
        <w:separator/>
      </w:r>
    </w:p>
  </w:endnote>
  <w:endnote w:type="continuationSeparator" w:id="0">
    <w:p w14:paraId="753C0070" w14:textId="77777777" w:rsidR="00822960" w:rsidRDefault="00822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391C19" w14:textId="77777777" w:rsidR="00822960" w:rsidRDefault="00822960"/>
  </w:footnote>
  <w:footnote w:type="continuationSeparator" w:id="0">
    <w:p w14:paraId="7312955E" w14:textId="77777777" w:rsidR="00822960" w:rsidRDefault="00822960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7BB9006E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BD1125">
      <w:rPr>
        <w:sz w:val="12"/>
        <w:szCs w:val="12"/>
        <w:lang w:val="ru-RU"/>
      </w:rPr>
      <w:t>ПЗН-39398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14.02.2022</w:t>
    </w:r>
    <w:r w:rsidR="00862990">
      <w:rPr>
        <w:sz w:val="12"/>
        <w:szCs w:val="12"/>
      </w:rPr>
      <w:t xml:space="preserve"> до клопотання 310110472</w:t>
    </w:r>
  </w:p>
  <w:p w14:paraId="2CBD23C3" w14:textId="277D71CB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8D0F01" w:rsidRPr="008D0F01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1257C"/>
    <w:rsid w:val="00216505"/>
    <w:rsid w:val="002438BA"/>
    <w:rsid w:val="002533EF"/>
    <w:rsid w:val="00297E23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C2F"/>
    <w:rsid w:val="00440231"/>
    <w:rsid w:val="00442E9D"/>
    <w:rsid w:val="004900B1"/>
    <w:rsid w:val="004B7C55"/>
    <w:rsid w:val="004C56B2"/>
    <w:rsid w:val="004F0681"/>
    <w:rsid w:val="004F176B"/>
    <w:rsid w:val="0050556E"/>
    <w:rsid w:val="005070E1"/>
    <w:rsid w:val="005279DB"/>
    <w:rsid w:val="0055002C"/>
    <w:rsid w:val="0058084C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346C9"/>
    <w:rsid w:val="00637B70"/>
    <w:rsid w:val="00644BD5"/>
    <w:rsid w:val="00667A11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861F0"/>
    <w:rsid w:val="008A2DE7"/>
    <w:rsid w:val="008A7300"/>
    <w:rsid w:val="008B53BA"/>
    <w:rsid w:val="008C60B2"/>
    <w:rsid w:val="008D0F01"/>
    <w:rsid w:val="008E62AB"/>
    <w:rsid w:val="008F2FF1"/>
    <w:rsid w:val="00944CB1"/>
    <w:rsid w:val="0095622E"/>
    <w:rsid w:val="00965A55"/>
    <w:rsid w:val="009872A6"/>
    <w:rsid w:val="009A397A"/>
    <w:rsid w:val="009A41DA"/>
    <w:rsid w:val="009E0CD8"/>
    <w:rsid w:val="009E3910"/>
    <w:rsid w:val="009E3977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450B"/>
    <w:rsid w:val="00B1344E"/>
    <w:rsid w:val="00B31981"/>
    <w:rsid w:val="00B5163D"/>
    <w:rsid w:val="00B80C9C"/>
    <w:rsid w:val="00B962AB"/>
    <w:rsid w:val="00BA7212"/>
    <w:rsid w:val="00BB2AE1"/>
    <w:rsid w:val="00BB4F8F"/>
    <w:rsid w:val="00BB6436"/>
    <w:rsid w:val="00BD1125"/>
    <w:rsid w:val="00BF0B19"/>
    <w:rsid w:val="00BF740C"/>
    <w:rsid w:val="00C33594"/>
    <w:rsid w:val="00C43286"/>
    <w:rsid w:val="00C52828"/>
    <w:rsid w:val="00C5407A"/>
    <w:rsid w:val="00C637AA"/>
    <w:rsid w:val="00C77937"/>
    <w:rsid w:val="00C86D17"/>
    <w:rsid w:val="00C9290C"/>
    <w:rsid w:val="00C9554E"/>
    <w:rsid w:val="00C97F46"/>
    <w:rsid w:val="00CC21F5"/>
    <w:rsid w:val="00CC6FB9"/>
    <w:rsid w:val="00D23EC9"/>
    <w:rsid w:val="00D35106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E5330"/>
    <w:rsid w:val="00DF6F41"/>
    <w:rsid w:val="00E0350F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7C06"/>
    <w:rsid w:val="00F81097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nataliya.filip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646</Words>
  <Characters>3683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4321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Філіпенко Наталія Анатоліївна</dc:creator>
  <cp:lastModifiedBy>Корнійчук Олеся Михайлівна</cp:lastModifiedBy>
  <cp:revision>2</cp:revision>
  <cp:lastPrinted>2022-02-14T09:42:00Z</cp:lastPrinted>
  <dcterms:created xsi:type="dcterms:W3CDTF">2022-07-27T07:24:00Z</dcterms:created>
  <dcterms:modified xsi:type="dcterms:W3CDTF">2022-07-27T07:24:00Z</dcterms:modified>
</cp:coreProperties>
</file>