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304490220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304490220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F0163D5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E127EF">
        <w:rPr>
          <w:b/>
          <w:bCs/>
          <w:i w:val="0"/>
          <w:iCs w:val="0"/>
          <w:sz w:val="24"/>
          <w:szCs w:val="24"/>
          <w:lang w:val="ru-RU"/>
        </w:rPr>
        <w:t>ПЗН-58582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E127EF">
        <w:rPr>
          <w:b/>
          <w:bCs/>
          <w:i w:val="0"/>
          <w:sz w:val="24"/>
          <w:szCs w:val="24"/>
          <w:lang w:val="ru-RU"/>
        </w:rPr>
        <w:t>20.09.2023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314A3D05" w:rsidR="008A338E" w:rsidRPr="00F119AC" w:rsidRDefault="00F119AC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F119AC">
        <w:rPr>
          <w:b/>
          <w:i/>
          <w:color w:val="000000" w:themeColor="text1"/>
          <w:sz w:val="24"/>
          <w:szCs w:val="24"/>
        </w:rPr>
        <w:t xml:space="preserve">Про передачу ТОВАРИСТВУ З ОБМЕЖЕНОЮ ВІДПОВІДАЛЬНІСТЮ «ЕКСПЛУАТАЦІЙНА КОМПАНІЯ «СЕРВІС» земельної ділянки в оренду для будівництва </w:t>
      </w:r>
      <w:proofErr w:type="spellStart"/>
      <w:r w:rsidRPr="00F119AC">
        <w:rPr>
          <w:b/>
          <w:i/>
          <w:color w:val="000000" w:themeColor="text1"/>
          <w:sz w:val="24"/>
          <w:szCs w:val="24"/>
        </w:rPr>
        <w:t>офісно</w:t>
      </w:r>
      <w:proofErr w:type="spellEnd"/>
      <w:r w:rsidRPr="00F119AC">
        <w:rPr>
          <w:b/>
          <w:i/>
          <w:color w:val="000000" w:themeColor="text1"/>
          <w:sz w:val="24"/>
          <w:szCs w:val="24"/>
        </w:rPr>
        <w:t xml:space="preserve">-житлового центру на вул. Мечникова, 11-А у </w:t>
      </w:r>
      <w:r w:rsidRPr="00F119AC">
        <w:rPr>
          <w:b/>
          <w:i/>
          <w:iCs/>
          <w:color w:val="000000" w:themeColor="text1"/>
          <w:sz w:val="24"/>
          <w:szCs w:val="24"/>
        </w:rPr>
        <w:t>Печерському</w:t>
      </w:r>
      <w:r w:rsidRPr="00F119AC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E127EF">
        <w:trPr>
          <w:cantSplit/>
          <w:trHeight w:val="716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«ЕКСПЛУАТАЦІЙНА КОМПАНІЯ «СЕРВІС»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DE7C2E0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33F16608" w14:textId="4134189C" w:rsidR="00E127EF" w:rsidRPr="00E127EF" w:rsidRDefault="00E127EF" w:rsidP="00E127EF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 </w:t>
            </w:r>
            <w:hyperlink r:id="rId10" w:history="1">
              <w:r w:rsidRPr="00E127EF">
                <w:rPr>
                  <w:rFonts w:ascii="Times New Roman" w:eastAsia="Times New Roman" w:hAnsi="Times New Roman" w:cs="Times New Roman"/>
                  <w:bCs/>
                  <w:i/>
                </w:rPr>
                <w:t>ТОВАРИСТВО З ОБМЕЖЕНОЮ ВІДПОВІДАЛЬНІСТЮ «КОНТИНІУМ»</w:t>
              </w:r>
            </w:hyperlink>
          </w:p>
          <w:p w14:paraId="7E7DFFD1" w14:textId="1819870E" w:rsidR="00E127EF" w:rsidRPr="00E127EF" w:rsidRDefault="00E127EF" w:rsidP="00E127EF">
            <w:pPr>
              <w:pStyle w:val="af3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  <w:r w:rsidRPr="00E127EF">
              <w:rPr>
                <w:bCs/>
                <w:i/>
                <w:color w:val="000000"/>
                <w:lang w:val="uk-UA" w:eastAsia="uk-UA" w:bidi="uk-UA"/>
              </w:rPr>
              <w:t xml:space="preserve">Адреса засновника: Україна, Волинська обл., Луцький р-н, місто Луцьк, </w:t>
            </w:r>
            <w:proofErr w:type="spellStart"/>
            <w:r w:rsidRPr="00E127EF">
              <w:rPr>
                <w:bCs/>
                <w:i/>
                <w:color w:val="000000"/>
                <w:lang w:val="uk-UA" w:eastAsia="uk-UA" w:bidi="uk-UA"/>
              </w:rPr>
              <w:t>вул.Крилова</w:t>
            </w:r>
            <w:proofErr w:type="spellEnd"/>
          </w:p>
          <w:p w14:paraId="55479C07" w14:textId="77777777" w:rsidR="00E127EF" w:rsidRPr="00E127EF" w:rsidRDefault="00E127EF" w:rsidP="00E127EF">
            <w:pPr>
              <w:pStyle w:val="af3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</w:p>
          <w:p w14:paraId="42CBE970" w14:textId="36E452C4" w:rsidR="00E127EF" w:rsidRPr="00E127EF" w:rsidRDefault="00252B1F" w:rsidP="00E127EF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hyperlink r:id="rId11" w:history="1">
              <w:r w:rsidR="00E127EF" w:rsidRPr="00E127EF">
                <w:rPr>
                  <w:rFonts w:ascii="Times New Roman" w:eastAsia="Times New Roman" w:hAnsi="Times New Roman" w:cs="Times New Roman"/>
                  <w:bCs/>
                  <w:i/>
                </w:rPr>
                <w:t xml:space="preserve">ТОВАРИСТВО З ОБМЕЖЕНОЮ ВІДПОВІДАЛЬНІСТЮ </w:t>
              </w:r>
              <w:r w:rsidR="00341683">
                <w:rPr>
                  <w:rFonts w:ascii="Times New Roman" w:eastAsia="Times New Roman" w:hAnsi="Times New Roman" w:cs="Times New Roman"/>
                  <w:bCs/>
                  <w:i/>
                </w:rPr>
                <w:t>«</w:t>
              </w:r>
              <w:r w:rsidR="00E127EF" w:rsidRPr="00E127EF">
                <w:rPr>
                  <w:rFonts w:ascii="Times New Roman" w:eastAsia="Times New Roman" w:hAnsi="Times New Roman" w:cs="Times New Roman"/>
                  <w:bCs/>
                  <w:i/>
                </w:rPr>
                <w:t>СПЕЦПРОЕКТ-ПЕРСПЕКТИВА</w:t>
              </w:r>
              <w:r w:rsidR="00341683">
                <w:rPr>
                  <w:rFonts w:ascii="Times New Roman" w:eastAsia="Times New Roman" w:hAnsi="Times New Roman" w:cs="Times New Roman"/>
                  <w:bCs/>
                  <w:i/>
                </w:rPr>
                <w:t>»</w:t>
              </w:r>
            </w:hyperlink>
          </w:p>
          <w:p w14:paraId="7E60C846" w14:textId="20C5525F" w:rsidR="00E127EF" w:rsidRPr="00E127EF" w:rsidRDefault="00E127EF" w:rsidP="00E127EF">
            <w:pPr>
              <w:pStyle w:val="af3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  <w:r w:rsidRPr="00E127EF">
              <w:rPr>
                <w:bCs/>
                <w:i/>
                <w:color w:val="000000"/>
                <w:lang w:val="uk-UA" w:eastAsia="uk-UA" w:bidi="uk-UA"/>
              </w:rPr>
              <w:t>Адреса засновника: Україна, Волинська обл., місто Луцьк, ВУЛИЦЯ ДУБНІВСЬКА</w:t>
            </w:r>
          </w:p>
          <w:p w14:paraId="5C9F25C0" w14:textId="77777777" w:rsidR="00E127EF" w:rsidRPr="00E127EF" w:rsidRDefault="00E127EF" w:rsidP="00E127EF">
            <w:pPr>
              <w:pStyle w:val="af3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</w:p>
          <w:p w14:paraId="61F03285" w14:textId="3975F03F" w:rsidR="00E127EF" w:rsidRPr="00E127EF" w:rsidRDefault="00252B1F" w:rsidP="00E127EF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hyperlink r:id="rId12" w:history="1">
              <w:r w:rsidR="00E127EF" w:rsidRPr="00E127EF">
                <w:rPr>
                  <w:rFonts w:ascii="Times New Roman" w:eastAsia="Times New Roman" w:hAnsi="Times New Roman" w:cs="Times New Roman"/>
                  <w:bCs/>
                  <w:i/>
                </w:rPr>
                <w:t xml:space="preserve">ТОВАРИСТВО З ОБМЕЖЕНОЮ ВІДПОВІДАЛЬНІСТЮ </w:t>
              </w:r>
              <w:r w:rsidR="00341683">
                <w:rPr>
                  <w:rFonts w:ascii="Times New Roman" w:eastAsia="Times New Roman" w:hAnsi="Times New Roman" w:cs="Times New Roman"/>
                  <w:bCs/>
                  <w:i/>
                </w:rPr>
                <w:t>«</w:t>
              </w:r>
              <w:r w:rsidR="00E127EF" w:rsidRPr="00E127EF">
                <w:rPr>
                  <w:rFonts w:ascii="Times New Roman" w:eastAsia="Times New Roman" w:hAnsi="Times New Roman" w:cs="Times New Roman"/>
                  <w:bCs/>
                  <w:i/>
                </w:rPr>
                <w:t>СПЕЦПРОЕКТ-КАПІТАЛ</w:t>
              </w:r>
              <w:r w:rsidR="00341683">
                <w:rPr>
                  <w:rFonts w:ascii="Times New Roman" w:eastAsia="Times New Roman" w:hAnsi="Times New Roman" w:cs="Times New Roman"/>
                  <w:bCs/>
                  <w:i/>
                </w:rPr>
                <w:t>»</w:t>
              </w:r>
            </w:hyperlink>
          </w:p>
          <w:p w14:paraId="08C13519" w14:textId="115BEAA1" w:rsidR="00E94376" w:rsidRPr="0057685E" w:rsidRDefault="00341683" w:rsidP="00341683">
            <w:pPr>
              <w:pStyle w:val="af3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</w:rPr>
            </w:pPr>
            <w:r>
              <w:rPr>
                <w:bCs/>
                <w:i/>
                <w:color w:val="000000"/>
                <w:lang w:val="uk-UA" w:eastAsia="uk-UA" w:bidi="uk-UA"/>
              </w:rPr>
              <w:t>Адреса засновника: Україна,</w:t>
            </w:r>
            <w:r w:rsidR="00E127EF" w:rsidRPr="00E127EF">
              <w:rPr>
                <w:bCs/>
                <w:i/>
                <w:color w:val="000000"/>
                <w:lang w:val="uk-UA" w:eastAsia="uk-UA" w:bidi="uk-UA"/>
              </w:rPr>
              <w:t xml:space="preserve"> Волинська обл., місто Луцьк, ВУЛИЦЯ ДУБНІВСЬКА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0D270AF0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7119BDE8" w14:textId="3666BE52" w:rsidR="00E94376" w:rsidRPr="0057685E" w:rsidRDefault="00CC2BB9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0F59131A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127EF" w:rsidRPr="000F7527">
              <w:rPr>
                <w:b w:val="0"/>
                <w:sz w:val="24"/>
                <w:szCs w:val="24"/>
              </w:rPr>
              <w:t>Реєстраційний номер: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14.08.2023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304490220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0166ADFE" w:rsidR="00080D65" w:rsidRPr="00E127EF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127EF">
        <w:rPr>
          <w:sz w:val="24"/>
          <w:szCs w:val="24"/>
        </w:rPr>
        <w:t>Відомості про земельну ділянку (</w:t>
      </w:r>
      <w:r w:rsidR="00E127EF" w:rsidRPr="00E127EF">
        <w:rPr>
          <w:sz w:val="24"/>
          <w:szCs w:val="24"/>
        </w:rPr>
        <w:t>кадастровий</w:t>
      </w:r>
      <w:r w:rsidRPr="00E127EF">
        <w:rPr>
          <w:sz w:val="24"/>
          <w:szCs w:val="24"/>
        </w:rPr>
        <w:t xml:space="preserve"> № </w:t>
      </w:r>
      <w:r w:rsidR="0027157C" w:rsidRPr="00E127EF">
        <w:rPr>
          <w:sz w:val="24"/>
          <w:szCs w:val="24"/>
        </w:rPr>
        <w:t>8000000000:82:026:0026</w:t>
      </w:r>
      <w:r w:rsidRPr="00E127EF">
        <w:rPr>
          <w:sz w:val="24"/>
          <w:szCs w:val="24"/>
        </w:rPr>
        <w:t>)</w:t>
      </w:r>
      <w:r w:rsidR="00726D11" w:rsidRPr="00E127EF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"/>
        <w:gridCol w:w="3246"/>
        <w:gridCol w:w="6363"/>
        <w:gridCol w:w="15"/>
      </w:tblGrid>
      <w:tr w:rsidR="008A338E" w:rsidRPr="0057685E" w14:paraId="6CEA0ABA" w14:textId="77777777" w:rsidTr="00303F8C">
        <w:trPr>
          <w:trHeight w:hRule="exact" w:val="437"/>
        </w:trPr>
        <w:tc>
          <w:tcPr>
            <w:tcW w:w="3261" w:type="dxa"/>
            <w:gridSpan w:val="2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78" w:type="dxa"/>
            <w:gridSpan w:val="2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Печерський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вул. Мечникова, 11-А</w:t>
            </w:r>
          </w:p>
        </w:tc>
      </w:tr>
      <w:tr w:rsidR="008A338E" w:rsidRPr="0057685E" w14:paraId="5B94B40E" w14:textId="77777777" w:rsidTr="00303F8C">
        <w:trPr>
          <w:trHeight w:hRule="exact" w:val="274"/>
        </w:trPr>
        <w:tc>
          <w:tcPr>
            <w:tcW w:w="3261" w:type="dxa"/>
            <w:gridSpan w:val="2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78" w:type="dxa"/>
            <w:gridSpan w:val="2"/>
            <w:shd w:val="clear" w:color="auto" w:fill="FFFFFF"/>
          </w:tcPr>
          <w:p w14:paraId="4BB78C78" w14:textId="69067C55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0,80</w:t>
            </w:r>
            <w:r w:rsidR="00E127EF">
              <w:rPr>
                <w:i/>
                <w:iCs/>
                <w:sz w:val="24"/>
                <w:szCs w:val="24"/>
              </w:rPr>
              <w:t>46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303F8C">
        <w:trPr>
          <w:trHeight w:hRule="exact" w:val="448"/>
        </w:trPr>
        <w:tc>
          <w:tcPr>
            <w:tcW w:w="3261" w:type="dxa"/>
            <w:gridSpan w:val="2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78" w:type="dxa"/>
            <w:gridSpan w:val="2"/>
            <w:shd w:val="clear" w:color="auto" w:fill="FFFFFF"/>
          </w:tcPr>
          <w:p w14:paraId="25044A34" w14:textId="51172EF9" w:rsidR="008A338E" w:rsidRPr="00E127EF" w:rsidRDefault="00E127EF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Право в процесі оформлення (оренда на 3 роки)</w:t>
            </w:r>
          </w:p>
        </w:tc>
      </w:tr>
      <w:tr w:rsidR="00CF2418" w:rsidRPr="0057685E" w14:paraId="27702FE9" w14:textId="77777777" w:rsidTr="00303F8C">
        <w:trPr>
          <w:trHeight w:hRule="exact" w:val="451"/>
        </w:trPr>
        <w:tc>
          <w:tcPr>
            <w:tcW w:w="3261" w:type="dxa"/>
            <w:gridSpan w:val="2"/>
            <w:shd w:val="clear" w:color="auto" w:fill="FFFFFF"/>
          </w:tcPr>
          <w:p w14:paraId="2C9BDBEE" w14:textId="3D330455" w:rsidR="00CF2418" w:rsidRPr="0057685E" w:rsidRDefault="003B3924" w:rsidP="00E127EF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7EF">
              <w:rPr>
                <w:sz w:val="24"/>
                <w:szCs w:val="24"/>
              </w:rPr>
              <w:t>Вид використання</w:t>
            </w:r>
          </w:p>
        </w:tc>
        <w:tc>
          <w:tcPr>
            <w:tcW w:w="6378" w:type="dxa"/>
            <w:gridSpan w:val="2"/>
            <w:shd w:val="clear" w:color="auto" w:fill="FFFFFF"/>
          </w:tcPr>
          <w:p w14:paraId="7250F913" w14:textId="485F4CFA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для будівництва </w:t>
            </w:r>
            <w:proofErr w:type="spellStart"/>
            <w:r w:rsidRPr="0057685E">
              <w:rPr>
                <w:i/>
                <w:sz w:val="24"/>
                <w:szCs w:val="24"/>
              </w:rPr>
              <w:t>офісно</w:t>
            </w:r>
            <w:proofErr w:type="spellEnd"/>
            <w:r w:rsidRPr="0057685E">
              <w:rPr>
                <w:i/>
                <w:sz w:val="24"/>
                <w:szCs w:val="24"/>
              </w:rPr>
              <w:t>-житлового центру</w:t>
            </w:r>
          </w:p>
        </w:tc>
      </w:tr>
      <w:tr w:rsidR="00E127EF" w:rsidRPr="00C23403" w14:paraId="5CC0F528" w14:textId="77777777" w:rsidTr="00303F8C">
        <w:trPr>
          <w:gridBefore w:val="1"/>
          <w:gridAfter w:val="1"/>
          <w:wBefore w:w="15" w:type="dxa"/>
          <w:wAfter w:w="15" w:type="dxa"/>
          <w:trHeight w:hRule="exact" w:val="571"/>
        </w:trPr>
        <w:tc>
          <w:tcPr>
            <w:tcW w:w="3246" w:type="dxa"/>
            <w:shd w:val="clear" w:color="auto" w:fill="FFFFFF"/>
          </w:tcPr>
          <w:p w14:paraId="15E7FF67" w14:textId="38FF379D" w:rsidR="00E127EF" w:rsidRPr="00C23403" w:rsidRDefault="00E127EF" w:rsidP="00E45062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127EF">
              <w:rPr>
                <w:sz w:val="24"/>
                <w:szCs w:val="24"/>
              </w:rPr>
              <w:t>од виду цільового призначення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363" w:type="dxa"/>
            <w:shd w:val="clear" w:color="auto" w:fill="FFFFFF"/>
          </w:tcPr>
          <w:p w14:paraId="003DC526" w14:textId="24012AFE" w:rsidR="00E127EF" w:rsidRPr="00C23403" w:rsidRDefault="00E127EF" w:rsidP="00E45062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02.07 для іншої житлової забудови</w:t>
            </w:r>
          </w:p>
        </w:tc>
      </w:tr>
      <w:tr w:rsidR="00E127EF" w14:paraId="7B5CE3B1" w14:textId="77777777" w:rsidTr="00303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" w:type="dxa"/>
          <w:wAfter w:w="15" w:type="dxa"/>
          <w:trHeight w:hRule="exact" w:val="711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9DBC4" w14:textId="77777777" w:rsidR="00E127EF" w:rsidRPr="00E311BC" w:rsidRDefault="00E127EF" w:rsidP="00E45062">
            <w:pPr>
              <w:pStyle w:val="a4"/>
              <w:rPr>
                <w:sz w:val="24"/>
                <w:szCs w:val="24"/>
              </w:rPr>
            </w:pPr>
            <w:r w:rsidRPr="00E311BC">
              <w:rPr>
                <w:sz w:val="24"/>
                <w:szCs w:val="24"/>
              </w:rPr>
              <w:t>Нормативна грошова оцінка</w:t>
            </w:r>
          </w:p>
          <w:p w14:paraId="50C0ED6E" w14:textId="77777777" w:rsidR="00E127EF" w:rsidRPr="00456FAA" w:rsidRDefault="00E127EF" w:rsidP="00E45062">
            <w:pPr>
              <w:pStyle w:val="a4"/>
              <w:rPr>
                <w:sz w:val="24"/>
                <w:szCs w:val="24"/>
              </w:rPr>
            </w:pPr>
            <w:r w:rsidRPr="00E311BC">
              <w:rPr>
                <w:sz w:val="24"/>
                <w:szCs w:val="24"/>
              </w:rPr>
              <w:t xml:space="preserve"> (за попереднім розрахунком*)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17F4A" w14:textId="42428590" w:rsidR="00E127EF" w:rsidRPr="00E311BC" w:rsidRDefault="00E127EF" w:rsidP="00E127EF">
            <w:pPr>
              <w:pStyle w:val="a4"/>
              <w:jc w:val="both"/>
              <w:rPr>
                <w:rStyle w:val="ae"/>
                <w:iCs w:val="0"/>
                <w:sz w:val="24"/>
                <w:szCs w:val="24"/>
              </w:rPr>
            </w:pPr>
            <w:r w:rsidRPr="00C70F3C">
              <w:t xml:space="preserve"> </w:t>
            </w:r>
            <w:r w:rsidR="00303F8C" w:rsidRPr="00303F8C">
              <w:rPr>
                <w:i/>
                <w:sz w:val="24"/>
                <w:szCs w:val="24"/>
              </w:rPr>
              <w:t xml:space="preserve">66 145 668 </w:t>
            </w:r>
            <w:r w:rsidRPr="00303F8C">
              <w:rPr>
                <w:i/>
                <w:sz w:val="24"/>
                <w:szCs w:val="24"/>
              </w:rPr>
              <w:t xml:space="preserve">грн </w:t>
            </w:r>
            <w:r w:rsidR="00303F8C" w:rsidRPr="00303F8C">
              <w:rPr>
                <w:i/>
                <w:sz w:val="24"/>
                <w:szCs w:val="24"/>
              </w:rPr>
              <w:t>90</w:t>
            </w:r>
            <w:r w:rsidRPr="00303F8C">
              <w:rPr>
                <w:i/>
                <w:sz w:val="24"/>
                <w:szCs w:val="24"/>
              </w:rPr>
              <w:t xml:space="preserve"> коп.</w:t>
            </w:r>
          </w:p>
        </w:tc>
      </w:tr>
    </w:tbl>
    <w:tbl>
      <w:tblPr>
        <w:tblStyle w:val="a8"/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127EF" w:rsidRPr="005B36F0" w14:paraId="21D0341D" w14:textId="77777777" w:rsidTr="00C92D5B">
        <w:trPr>
          <w:trHeight w:val="480"/>
        </w:trPr>
        <w:tc>
          <w:tcPr>
            <w:tcW w:w="9639" w:type="dxa"/>
          </w:tcPr>
          <w:p w14:paraId="3597E4C7" w14:textId="77777777" w:rsidR="00E127EF" w:rsidRPr="006E10B3" w:rsidRDefault="00E127EF" w:rsidP="00E45062">
            <w:pPr>
              <w:pStyle w:val="1"/>
              <w:tabs>
                <w:tab w:val="left" w:pos="668"/>
              </w:tabs>
              <w:spacing w:line="228" w:lineRule="auto"/>
              <w:ind w:left="-120"/>
              <w:rPr>
                <w:i w:val="0"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78040B">
              <w:rPr>
                <w:sz w:val="24"/>
                <w:szCs w:val="24"/>
              </w:rPr>
              <w:t>*</w:t>
            </w:r>
            <w:r w:rsidRPr="00DC4060">
              <w:rPr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sz w:val="24"/>
                <w:szCs w:val="24"/>
                <w:lang w:val="ru-RU"/>
              </w:rPr>
              <w:t xml:space="preserve">  </w:t>
            </w:r>
          </w:p>
          <w:p w14:paraId="1F307A4A" w14:textId="77777777" w:rsidR="00E127EF" w:rsidRDefault="00E127EF" w:rsidP="00E45062">
            <w:pPr>
              <w:pStyle w:val="1"/>
              <w:tabs>
                <w:tab w:val="left" w:pos="668"/>
              </w:tabs>
              <w:spacing w:line="228" w:lineRule="auto"/>
              <w:ind w:left="-120"/>
              <w:rPr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DC4060">
              <w:rPr>
                <w:sz w:val="24"/>
                <w:szCs w:val="24"/>
              </w:rPr>
              <w:t>відповідно до вимог чинного законодавства</w:t>
            </w:r>
            <w:r>
              <w:rPr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6D7A453B" w14:textId="77777777" w:rsidR="008A338E" w:rsidRDefault="008A338E" w:rsidP="00E127EF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5C7166D9" w14:textId="2F7FE2B2" w:rsidR="00E127EF" w:rsidRPr="00E311BC" w:rsidRDefault="00E127EF" w:rsidP="00E127EF">
      <w:pPr>
        <w:pStyle w:val="1"/>
        <w:shd w:val="clear" w:color="auto" w:fill="auto"/>
        <w:ind w:firstLine="403"/>
        <w:jc w:val="both"/>
        <w:rPr>
          <w:i w:val="0"/>
          <w:sz w:val="24"/>
          <w:szCs w:val="24"/>
        </w:rPr>
      </w:pPr>
      <w:r w:rsidRPr="00E311BC">
        <w:rPr>
          <w:i w:val="0"/>
          <w:sz w:val="24"/>
          <w:szCs w:val="24"/>
        </w:rPr>
        <w:t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</w:t>
      </w:r>
      <w:r>
        <w:rPr>
          <w:i w:val="0"/>
          <w:sz w:val="24"/>
          <w:szCs w:val="24"/>
        </w:rPr>
        <w:t xml:space="preserve"> 20.09</w:t>
      </w:r>
      <w:r w:rsidRPr="00A11797">
        <w:rPr>
          <w:i w:val="0"/>
          <w:sz w:val="24"/>
          <w:szCs w:val="24"/>
        </w:rPr>
        <w:t>.2023 № НВ-00019</w:t>
      </w:r>
      <w:r>
        <w:rPr>
          <w:i w:val="0"/>
          <w:sz w:val="24"/>
          <w:szCs w:val="24"/>
        </w:rPr>
        <w:t>45552023</w:t>
      </w:r>
      <w:r w:rsidRPr="00A11797">
        <w:rPr>
          <w:i w:val="0"/>
          <w:sz w:val="24"/>
          <w:szCs w:val="24"/>
        </w:rPr>
        <w:t>),</w:t>
      </w:r>
      <w:r w:rsidRPr="00E311BC">
        <w:rPr>
          <w:i w:val="0"/>
          <w:sz w:val="24"/>
          <w:szCs w:val="24"/>
        </w:rPr>
        <w:t xml:space="preserve"> право комунальної власності територіальної громади міста Києва на яку зареєстровано в установленому порядку (</w:t>
      </w:r>
      <w:r w:rsidR="00C92D5B" w:rsidRPr="00C92D5B">
        <w:rPr>
          <w:i w:val="0"/>
          <w:sz w:val="24"/>
          <w:szCs w:val="24"/>
        </w:rPr>
        <w:t xml:space="preserve">право власності зареєстровано в Державному реєстрі речових прав на нерухоме майно </w:t>
      </w:r>
      <w:r w:rsidR="00C92D5B">
        <w:rPr>
          <w:i w:val="0"/>
          <w:sz w:val="24"/>
          <w:szCs w:val="24"/>
        </w:rPr>
        <w:t xml:space="preserve">                                     </w:t>
      </w:r>
      <w:r w:rsidR="00C92D5B" w:rsidRPr="00C92D5B">
        <w:rPr>
          <w:i w:val="0"/>
          <w:sz w:val="24"/>
          <w:szCs w:val="24"/>
        </w:rPr>
        <w:lastRenderedPageBreak/>
        <w:t>22 квітня 2013 року, номер відомостей про речове право 795107</w:t>
      </w:r>
      <w:r w:rsidRPr="00E311BC">
        <w:rPr>
          <w:i w:val="0"/>
          <w:sz w:val="24"/>
          <w:szCs w:val="24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311BC">
        <w:rPr>
          <w:i w:val="0"/>
          <w:sz w:val="24"/>
          <w:szCs w:val="24"/>
        </w:rPr>
        <w:t>проєкт</w:t>
      </w:r>
      <w:proofErr w:type="spellEnd"/>
      <w:r w:rsidRPr="00E311BC">
        <w:rPr>
          <w:i w:val="0"/>
          <w:sz w:val="24"/>
          <w:szCs w:val="24"/>
        </w:rPr>
        <w:t xml:space="preserve"> рішення Київської міської ради щодо передачі земельної ділянки без зміни її меж та цільового призначення без складання документації із землеустрою.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769C949B" w14:textId="6C102262" w:rsidR="004F57B8" w:rsidRDefault="004F57B8" w:rsidP="004F57B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</w:t>
            </w:r>
            <w:r w:rsidRPr="002A1C5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="000B1F5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офісно</w:t>
            </w:r>
            <w:proofErr w:type="spellEnd"/>
            <w:r w:rsidR="000B1F5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-житловим центром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, замовником якого є </w:t>
            </w:r>
            <w:r w:rsidRPr="004F57B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ТОВАРИСТВО З ОБМЕЖЕНОЮ ВІДПОВІДАЛЬНІСТЮ «ЕКСПЛУАТАЦІЙНА КОМПАНІЯ «СЕРВІС»,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який введен</w:t>
            </w:r>
            <w:r w:rsidR="000B1F5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ий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в експлуатацію (сертифікат </w:t>
            </w:r>
            <w:r w:rsidR="000B1F5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          від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12.07.2022 № ІУ123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220708680</w:t>
            </w:r>
            <w:r w:rsidR="0034168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)</w:t>
            </w:r>
            <w:r w:rsidRPr="002A1C5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  <w:p w14:paraId="3D76F070" w14:textId="2D551236" w:rsidR="004F57B8" w:rsidRPr="002A1C55" w:rsidRDefault="004F57B8" w:rsidP="004F57B8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</w:t>
            </w:r>
            <w:r w:rsidRPr="004F57B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ТОВАРИСТВО З ОБМЕЖЕНОЮ ВІДПОВІДАЛЬНІСТЮ «ЕКСПЛУАТАЦІЙНА КОМПАНІЯ «СЕРВІС»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зареєструвало право власності</w:t>
            </w:r>
            <w:r w:rsidR="00252B1F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на об</w:t>
            </w:r>
            <w:r w:rsidR="00252B1F" w:rsidRPr="00252B1F">
              <w:rPr>
                <w:rFonts w:ascii="Times New Roman" w:eastAsia="Times New Roman" w:hAnsi="Times New Roman" w:cs="Times New Roman"/>
                <w:i/>
                <w:color w:val="000000" w:themeColor="text1"/>
                <w:lang w:val="ru-RU"/>
              </w:rPr>
              <w:t>’</w:t>
            </w:r>
            <w:proofErr w:type="spellStart"/>
            <w:r w:rsidR="00252B1F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єкти</w:t>
            </w:r>
            <w:proofErr w:type="spellEnd"/>
            <w:r w:rsidR="00252B1F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нерухомого майна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а саме</w:t>
            </w:r>
            <w:r w:rsidRPr="002A1C5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:</w:t>
            </w:r>
          </w:p>
          <w:p w14:paraId="0A170396" w14:textId="47A5C3B8" w:rsidR="004F57B8" w:rsidRDefault="004F57B8" w:rsidP="004F57B8">
            <w:pPr>
              <w:pStyle w:val="af4"/>
              <w:numPr>
                <w:ilvl w:val="0"/>
                <w:numId w:val="3"/>
              </w:numPr>
              <w:ind w:left="40" w:firstLine="142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площею 192,7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дата державної реєстрації 10.03.2023, номер відомостей про речове право 49554893 (інформація з Державного реєстру речових прав на нерухоме майно від 20.09.2023 № 347319817);</w:t>
            </w:r>
          </w:p>
          <w:p w14:paraId="2FF14BCA" w14:textId="0CCB4CB0" w:rsidR="004F57B8" w:rsidRDefault="004F57B8" w:rsidP="004F57B8">
            <w:pPr>
              <w:pStyle w:val="af4"/>
              <w:numPr>
                <w:ilvl w:val="0"/>
                <w:numId w:val="3"/>
              </w:numPr>
              <w:ind w:left="40" w:firstLine="142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площею 191,3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дата державної реєстрації 10.03.2023, номер відомостей про речове право 49555159 (інформація з Державного реєстру речових прав на нерухоме майно від 20.09.2023 № 347320097);</w:t>
            </w:r>
          </w:p>
          <w:p w14:paraId="6E49C0F2" w14:textId="4A57E247" w:rsidR="004F57B8" w:rsidRDefault="004F57B8" w:rsidP="004F57B8">
            <w:pPr>
              <w:pStyle w:val="af4"/>
              <w:numPr>
                <w:ilvl w:val="0"/>
                <w:numId w:val="3"/>
              </w:numPr>
              <w:ind w:left="40" w:firstLine="142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площею 135,5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дата державної реєстрації 29.03.2023, номер відомостей про речове право 49741752 (інформація з Державного реєстру речових прав на нерухоме майно від 20.09.2023 № 347319658);</w:t>
            </w:r>
          </w:p>
          <w:p w14:paraId="2890911D" w14:textId="04A750E7" w:rsidR="004F57B8" w:rsidRDefault="004F57B8" w:rsidP="004F57B8">
            <w:pPr>
              <w:pStyle w:val="af4"/>
              <w:numPr>
                <w:ilvl w:val="0"/>
                <w:numId w:val="3"/>
              </w:numPr>
              <w:ind w:left="40" w:firstLine="142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площею 222,5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дата державної реєстрації 29.03.2023, номер відомостей про речове право 49741599 (інформація з Державного реєстру речових прав на нерухоме майно від 20.09.2023 № 347295686).</w:t>
            </w:r>
          </w:p>
          <w:p w14:paraId="2FCE8E57" w14:textId="74331527" w:rsidR="00622A5B" w:rsidRPr="00F336A8" w:rsidRDefault="00622A5B" w:rsidP="000B1F58">
            <w:pPr>
              <w:pStyle w:val="af4"/>
              <w:ind w:left="0" w:firstLine="182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2A5B" w:rsidRPr="0070402C" w14:paraId="1055C217" w14:textId="77777777" w:rsidTr="00765B95">
        <w:trPr>
          <w:cantSplit/>
          <w:trHeight w:val="487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503253B" w14:textId="74E9650A" w:rsidR="00622A5B" w:rsidRPr="00181AC0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735A708" w14:textId="59844E60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4AE2A1C0" w:rsidR="00622A5B" w:rsidRPr="00F336A8" w:rsidRDefault="00622A5B" w:rsidP="0041198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 належить</w:t>
            </w:r>
            <w:r w:rsidR="00C92D5B">
              <w:rPr>
                <w:rFonts w:ascii="Times New Roman" w:eastAsia="Times New Roman" w:hAnsi="Times New Roman" w:cs="Times New Roman"/>
                <w:i/>
              </w:rPr>
              <w:t xml:space="preserve"> частково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до </w:t>
            </w:r>
            <w:r w:rsidR="00411985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411985" w:rsidRPr="00411985">
              <w:rPr>
                <w:rFonts w:ascii="Times New Roman" w:eastAsia="Times New Roman" w:hAnsi="Times New Roman" w:cs="Times New Roman"/>
                <w:i/>
              </w:rPr>
              <w:t>громадських будівель та споруд (на розрахунковий період)</w:t>
            </w:r>
            <w:r w:rsidR="00C92D5B">
              <w:rPr>
                <w:rFonts w:ascii="Times New Roman" w:eastAsia="Times New Roman" w:hAnsi="Times New Roman" w:cs="Times New Roman"/>
                <w:i/>
              </w:rPr>
              <w:t xml:space="preserve"> та частково до території вулиць та доріг</w:t>
            </w:r>
            <w:r w:rsidR="00411985">
              <w:rPr>
                <w:rFonts w:ascii="Times New Roman" w:eastAsia="Times New Roman" w:hAnsi="Times New Roman" w:cs="Times New Roman"/>
                <w:i/>
              </w:rPr>
              <w:t xml:space="preserve"> (витяг з містобудівного кадастру, наданий Департаментом містобудування та архітектури виконавчого органу Київської міської ради (Київської міської державної адміністрації) листом від 23.08.2023               № 055-6355)</w:t>
            </w:r>
            <w:r w:rsidR="00411985" w:rsidRPr="00C23403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AC5DC4" w14:textId="77777777" w:rsidR="00622A5B" w:rsidRPr="00AD604C" w:rsidRDefault="0045666D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  <w:p w14:paraId="2B775BCC" w14:textId="7089FB1A" w:rsidR="00AD604C" w:rsidRPr="00AD604C" w:rsidRDefault="00AD604C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2F480470" w14:textId="0DD38839" w:rsidR="00C92D5B" w:rsidRPr="00C92D5B" w:rsidRDefault="00C92D5B" w:rsidP="00C92D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92D5B">
              <w:rPr>
                <w:rFonts w:ascii="Times New Roman" w:hAnsi="Times New Roman" w:cs="Times New Roman"/>
                <w:i/>
              </w:rPr>
              <w:t xml:space="preserve">   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  <w:r w:rsidRPr="00C92D5B">
              <w:rPr>
                <w:rFonts w:ascii="Times New Roman" w:hAnsi="Times New Roman" w:cs="Times New Roman"/>
                <w:i/>
              </w:rPr>
              <w:t>Земельна ділянка розташована в межах червоних ліній.</w:t>
            </w:r>
          </w:p>
          <w:p w14:paraId="597F2B2A" w14:textId="4072384D" w:rsidR="00411985" w:rsidRDefault="00411985" w:rsidP="00411985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Земельна ділянка площею </w:t>
            </w:r>
            <w:r w:rsidR="00C92D5B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0,</w:t>
            </w:r>
            <w:r w:rsidR="0048470B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8046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га (кадастровий номер 8000000000:</w:t>
            </w:r>
            <w:r w:rsidR="0048470B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82:026:0026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) на вул. </w:t>
            </w:r>
            <w:r w:rsidR="00AD6297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Мечникова, 11-А у Печерському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районі м. Києва на підставі рішення Київської міської ради від </w:t>
            </w:r>
            <w:r w:rsidR="00AD6297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27.02.2003 № 289/449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передана </w:t>
            </w:r>
            <w:r w:rsidR="00C07932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т</w:t>
            </w:r>
            <w:r w:rsidR="006E0BFA" w:rsidRPr="006E0BF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овариств</w:t>
            </w:r>
            <w:r w:rsidR="006E0BF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у</w:t>
            </w:r>
            <w:r w:rsidR="006E0BFA" w:rsidRPr="006E0BF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з обмеженою відповідальністю «Георгій»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в оренду на </w:t>
            </w:r>
            <w:r w:rsidR="003C142D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10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років для </w:t>
            </w:r>
            <w:r w:rsidR="003C142D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будівництва </w:t>
            </w:r>
            <w:proofErr w:type="spellStart"/>
            <w:r w:rsidR="003C142D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офісно</w:t>
            </w:r>
            <w:proofErr w:type="spellEnd"/>
            <w:r w:rsidR="003C142D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-житлового центру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(договір оренди земельної ділянки від </w:t>
            </w:r>
            <w:r w:rsidR="009B5DB9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18.11.2003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№ </w:t>
            </w:r>
            <w:r w:rsidR="009B5DB9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82-6-00142</w:t>
            </w:r>
            <w:r w:rsidR="00D751AE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)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. </w:t>
            </w:r>
          </w:p>
          <w:p w14:paraId="0E1B2E35" w14:textId="6E8D6CCE" w:rsidR="006E0BFA" w:rsidRDefault="006E0BFA" w:rsidP="00411985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Н</w:t>
            </w:r>
            <w:r w:rsidR="00C07932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а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підставі рішення Київської міської ради </w:t>
            </w:r>
            <w:r w:rsidR="00C07932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             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від 22.05.2013 № 499/9556 поновлено</w:t>
            </w:r>
            <w:r w:rsidR="006C0C14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вказаний договір оренди земельної ділянки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на 10 років та </w:t>
            </w:r>
            <w:proofErr w:type="spellStart"/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внесено</w:t>
            </w:r>
            <w:proofErr w:type="spellEnd"/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зміни до </w:t>
            </w:r>
            <w:r w:rsidR="00D9233D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нього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, а саме:</w:t>
            </w:r>
          </w:p>
          <w:p w14:paraId="751672D5" w14:textId="0FC81D01" w:rsidR="006E0BFA" w:rsidRDefault="006E0BFA" w:rsidP="006E0BFA">
            <w:pPr>
              <w:pStyle w:val="a7"/>
              <w:numPr>
                <w:ilvl w:val="0"/>
                <w:numId w:val="3"/>
              </w:numPr>
              <w:shd w:val="clear" w:color="auto" w:fill="auto"/>
              <w:ind w:left="38" w:firstLine="284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замінено сторону по договору </w:t>
            </w:r>
            <w:r w:rsidR="00D751AE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«</w:t>
            </w:r>
            <w:r w:rsidRPr="006E0BF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Товариств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о</w:t>
            </w:r>
            <w:r w:rsidRPr="006E0BF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з обмеженою відповідальністю «Георгій»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на сторону «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ТОВАРИСТВ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О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З ОБМЕЖЕНОЮ ВІДПОВІДАЛЬНІСТЮ «ЕКСПЛУАТАЦІЙНА КОМПАНІЯ «СЕРВІС»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;</w:t>
            </w:r>
          </w:p>
          <w:p w14:paraId="6E4806CB" w14:textId="062B8DCF" w:rsidR="006E0BFA" w:rsidRDefault="006E0BFA" w:rsidP="006E0BFA">
            <w:pPr>
              <w:pStyle w:val="a7"/>
              <w:numPr>
                <w:ilvl w:val="0"/>
                <w:numId w:val="3"/>
              </w:numPr>
              <w:shd w:val="clear" w:color="auto" w:fill="auto"/>
              <w:ind w:left="38" w:firstLine="327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слова і цифри «між будинками № 9 та № 11 на </w:t>
            </w:r>
            <w:r w:rsidR="00C07932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вул. Мечникова» замін</w:t>
            </w:r>
            <w:r w:rsidR="006C0C14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ено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словами та цифрами </w:t>
            </w:r>
            <w:r w:rsidR="00C07932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  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«вул. Мечникова, 11-а».</w:t>
            </w:r>
          </w:p>
          <w:p w14:paraId="0767DB4E" w14:textId="69DACDF4" w:rsidR="00C07932" w:rsidRPr="00963267" w:rsidRDefault="00C07932" w:rsidP="00C07932">
            <w:pPr>
              <w:pStyle w:val="a7"/>
              <w:shd w:val="clear" w:color="auto" w:fill="auto"/>
              <w:ind w:left="38" w:firstLine="284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Договір про поновлення та внесення змін до договору оренди земельної ділянки від 22.07.2013 № 203 (термін дії договору оренди закінчився</w:t>
            </w:r>
            <w:r w:rsidR="00D9233D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22.07.2023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).</w:t>
            </w:r>
          </w:p>
          <w:p w14:paraId="11646A91" w14:textId="2516FF6A" w:rsidR="00411985" w:rsidRDefault="00411985" w:rsidP="00411985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Рішення про поновлення договору оренди земельної ділянки Київська міська рада не приймала.</w:t>
            </w:r>
          </w:p>
          <w:p w14:paraId="3CC22715" w14:textId="024DFDFF" w:rsidR="00C92D5B" w:rsidRDefault="00C92D5B" w:rsidP="00C92D5B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</w:t>
            </w:r>
            <w:r w:rsidRPr="000B1F58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Наразі ТОВАРИСТВО З ОБМЕЖЕНОЮ ВІДПОВІДАЛЬНІСТЮ «ЕКСПЛУАТАЦІЙНА КОМПАНІЯ «СЕРВІС» продовжує роботи по облаштуванню </w:t>
            </w:r>
            <w:proofErr w:type="spellStart"/>
            <w:r w:rsidRPr="000B1F58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офісно</w:t>
            </w:r>
            <w:proofErr w:type="spellEnd"/>
            <w:r w:rsidRPr="000B1F58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-житлового центру, в процесі яких виникла необхідність у розміщенні інженерних мереж до зазначеного центру, що відповідно потребує оформлення права користування зазначеною земельною ділянкою (лист 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ТОВАРИСТВ</w:t>
            </w:r>
            <w:r w:rsidRPr="000B1F58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А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З ОБМЕЖЕНОЮ </w:t>
            </w:r>
            <w:r w:rsidR="006E0BF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ВІДПОВІДАЛЬНІСТЮ «ЕКСПЛУАТАЦІЙНА КОМПАНІЯ «СЕРВІС»</w:t>
            </w:r>
            <w:r w:rsidRPr="000B1F58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            </w:t>
            </w:r>
            <w:r w:rsidRPr="000B1F58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від 08.09.2023 № 194)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.</w:t>
            </w:r>
          </w:p>
          <w:p w14:paraId="58F10037" w14:textId="14CA196A" w:rsidR="00411985" w:rsidRDefault="00411985" w:rsidP="00411985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Підпунктом 2.</w:t>
            </w:r>
            <w:r w:rsidR="00536A8D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8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. пункту 2 </w:t>
            </w:r>
            <w:proofErr w:type="spellStart"/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проєкту</w:t>
            </w:r>
            <w:proofErr w:type="spellEnd"/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Cуду</w:t>
            </w:r>
            <w:proofErr w:type="spellEnd"/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від 18.06.2020 у справі</w:t>
            </w:r>
            <w:r w:rsidR="00303F8C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     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№ 925/449/19, від 27.01.2021 у справі № 630/269/16, </w:t>
            </w:r>
            <w:r w:rsidR="00303F8C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від 10.02.2021 у справі № 200/8930/18) зобов’язати землекористувача сплатити безпідставно збереженні кошти за користування земельною ділянкою з моменту закінчення договору оренди земельної ділянки від </w:t>
            </w:r>
            <w:r w:rsidR="006C0C14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18.11.2003</w:t>
            </w:r>
            <w:r w:rsidR="006C0C14"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№ </w:t>
            </w:r>
            <w:r w:rsidR="006C0C14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82-6-00142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(зі змінами) до моменту реєстрації права оренди на земельну ділянку у Державному реєстрі речових прав на нерухоме майно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0A22F47" w14:textId="77777777" w:rsidR="00411985" w:rsidRPr="00963267" w:rsidRDefault="00411985" w:rsidP="00411985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lastRenderedPageBreak/>
              <w:t xml:space="preserve">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   </w:t>
            </w:r>
          </w:p>
          <w:p w14:paraId="58FC737C" w14:textId="7E5CBDFD" w:rsidR="00411985" w:rsidRPr="00963267" w:rsidRDefault="00411985" w:rsidP="00411985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Зазначене підтверджується, зокрема, рішеннями Верховного Суду від 28.04.2021 у справі № 826/8857/16, </w:t>
            </w:r>
            <w:r w:rsidR="00903CF0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</w:t>
            </w:r>
            <w:r w:rsidRPr="0096326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від 17.04.2018 у справі № 826/8107/16, від 16.09.2021 у справі № 826/8847/16. </w:t>
            </w:r>
          </w:p>
          <w:p w14:paraId="4FDC9525" w14:textId="02268B9A" w:rsidR="00C92D5B" w:rsidRPr="00C92D5B" w:rsidRDefault="00411985" w:rsidP="00C92D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63267">
              <w:rPr>
                <w:rFonts w:ascii="Times New Roman" w:hAnsi="Times New Roman" w:cs="Times New Roman"/>
                <w:i/>
              </w:rPr>
              <w:t xml:space="preserve">     Зважаючи на вказане, цей </w:t>
            </w:r>
            <w:proofErr w:type="spellStart"/>
            <w:r w:rsidRPr="00963267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63267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C72F9C2" w:rsidR="00823CCF" w:rsidRDefault="00823CCF" w:rsidP="00823CCF">
      <w:pPr>
        <w:pStyle w:val="a7"/>
        <w:shd w:val="clear" w:color="auto" w:fill="auto"/>
      </w:pPr>
    </w:p>
    <w:p w14:paraId="61E489DA" w14:textId="77777777" w:rsidR="00D050DE" w:rsidRPr="008146F4" w:rsidRDefault="00D050DE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8FF8152" w14:textId="77777777" w:rsidR="00963267" w:rsidRPr="00F23037" w:rsidRDefault="00963267" w:rsidP="00963267">
      <w:pPr>
        <w:pStyle w:val="1"/>
        <w:ind w:firstLine="403"/>
        <w:jc w:val="both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3D1103ED" w14:textId="77777777" w:rsidR="00963267" w:rsidRPr="00F23037" w:rsidRDefault="00963267" w:rsidP="00963267">
      <w:pPr>
        <w:pStyle w:val="1"/>
        <w:ind w:firstLine="403"/>
        <w:jc w:val="both"/>
        <w:rPr>
          <w:i w:val="0"/>
          <w:sz w:val="24"/>
          <w:szCs w:val="24"/>
        </w:rPr>
      </w:pPr>
      <w:proofErr w:type="spellStart"/>
      <w:r w:rsidRPr="00C70F3C">
        <w:rPr>
          <w:i w:val="0"/>
          <w:sz w:val="24"/>
          <w:szCs w:val="24"/>
        </w:rPr>
        <w:t>Проєкт</w:t>
      </w:r>
      <w:proofErr w:type="spellEnd"/>
      <w:r w:rsidRPr="00C70F3C">
        <w:rPr>
          <w:i w:val="0"/>
          <w:sz w:val="24"/>
          <w:szCs w:val="24"/>
        </w:rPr>
        <w:t xml:space="preserve"> рішення</w:t>
      </w:r>
      <w:r>
        <w:rPr>
          <w:i w:val="0"/>
          <w:sz w:val="24"/>
          <w:szCs w:val="24"/>
        </w:rPr>
        <w:t xml:space="preserve"> не</w:t>
      </w:r>
      <w:r w:rsidRPr="00C70F3C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50D06C78" w14:textId="1F12E13B" w:rsidR="00963267" w:rsidRDefault="00963267" w:rsidP="00963267">
      <w:pPr>
        <w:pStyle w:val="1"/>
        <w:shd w:val="clear" w:color="auto" w:fill="auto"/>
        <w:ind w:firstLine="403"/>
        <w:jc w:val="both"/>
        <w:rPr>
          <w:i w:val="0"/>
          <w:sz w:val="24"/>
          <w:szCs w:val="24"/>
        </w:rPr>
      </w:pPr>
      <w:proofErr w:type="spellStart"/>
      <w:r w:rsidRPr="00C70F3C">
        <w:rPr>
          <w:i w:val="0"/>
          <w:sz w:val="24"/>
          <w:szCs w:val="24"/>
        </w:rPr>
        <w:t>Проєкт</w:t>
      </w:r>
      <w:proofErr w:type="spellEnd"/>
      <w:r w:rsidRPr="00C70F3C">
        <w:rPr>
          <w:i w:val="0"/>
          <w:sz w:val="24"/>
          <w:szCs w:val="24"/>
        </w:rPr>
        <w:t xml:space="preserve">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3257589F" w14:textId="77777777" w:rsidR="00303F8C" w:rsidRPr="00F23037" w:rsidRDefault="00303F8C" w:rsidP="00963267">
      <w:pPr>
        <w:pStyle w:val="1"/>
        <w:shd w:val="clear" w:color="auto" w:fill="auto"/>
        <w:ind w:firstLine="403"/>
        <w:jc w:val="both"/>
        <w:rPr>
          <w:i w:val="0"/>
          <w:sz w:val="24"/>
          <w:szCs w:val="24"/>
        </w:rPr>
      </w:pP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69F1FDDD" w14:textId="77777777" w:rsidR="00411985" w:rsidRPr="00F23037" w:rsidRDefault="00411985" w:rsidP="00411985">
      <w:pPr>
        <w:pStyle w:val="1"/>
        <w:tabs>
          <w:tab w:val="left" w:pos="426"/>
        </w:tabs>
        <w:ind w:firstLine="403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03A4F1D6" w14:textId="026D1C82" w:rsidR="00411985" w:rsidRPr="00F23037" w:rsidRDefault="00411985" w:rsidP="00411985">
      <w:pPr>
        <w:pStyle w:val="1"/>
        <w:shd w:val="clear" w:color="auto" w:fill="auto"/>
        <w:tabs>
          <w:tab w:val="left" w:pos="426"/>
          <w:tab w:val="left" w:pos="708"/>
        </w:tabs>
        <w:ind w:firstLine="403"/>
        <w:jc w:val="both"/>
        <w:rPr>
          <w:i w:val="0"/>
          <w:sz w:val="24"/>
          <w:szCs w:val="24"/>
        </w:rPr>
      </w:pPr>
      <w:r w:rsidRPr="00106C6F">
        <w:rPr>
          <w:i w:val="0"/>
          <w:sz w:val="24"/>
          <w:szCs w:val="24"/>
        </w:rPr>
        <w:t>Відповідно до Податкового кодексу України, Закону України «Про оренду землі» та рішення Київської міської ради 08.12.2022 № 5828/5869 «Про бюджет міста Києва на 2023 рік» орієнтовний розмір річної орендної плати складатиме</w:t>
      </w:r>
      <w:r w:rsidRPr="00303F8C">
        <w:rPr>
          <w:i w:val="0"/>
          <w:sz w:val="24"/>
          <w:szCs w:val="24"/>
        </w:rPr>
        <w:t>:</w:t>
      </w:r>
      <w:r w:rsidR="00303F8C" w:rsidRPr="00303F8C">
        <w:rPr>
          <w:i w:val="0"/>
          <w:sz w:val="24"/>
          <w:szCs w:val="24"/>
        </w:rPr>
        <w:t xml:space="preserve"> 1 984 370</w:t>
      </w:r>
      <w:r w:rsidRPr="00303F8C">
        <w:rPr>
          <w:i w:val="0"/>
          <w:sz w:val="24"/>
          <w:szCs w:val="24"/>
        </w:rPr>
        <w:t xml:space="preserve"> грн </w:t>
      </w:r>
      <w:r w:rsidR="00303F8C" w:rsidRPr="00303F8C">
        <w:rPr>
          <w:i w:val="0"/>
          <w:sz w:val="24"/>
          <w:szCs w:val="24"/>
        </w:rPr>
        <w:t>07</w:t>
      </w:r>
      <w:r w:rsidRPr="00303F8C">
        <w:rPr>
          <w:i w:val="0"/>
          <w:sz w:val="24"/>
          <w:szCs w:val="24"/>
        </w:rPr>
        <w:t xml:space="preserve"> коп. (</w:t>
      </w:r>
      <w:r w:rsidR="00303F8C" w:rsidRPr="00303F8C">
        <w:rPr>
          <w:i w:val="0"/>
          <w:sz w:val="24"/>
          <w:szCs w:val="24"/>
        </w:rPr>
        <w:t>3</w:t>
      </w:r>
      <w:r w:rsidRPr="00303F8C">
        <w:rPr>
          <w:i w:val="0"/>
          <w:sz w:val="24"/>
          <w:szCs w:val="24"/>
        </w:rPr>
        <w:t xml:space="preserve"> %).</w:t>
      </w:r>
    </w:p>
    <w:p w14:paraId="7F1C85CF" w14:textId="2BD7B2E5" w:rsidR="00E5173D" w:rsidRPr="00303F8C" w:rsidRDefault="00E5173D" w:rsidP="00334E6B">
      <w:pPr>
        <w:pStyle w:val="1"/>
        <w:shd w:val="clear" w:color="auto" w:fill="auto"/>
        <w:spacing w:line="230" w:lineRule="auto"/>
        <w:jc w:val="both"/>
        <w:rPr>
          <w:i w:val="0"/>
          <w:sz w:val="24"/>
          <w:szCs w:val="24"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10EA8DF5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використання земельної ділянки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E127E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3"/>
      <w:footerReference w:type="default" r:id="rId14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8208C" w14:textId="77777777" w:rsidR="00E45062" w:rsidRDefault="00E45062">
      <w:r>
        <w:separator/>
      </w:r>
    </w:p>
  </w:endnote>
  <w:endnote w:type="continuationSeparator" w:id="0">
    <w:p w14:paraId="21503353" w14:textId="77777777" w:rsidR="00E45062" w:rsidRDefault="00E4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9079B" w14:textId="77777777" w:rsidR="00E45062" w:rsidRDefault="00E45062"/>
  </w:footnote>
  <w:footnote w:type="continuationSeparator" w:id="0">
    <w:p w14:paraId="776C4985" w14:textId="77777777" w:rsidR="00E45062" w:rsidRDefault="00E4506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61B49A46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E127EF">
          <w:rPr>
            <w:i w:val="0"/>
            <w:sz w:val="12"/>
            <w:szCs w:val="12"/>
            <w:lang w:val="ru-RU"/>
          </w:rPr>
          <w:t>ПЗН-58582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E127EF">
          <w:rPr>
            <w:i w:val="0"/>
            <w:sz w:val="12"/>
            <w:szCs w:val="12"/>
            <w:lang w:val="ru-RU"/>
          </w:rPr>
          <w:t>20.09.2023</w:t>
        </w:r>
        <w:r w:rsidR="0070323B" w:rsidRPr="00E127EF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</w:t>
        </w:r>
        <w:r w:rsidR="00E127EF">
          <w:rPr>
            <w:i w:val="0"/>
            <w:sz w:val="12"/>
            <w:szCs w:val="12"/>
          </w:rPr>
          <w:t>справи</w:t>
        </w:r>
        <w:r w:rsidR="0070323B" w:rsidRPr="00800A09">
          <w:rPr>
            <w:i w:val="0"/>
            <w:sz w:val="12"/>
            <w:szCs w:val="12"/>
          </w:rPr>
          <w:t xml:space="preserve"> 304490220</w:t>
        </w:r>
      </w:p>
      <w:p w14:paraId="3796BF5B" w14:textId="6FE9BE03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52B1F" w:rsidRPr="00252B1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D5425"/>
    <w:multiLevelType w:val="hybridMultilevel"/>
    <w:tmpl w:val="45DEC408"/>
    <w:lvl w:ilvl="0" w:tplc="06B25904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1F58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93872"/>
    <w:rsid w:val="00197EB0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52B1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03F8C"/>
    <w:rsid w:val="0031178B"/>
    <w:rsid w:val="003138B1"/>
    <w:rsid w:val="00314AB6"/>
    <w:rsid w:val="00315201"/>
    <w:rsid w:val="00332AAB"/>
    <w:rsid w:val="00333098"/>
    <w:rsid w:val="00334A85"/>
    <w:rsid w:val="00334E6B"/>
    <w:rsid w:val="00341683"/>
    <w:rsid w:val="003B24F7"/>
    <w:rsid w:val="003B3924"/>
    <w:rsid w:val="003C142D"/>
    <w:rsid w:val="003C7F90"/>
    <w:rsid w:val="003D33D8"/>
    <w:rsid w:val="003D77E3"/>
    <w:rsid w:val="003E1B2C"/>
    <w:rsid w:val="003E483E"/>
    <w:rsid w:val="003F2ABE"/>
    <w:rsid w:val="003F7C79"/>
    <w:rsid w:val="00411985"/>
    <w:rsid w:val="004258F0"/>
    <w:rsid w:val="00441B38"/>
    <w:rsid w:val="0045563D"/>
    <w:rsid w:val="0045666D"/>
    <w:rsid w:val="00465AC0"/>
    <w:rsid w:val="00482653"/>
    <w:rsid w:val="0048470B"/>
    <w:rsid w:val="00487C09"/>
    <w:rsid w:val="0049118C"/>
    <w:rsid w:val="0049406D"/>
    <w:rsid w:val="004A3744"/>
    <w:rsid w:val="004C2A98"/>
    <w:rsid w:val="004C4F8C"/>
    <w:rsid w:val="004C5C71"/>
    <w:rsid w:val="004D6C38"/>
    <w:rsid w:val="004E63B6"/>
    <w:rsid w:val="004F35D0"/>
    <w:rsid w:val="004F57B8"/>
    <w:rsid w:val="0050402A"/>
    <w:rsid w:val="005156AF"/>
    <w:rsid w:val="00515C9E"/>
    <w:rsid w:val="0053038D"/>
    <w:rsid w:val="0053056F"/>
    <w:rsid w:val="00535A83"/>
    <w:rsid w:val="00535FA2"/>
    <w:rsid w:val="005366B9"/>
    <w:rsid w:val="00536A8D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0C14"/>
    <w:rsid w:val="006C63B6"/>
    <w:rsid w:val="006E0BFA"/>
    <w:rsid w:val="0070323B"/>
    <w:rsid w:val="007047E9"/>
    <w:rsid w:val="00711FD8"/>
    <w:rsid w:val="00726D11"/>
    <w:rsid w:val="00737607"/>
    <w:rsid w:val="0076023B"/>
    <w:rsid w:val="00762B42"/>
    <w:rsid w:val="00765B95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77303"/>
    <w:rsid w:val="008A319F"/>
    <w:rsid w:val="008A338E"/>
    <w:rsid w:val="008A60AD"/>
    <w:rsid w:val="008B3AE5"/>
    <w:rsid w:val="00903CF0"/>
    <w:rsid w:val="00932BDC"/>
    <w:rsid w:val="00947406"/>
    <w:rsid w:val="00954BCD"/>
    <w:rsid w:val="00963267"/>
    <w:rsid w:val="00985ACE"/>
    <w:rsid w:val="00986FEF"/>
    <w:rsid w:val="0099634F"/>
    <w:rsid w:val="009A1066"/>
    <w:rsid w:val="009B2BE1"/>
    <w:rsid w:val="009B5DB9"/>
    <w:rsid w:val="009F0D03"/>
    <w:rsid w:val="00A276F2"/>
    <w:rsid w:val="00A30924"/>
    <w:rsid w:val="00A3157B"/>
    <w:rsid w:val="00A660AC"/>
    <w:rsid w:val="00AC22F0"/>
    <w:rsid w:val="00AC2FA2"/>
    <w:rsid w:val="00AD604C"/>
    <w:rsid w:val="00AD6297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07932"/>
    <w:rsid w:val="00C133A7"/>
    <w:rsid w:val="00C15FC3"/>
    <w:rsid w:val="00C36B69"/>
    <w:rsid w:val="00C7476E"/>
    <w:rsid w:val="00C87AA9"/>
    <w:rsid w:val="00C92D5B"/>
    <w:rsid w:val="00C956B5"/>
    <w:rsid w:val="00CA3F0E"/>
    <w:rsid w:val="00CB1336"/>
    <w:rsid w:val="00CC2BB9"/>
    <w:rsid w:val="00CE5DDC"/>
    <w:rsid w:val="00CF2164"/>
    <w:rsid w:val="00CF2418"/>
    <w:rsid w:val="00D050DE"/>
    <w:rsid w:val="00D05E3B"/>
    <w:rsid w:val="00D07462"/>
    <w:rsid w:val="00D07F02"/>
    <w:rsid w:val="00D2185A"/>
    <w:rsid w:val="00D23E18"/>
    <w:rsid w:val="00D2458C"/>
    <w:rsid w:val="00D40637"/>
    <w:rsid w:val="00D43C78"/>
    <w:rsid w:val="00D751AE"/>
    <w:rsid w:val="00D9233D"/>
    <w:rsid w:val="00DA10AB"/>
    <w:rsid w:val="00DB272F"/>
    <w:rsid w:val="00DD59E7"/>
    <w:rsid w:val="00DE498C"/>
    <w:rsid w:val="00DF0133"/>
    <w:rsid w:val="00DF46C6"/>
    <w:rsid w:val="00DF6D9E"/>
    <w:rsid w:val="00E05220"/>
    <w:rsid w:val="00E1009D"/>
    <w:rsid w:val="00E127EF"/>
    <w:rsid w:val="00E22F69"/>
    <w:rsid w:val="00E32B4A"/>
    <w:rsid w:val="00E40910"/>
    <w:rsid w:val="00E45062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19AC"/>
    <w:rsid w:val="00F12519"/>
    <w:rsid w:val="00F174AB"/>
    <w:rsid w:val="00F243B6"/>
    <w:rsid w:val="00F2637F"/>
    <w:rsid w:val="00F4426A"/>
    <w:rsid w:val="00F71391"/>
    <w:rsid w:val="00F823CF"/>
    <w:rsid w:val="00F924EE"/>
    <w:rsid w:val="00F957B1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51E5DF29"/>
  <w15:docId w15:val="{7C70BA37-186E-45D3-9925-C7AA962A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styleId="af2">
    <w:name w:val="Hyperlink"/>
    <w:basedOn w:val="a0"/>
    <w:uiPriority w:val="99"/>
    <w:semiHidden/>
    <w:unhideWhenUsed/>
    <w:rsid w:val="00E127EF"/>
    <w:rPr>
      <w:color w:val="0000FF"/>
      <w:u w:val="single"/>
    </w:rPr>
  </w:style>
  <w:style w:type="paragraph" w:styleId="af3">
    <w:name w:val="Normal (Web)"/>
    <w:basedOn w:val="a"/>
    <w:uiPriority w:val="99"/>
    <w:unhideWhenUsed/>
    <w:rsid w:val="00E127E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E127EF"/>
  </w:style>
  <w:style w:type="paragraph" w:styleId="af4">
    <w:name w:val="List Paragraph"/>
    <w:basedOn w:val="a"/>
    <w:uiPriority w:val="34"/>
    <w:qFormat/>
    <w:rsid w:val="004F5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33403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78230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06686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AppData\Roaming\Microsoft\Word\request_qr_code" TargetMode="External"/><Relationship Id="rId12" Type="http://schemas.openxmlformats.org/officeDocument/2006/relationships/hyperlink" Target="https://youcontrol.com.ua/search/?q=3439654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control.com.ua/search/?q=3373183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youcontrol.com.ua/search/?q=3065913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9471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subject/>
  <dc:creator>Admin</dc:creator>
  <cp:keywords/>
  <dc:description/>
  <cp:lastModifiedBy>Прокопенко Олена Олександрівна</cp:lastModifiedBy>
  <cp:revision>13</cp:revision>
  <cp:lastPrinted>2023-10-02T12:53:00Z</cp:lastPrinted>
  <dcterms:created xsi:type="dcterms:W3CDTF">2023-09-20T13:19:00Z</dcterms:created>
  <dcterms:modified xsi:type="dcterms:W3CDTF">2023-10-03T12:45:00Z</dcterms:modified>
</cp:coreProperties>
</file>