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05C" w:rsidRDefault="00C0705C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5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1770"/>
        <w:gridCol w:w="4035"/>
      </w:tblGrid>
      <w:tr w:rsidR="00C0705C">
        <w:tc>
          <w:tcPr>
            <w:tcW w:w="32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705C" w:rsidRDefault="00D4487E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Вих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>. № 11 від 29.01.2021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705C" w:rsidRDefault="00C070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705C" w:rsidRDefault="00D44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ГОЛОВІ КОМІСІЇ КИЇВСЬКОЇ МІСЬКОЇ РАДИ З ПИТАНЬ ОСВІТИ І НАУКИ, СІМ'Ї, МОЛОДІ ТА СПОРТУ</w:t>
            </w:r>
          </w:p>
          <w:p w:rsidR="00C0705C" w:rsidRDefault="00C070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6"/>
                <w:szCs w:val="26"/>
              </w:rPr>
            </w:pPr>
          </w:p>
          <w:p w:rsidR="00C0705C" w:rsidRDefault="00D44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Васильчуку Вадиму Васильовичу</w:t>
            </w:r>
          </w:p>
        </w:tc>
      </w:tr>
    </w:tbl>
    <w:p w:rsidR="00C0705C" w:rsidRDefault="00C0705C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</w:p>
    <w:p w:rsidR="00C0705C" w:rsidRDefault="00D4487E">
      <w:pPr>
        <w:spacing w:before="240" w:after="2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Звернення </w:t>
      </w:r>
    </w:p>
    <w:p w:rsidR="00C0705C" w:rsidRDefault="00D4487E">
      <w:pPr>
        <w:spacing w:before="240" w:after="2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ГС “Асоціація масового спорту” щодо впорядкування проведення спортивних заходів у м. Києві в період дії карантинних обмежень.</w:t>
      </w:r>
    </w:p>
    <w:p w:rsidR="00C0705C" w:rsidRDefault="00C0705C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Шановний Вадиме Васильовичу!</w:t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Звертаємося до Вас з проханням розглянути перелік Стандартів щодо проведення спортивних масових захо</w:t>
      </w:r>
      <w:r>
        <w:rPr>
          <w:rFonts w:ascii="Calibri" w:eastAsia="Calibri" w:hAnsi="Calibri" w:cs="Calibri"/>
          <w:sz w:val="24"/>
          <w:szCs w:val="24"/>
        </w:rPr>
        <w:t>дів в місті Києві. Перелік цих стандартів розроблено ГС “Асоціація масового спорту” із залученням громадських організацій-організаторів спортивних заходів недержавної та некомунальної форми власності із загальною кількістю понад 50.000 учасників на рік тіл</w:t>
      </w:r>
      <w:r>
        <w:rPr>
          <w:rFonts w:ascii="Calibri" w:eastAsia="Calibri" w:hAnsi="Calibri" w:cs="Calibri"/>
          <w:sz w:val="24"/>
          <w:szCs w:val="24"/>
        </w:rPr>
        <w:t xml:space="preserve">ьки у м. Києві (марафони (біг), скандинавська ходьба, </w:t>
      </w:r>
      <w:proofErr w:type="spellStart"/>
      <w:r>
        <w:rPr>
          <w:rFonts w:ascii="Calibri" w:eastAsia="Calibri" w:hAnsi="Calibri" w:cs="Calibri"/>
          <w:sz w:val="24"/>
          <w:szCs w:val="24"/>
        </w:rPr>
        <w:t>триатлон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гонки (біг) з перешкодами, велоперегони, плавання на відкритій воді), із залученням представників спортивних федерацій, з урахування Єдиного календарного плану спортивних заходів КМДА. </w:t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Станда</w:t>
      </w:r>
      <w:r>
        <w:rPr>
          <w:rFonts w:ascii="Calibri" w:eastAsia="Calibri" w:hAnsi="Calibri" w:cs="Calibri"/>
          <w:sz w:val="24"/>
          <w:szCs w:val="24"/>
        </w:rPr>
        <w:t>рти базуються на Карантинних обмеженнях розроблених Кабінетом міністрів України та враховують міжнародний досвід проведення спортивних змагань під час карантину. Впровадження цих Стандартів допоможе розблокувати проведення спортивних заходів в м. Києві, за</w:t>
      </w:r>
      <w:r>
        <w:rPr>
          <w:rFonts w:ascii="Calibri" w:eastAsia="Calibri" w:hAnsi="Calibri" w:cs="Calibri"/>
          <w:sz w:val="24"/>
          <w:szCs w:val="24"/>
        </w:rPr>
        <w:t xml:space="preserve">лучить міжнародні змагання до м. Києва, сприятиме наповненню </w:t>
      </w:r>
      <w:proofErr w:type="spellStart"/>
      <w:r>
        <w:rPr>
          <w:rFonts w:ascii="Calibri" w:eastAsia="Calibri" w:hAnsi="Calibri" w:cs="Calibri"/>
          <w:sz w:val="24"/>
          <w:szCs w:val="24"/>
        </w:rPr>
        <w:t>бюджета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столиці, позитивно вплине на здоров'я населення, що надзвичайно важливе у протистоянні з актуальними захворюваннями.</w:t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ГС "Асоціація масового спорту" готова </w:t>
      </w:r>
      <w:proofErr w:type="spellStart"/>
      <w:r>
        <w:rPr>
          <w:rFonts w:ascii="Calibri" w:eastAsia="Calibri" w:hAnsi="Calibri" w:cs="Calibri"/>
          <w:sz w:val="24"/>
          <w:szCs w:val="24"/>
        </w:rPr>
        <w:t>конструктивно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співпрацювати із с</w:t>
      </w:r>
      <w:r>
        <w:rPr>
          <w:rFonts w:ascii="Calibri" w:eastAsia="Calibri" w:hAnsi="Calibri" w:cs="Calibri"/>
          <w:sz w:val="24"/>
          <w:szCs w:val="24"/>
        </w:rPr>
        <w:t>труктурними підрозділами та комунальними службами міста у питанні вдосконалення нових процесів підготовки та проведення спортивних заходів.</w:t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br w:type="page"/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В Стандарти включено інструменти щодо:</w:t>
      </w:r>
    </w:p>
    <w:p w:rsidR="00C0705C" w:rsidRDefault="00D4487E">
      <w:pPr>
        <w:numPr>
          <w:ilvl w:val="0"/>
          <w:numId w:val="3"/>
        </w:numPr>
        <w:spacing w:before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виключення скупчення спортсменів;</w:t>
      </w:r>
    </w:p>
    <w:p w:rsidR="00C0705C" w:rsidRDefault="00D4487E">
      <w:pPr>
        <w:numPr>
          <w:ilvl w:val="0"/>
          <w:numId w:val="3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виключення можливості фізичного контакту </w:t>
      </w:r>
      <w:r>
        <w:rPr>
          <w:rFonts w:ascii="Calibri" w:eastAsia="Calibri" w:hAnsi="Calibri" w:cs="Calibri"/>
          <w:sz w:val="24"/>
          <w:szCs w:val="24"/>
        </w:rPr>
        <w:t>між спортсменами та організаційним комітетом (волонтерами);</w:t>
      </w:r>
    </w:p>
    <w:p w:rsidR="00C0705C" w:rsidRDefault="00D4487E">
      <w:pPr>
        <w:numPr>
          <w:ilvl w:val="0"/>
          <w:numId w:val="3"/>
        </w:numPr>
        <w:spacing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інформування учасників заходів про необхідність дотримання санітарних норм та обмежень.</w:t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Просимо:</w:t>
      </w:r>
    </w:p>
    <w:p w:rsidR="00C0705C" w:rsidRDefault="00D4487E">
      <w:pPr>
        <w:numPr>
          <w:ilvl w:val="0"/>
          <w:numId w:val="1"/>
        </w:numPr>
        <w:spacing w:before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розглянути наш перелік стандартів на засіданні постійної Комісії Київради з питань освіти і науки, </w:t>
      </w:r>
      <w:r>
        <w:rPr>
          <w:rFonts w:ascii="Calibri" w:eastAsia="Calibri" w:hAnsi="Calibri" w:cs="Calibri"/>
          <w:sz w:val="24"/>
          <w:szCs w:val="24"/>
        </w:rPr>
        <w:t>сім'ї, молоді та спорту;</w:t>
      </w:r>
    </w:p>
    <w:p w:rsidR="00C0705C" w:rsidRDefault="00D4487E">
      <w:pPr>
        <w:numPr>
          <w:ilvl w:val="0"/>
          <w:numId w:val="1"/>
        </w:numPr>
        <w:spacing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рекомендувати Стандарти до розгляду та прийняття на Комісії з питань техногенно-екологічної безпеки і надзвичайних ситуацій Києва.</w:t>
      </w:r>
    </w:p>
    <w:p w:rsidR="00C0705C" w:rsidRDefault="00C0705C">
      <w:pPr>
        <w:spacing w:before="240" w:after="240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З повагою, </w:t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Голова Ради ГС "Асоціація масового спорту"           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Іван Третьяков</w:t>
      </w:r>
    </w:p>
    <w:p w:rsidR="00C0705C" w:rsidRDefault="00C0705C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br w:type="page"/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До</w:t>
      </w:r>
      <w:r>
        <w:rPr>
          <w:rFonts w:ascii="Calibri" w:eastAsia="Calibri" w:hAnsi="Calibri" w:cs="Calibri"/>
          <w:sz w:val="24"/>
          <w:szCs w:val="24"/>
        </w:rPr>
        <w:t>даток #1 до Звернення ГС “Асоціація масового спорту” щодо впорядкування проведення спортивних заходів у м. Києві в період дії карантинних обмежень.</w:t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Стандарти організації реєстрації, видачі стартових номерів та інформаційної продукції при проведенні спортив</w:t>
      </w:r>
      <w:r>
        <w:rPr>
          <w:rFonts w:ascii="Calibri" w:eastAsia="Calibri" w:hAnsi="Calibri" w:cs="Calibri"/>
          <w:sz w:val="24"/>
          <w:szCs w:val="24"/>
        </w:rPr>
        <w:t>них заходів у м. Києві.</w:t>
      </w:r>
    </w:p>
    <w:p w:rsidR="00C0705C" w:rsidRDefault="00D4487E">
      <w:pPr>
        <w:numPr>
          <w:ilvl w:val="0"/>
          <w:numId w:val="2"/>
        </w:numPr>
        <w:spacing w:before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Реєстрація на захід відбувається шляхом реєстрації через онлайн-платформи (сайти реєстрації, </w:t>
      </w:r>
      <w:proofErr w:type="spellStart"/>
      <w:r>
        <w:rPr>
          <w:rFonts w:ascii="Calibri" w:eastAsia="Calibri" w:hAnsi="Calibri" w:cs="Calibri"/>
          <w:sz w:val="24"/>
          <w:szCs w:val="24"/>
        </w:rPr>
        <w:t>google</w:t>
      </w:r>
      <w:proofErr w:type="spellEnd"/>
      <w:r>
        <w:rPr>
          <w:rFonts w:ascii="Calibri" w:eastAsia="Calibri" w:hAnsi="Calibri" w:cs="Calibri"/>
          <w:sz w:val="24"/>
          <w:szCs w:val="24"/>
        </w:rPr>
        <w:t>-форми тощо.);</w:t>
      </w:r>
    </w:p>
    <w:p w:rsidR="00C0705C" w:rsidRDefault="00D4487E">
      <w:pPr>
        <w:numPr>
          <w:ilvl w:val="0"/>
          <w:numId w:val="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При реєстрації, видачі стартових номерів та інформаційної продукції в закритому приміщенні (а саме - кількість людей у</w:t>
      </w:r>
      <w:r>
        <w:rPr>
          <w:rFonts w:ascii="Calibri" w:eastAsia="Calibri" w:hAnsi="Calibri" w:cs="Calibri"/>
          <w:sz w:val="24"/>
          <w:szCs w:val="24"/>
        </w:rPr>
        <w:t xml:space="preserve"> приміщенні, температурний скринінг, дистанція між ними, організація зони обробки рук </w:t>
      </w:r>
      <w:proofErr w:type="spellStart"/>
      <w:r>
        <w:rPr>
          <w:rFonts w:ascii="Calibri" w:eastAsia="Calibri" w:hAnsi="Calibri" w:cs="Calibri"/>
          <w:sz w:val="24"/>
          <w:szCs w:val="24"/>
        </w:rPr>
        <w:t>спіртовміщуючими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речовинами (</w:t>
      </w:r>
      <w:proofErr w:type="spellStart"/>
      <w:r>
        <w:rPr>
          <w:rFonts w:ascii="Calibri" w:eastAsia="Calibri" w:hAnsi="Calibri" w:cs="Calibri"/>
          <w:sz w:val="24"/>
          <w:szCs w:val="24"/>
        </w:rPr>
        <w:t>санітайзерами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), наявність засобів індивідуального захисту (масок), наявність </w:t>
      </w:r>
      <w:proofErr w:type="spellStart"/>
      <w:r>
        <w:rPr>
          <w:rFonts w:ascii="Calibri" w:eastAsia="Calibri" w:hAnsi="Calibri" w:cs="Calibri"/>
          <w:sz w:val="24"/>
          <w:szCs w:val="24"/>
        </w:rPr>
        <w:t>ємностей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для утилізації масок) здійснюється у відповідності до о</w:t>
      </w:r>
      <w:r>
        <w:rPr>
          <w:rFonts w:ascii="Calibri" w:eastAsia="Calibri" w:hAnsi="Calibri" w:cs="Calibri"/>
          <w:sz w:val="24"/>
          <w:szCs w:val="24"/>
        </w:rPr>
        <w:t>бмежень діючих на день проведення заходу на території відповідної громади;</w:t>
      </w:r>
    </w:p>
    <w:p w:rsidR="00C0705C" w:rsidRDefault="00D4487E">
      <w:pPr>
        <w:numPr>
          <w:ilvl w:val="0"/>
          <w:numId w:val="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Організація реєстрації, видачі стартових номерів та інформаційної продукції на відкритому повітрі (у громадських місцях), а саме - кількість людей на задіяній площі, дистанція між н</w:t>
      </w:r>
      <w:r>
        <w:rPr>
          <w:rFonts w:ascii="Calibri" w:eastAsia="Calibri" w:hAnsi="Calibri" w:cs="Calibri"/>
          <w:sz w:val="24"/>
          <w:szCs w:val="24"/>
        </w:rPr>
        <w:t xml:space="preserve">ими, температурний скринінг, організація зони обробки рук </w:t>
      </w:r>
      <w:proofErr w:type="spellStart"/>
      <w:r>
        <w:rPr>
          <w:rFonts w:ascii="Calibri" w:eastAsia="Calibri" w:hAnsi="Calibri" w:cs="Calibri"/>
          <w:sz w:val="24"/>
          <w:szCs w:val="24"/>
        </w:rPr>
        <w:t>спіртовміщуючими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речовинами (</w:t>
      </w:r>
      <w:proofErr w:type="spellStart"/>
      <w:r>
        <w:rPr>
          <w:rFonts w:ascii="Calibri" w:eastAsia="Calibri" w:hAnsi="Calibri" w:cs="Calibri"/>
          <w:sz w:val="24"/>
          <w:szCs w:val="24"/>
        </w:rPr>
        <w:t>санітайзерами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), наявність засобів індивідуального захисту (масок), наявність </w:t>
      </w:r>
      <w:proofErr w:type="spellStart"/>
      <w:r>
        <w:rPr>
          <w:rFonts w:ascii="Calibri" w:eastAsia="Calibri" w:hAnsi="Calibri" w:cs="Calibri"/>
          <w:sz w:val="24"/>
          <w:szCs w:val="24"/>
        </w:rPr>
        <w:t>ємностей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для утилізації масок) здійснюється у відповідності до обмежень діючих на день прове</w:t>
      </w:r>
      <w:r>
        <w:rPr>
          <w:rFonts w:ascii="Calibri" w:eastAsia="Calibri" w:hAnsi="Calibri" w:cs="Calibri"/>
          <w:sz w:val="24"/>
          <w:szCs w:val="24"/>
        </w:rPr>
        <w:t>дення заходу на території відповідної громади;</w:t>
      </w:r>
    </w:p>
    <w:p w:rsidR="00C0705C" w:rsidRDefault="00D4487E">
      <w:pPr>
        <w:numPr>
          <w:ilvl w:val="0"/>
          <w:numId w:val="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Організатор забезпечує наявність засобів індивідуального захисту (масок), для персоналу, волонтерів, суддів, що забезпечують захід;</w:t>
      </w:r>
    </w:p>
    <w:p w:rsidR="00C0705C" w:rsidRDefault="00D4487E">
      <w:pPr>
        <w:numPr>
          <w:ilvl w:val="0"/>
          <w:numId w:val="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Організатор забезпечує процедуру температурного скринінгу для персоналу, заді</w:t>
      </w:r>
      <w:r>
        <w:rPr>
          <w:rFonts w:ascii="Calibri" w:eastAsia="Calibri" w:hAnsi="Calibri" w:cs="Calibri"/>
          <w:sz w:val="24"/>
          <w:szCs w:val="24"/>
        </w:rPr>
        <w:t xml:space="preserve">яному у організації заходу; </w:t>
      </w:r>
    </w:p>
    <w:p w:rsidR="00C0705C" w:rsidRDefault="00D4487E">
      <w:pPr>
        <w:numPr>
          <w:ilvl w:val="0"/>
          <w:numId w:val="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Організатор зобов’язаний розмістити інформаційні матеріали на вході місця проведення заходу із зазначенням карантинних обмежень та кількості учасників, можливих для розміщення на території та заходи для зменшення поширення </w:t>
      </w:r>
      <w:proofErr w:type="spellStart"/>
      <w:r>
        <w:rPr>
          <w:rFonts w:ascii="Calibri" w:eastAsia="Calibri" w:hAnsi="Calibri" w:cs="Calibri"/>
          <w:sz w:val="24"/>
          <w:szCs w:val="24"/>
        </w:rPr>
        <w:t>коронавірусу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(згідно до стандарту</w:t>
      </w:r>
      <w:r>
        <w:rPr>
          <w:rFonts w:ascii="Calibri" w:eastAsia="Calibri" w:hAnsi="Calibri" w:cs="Calibri"/>
          <w:sz w:val="24"/>
          <w:szCs w:val="24"/>
        </w:rPr>
        <w:t xml:space="preserve"> Міністерства охорони здоров’я);</w:t>
      </w:r>
    </w:p>
    <w:p w:rsidR="00C0705C" w:rsidRDefault="00D4487E">
      <w:pPr>
        <w:numPr>
          <w:ilvl w:val="0"/>
          <w:numId w:val="2"/>
        </w:numPr>
        <w:spacing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Організатор має право відмовити у видачі стартового набору учаснику при наявності ознак захворювання, виявлених медичним персоналом на момент видачі та отримання стартового пакету. Рішення приймається лікарем змагань; </w:t>
      </w:r>
    </w:p>
    <w:p w:rsidR="00C0705C" w:rsidRDefault="00C0705C">
      <w:pPr>
        <w:spacing w:before="240" w:after="240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br w:type="page"/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Д</w:t>
      </w:r>
      <w:r>
        <w:rPr>
          <w:rFonts w:ascii="Calibri" w:eastAsia="Calibri" w:hAnsi="Calibri" w:cs="Calibri"/>
          <w:sz w:val="24"/>
          <w:szCs w:val="24"/>
        </w:rPr>
        <w:t>одаток #2 до Звернення ГС “Асоціація масового спорту” щодо впорядкування проведення спортивних заходів у м. Києві в період дії карантинних обмежень.</w:t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Стандарти організації спортивних заходів у м. Києві в умовах карантинних обмежень.</w:t>
      </w:r>
    </w:p>
    <w:p w:rsidR="00C0705C" w:rsidRDefault="00D4487E">
      <w:pPr>
        <w:numPr>
          <w:ilvl w:val="0"/>
          <w:numId w:val="4"/>
        </w:numPr>
        <w:spacing w:before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Організація спортивних з</w:t>
      </w:r>
      <w:r>
        <w:rPr>
          <w:rFonts w:ascii="Calibri" w:eastAsia="Calibri" w:hAnsi="Calibri" w:cs="Calibri"/>
          <w:sz w:val="24"/>
          <w:szCs w:val="24"/>
        </w:rPr>
        <w:t>аходів у відповідності до Порядку організації та проведення недержавних масових заходів релігійного, культурно-просвітницького, спортивного, видовищного та іншого характеру в місті Києві»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Дозволяється проведення спортивних заходів, що відбуваються у відпов</w:t>
      </w:r>
      <w:r>
        <w:rPr>
          <w:rFonts w:ascii="Calibri" w:eastAsia="Calibri" w:hAnsi="Calibri" w:cs="Calibri"/>
          <w:sz w:val="24"/>
          <w:szCs w:val="24"/>
        </w:rPr>
        <w:t>ідності до Єдиного календарного плану спортивних заходів у м. Києві, або до Єдиного календарного плану Міністерства молоді та спорту України із вказаним місцем проведення “м. Київ”, або до Єдиного календарного плану Спортивного Комітету України із вказаним</w:t>
      </w:r>
      <w:r>
        <w:rPr>
          <w:rFonts w:ascii="Calibri" w:eastAsia="Calibri" w:hAnsi="Calibri" w:cs="Calibri"/>
          <w:sz w:val="24"/>
          <w:szCs w:val="24"/>
        </w:rPr>
        <w:t xml:space="preserve"> місцем проведення “м. Київ” або у Єдиному календарі району м. Києва;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Проведення заходів із застосуванням місць громадського простору, включаючи транспортні шляхи із перекриттям руху громадського транспорту, відбувається виключно для заходів, ініційованих </w:t>
      </w:r>
      <w:r>
        <w:rPr>
          <w:rFonts w:ascii="Calibri" w:eastAsia="Calibri" w:hAnsi="Calibri" w:cs="Calibri"/>
          <w:sz w:val="24"/>
          <w:szCs w:val="24"/>
        </w:rPr>
        <w:t xml:space="preserve">відповідним Розпорядженням виконавчого органу Київської міської Ради. 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Дозволяється проведення спортивних заходів без глядачів, тобто без організованого місця розміщення вболівальників із </w:t>
      </w:r>
      <w:proofErr w:type="spellStart"/>
      <w:r>
        <w:rPr>
          <w:rFonts w:ascii="Calibri" w:eastAsia="Calibri" w:hAnsi="Calibri" w:cs="Calibri"/>
          <w:sz w:val="24"/>
          <w:szCs w:val="24"/>
        </w:rPr>
        <w:t>продажем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глядацьких квитків. Організаторам заходу забороняється розм</w:t>
      </w:r>
      <w:r>
        <w:rPr>
          <w:rFonts w:ascii="Calibri" w:eastAsia="Calibri" w:hAnsi="Calibri" w:cs="Calibri"/>
          <w:sz w:val="24"/>
          <w:szCs w:val="24"/>
        </w:rPr>
        <w:t xml:space="preserve">іщувати трибуни, закриті глядацькі сектори, глядацькі ложі. 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Організатор забезпечує закритий периметр стартового коридору - місце короткочасного збору обмеженої кількості учасників безпосередньо перед стартом. </w:t>
      </w:r>
      <w:proofErr w:type="spellStart"/>
      <w:r>
        <w:rPr>
          <w:rFonts w:ascii="Calibri" w:eastAsia="Calibri" w:hAnsi="Calibri" w:cs="Calibri"/>
          <w:sz w:val="24"/>
          <w:szCs w:val="24"/>
        </w:rPr>
        <w:t>Данне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обмеження стосується бігових заходів, за</w:t>
      </w:r>
      <w:r>
        <w:rPr>
          <w:rFonts w:ascii="Calibri" w:eastAsia="Calibri" w:hAnsi="Calibri" w:cs="Calibri"/>
          <w:sz w:val="24"/>
          <w:szCs w:val="24"/>
        </w:rPr>
        <w:t>бігів з перешкодами, плавання на відкритій воді;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Вхід до стартового коридору дозволяється виключно учасникам відповідно до квоти (кількості учасників, які можуть стартувати одночасно, надалі - “хвиля”), встановленою Регламентом заходу та з наявною відмітко</w:t>
      </w:r>
      <w:r>
        <w:rPr>
          <w:rFonts w:ascii="Calibri" w:eastAsia="Calibri" w:hAnsi="Calibri" w:cs="Calibri"/>
          <w:sz w:val="24"/>
          <w:szCs w:val="24"/>
        </w:rPr>
        <w:t>ю про проходження процедури температурного скринінгу.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Організатор забезпечує нанесення тимчасової розмітки для учасників в закритому периметрі стартового коридору із розрахунку не менше 1,5 метри між кожним учасником. У разі проведення заходу із кількістю </w:t>
      </w:r>
      <w:r>
        <w:rPr>
          <w:rFonts w:ascii="Calibri" w:eastAsia="Calibri" w:hAnsi="Calibri" w:cs="Calibri"/>
          <w:sz w:val="24"/>
          <w:szCs w:val="24"/>
        </w:rPr>
        <w:t>до 1000 учасників, старти відбуваються обов’язково з обмеженням кількості не більше 100 учасників в одній хвилі із паузою між кожною хвилею мінімум 10 секунд.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У разі проведення заходу із кількістю понад 1000 учасників, старти відбуваються обов’язково з обм</w:t>
      </w:r>
      <w:r>
        <w:rPr>
          <w:rFonts w:ascii="Calibri" w:eastAsia="Calibri" w:hAnsi="Calibri" w:cs="Calibri"/>
          <w:sz w:val="24"/>
          <w:szCs w:val="24"/>
        </w:rPr>
        <w:t>еженням кількості не більше 200 учасників в одній хвилі із паузою між кожною хвилею мінімум 10 секунд.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Організатор інформує учасників про графік стартів учасників заходу зі стартового коридору (приклад - Додаток #3).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Організатор інформує учасників про схему розміщення учасників заходу у стартовому коридорі (приклад - Додаток #4).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У разі відсутності відмітки про проходження процедури температурного скринінгу, Організатор не допускає такого учасника до участі у заходу із</w:t>
      </w:r>
      <w:r>
        <w:rPr>
          <w:rFonts w:ascii="Calibri" w:eastAsia="Calibri" w:hAnsi="Calibri" w:cs="Calibri"/>
          <w:sz w:val="24"/>
          <w:szCs w:val="24"/>
        </w:rPr>
        <w:t xml:space="preserve"> наступною дискваліфікацією в фінішному протоколі.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Периметр стартового коридору забезпечується за допомогою тимчасових конструкцій  - мобільних огорож.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Організатор забезпечує наявність засобів індивідуального захисту (масок), для персоналу, волонтерів, суд</w:t>
      </w:r>
      <w:r>
        <w:rPr>
          <w:rFonts w:ascii="Calibri" w:eastAsia="Calibri" w:hAnsi="Calibri" w:cs="Calibri"/>
          <w:sz w:val="24"/>
          <w:szCs w:val="24"/>
        </w:rPr>
        <w:t>дів, а також забезпечує проведення температурного скринінгу персоналу, що забезпечують захід.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Учасники заходу допускаються до стартового коридору виключно в масках;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Старт відбувається виключно в масках;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У разі недотримання умов з боку учасників заходу, Орг</w:t>
      </w:r>
      <w:r>
        <w:rPr>
          <w:rFonts w:ascii="Calibri" w:eastAsia="Calibri" w:hAnsi="Calibri" w:cs="Calibri"/>
          <w:sz w:val="24"/>
          <w:szCs w:val="24"/>
        </w:rPr>
        <w:t>анізатор дискваліфікує такого учасника до участі у заходу із занесенням відповідного запису до фінішного протоколу.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Організатор зобов’язаний проінформувати учасників заходу щодо дотримання правил у відповідному Регламенті заходу, через засоби комунікації О</w:t>
      </w:r>
      <w:r>
        <w:rPr>
          <w:rFonts w:ascii="Calibri" w:eastAsia="Calibri" w:hAnsi="Calibri" w:cs="Calibri"/>
          <w:sz w:val="24"/>
          <w:szCs w:val="24"/>
        </w:rPr>
        <w:t xml:space="preserve">рганізатора з учасниками, передбачені Регламентом заходу.  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Доступ до об’єктів тимчасової інфраструктури заходу (камери схову, зони для переодягання, туалети), відбувається у відповідності до норм  розміщення населення на території відповідної територіальн</w:t>
      </w:r>
      <w:r>
        <w:rPr>
          <w:rFonts w:ascii="Calibri" w:eastAsia="Calibri" w:hAnsi="Calibri" w:cs="Calibri"/>
          <w:sz w:val="24"/>
          <w:szCs w:val="24"/>
        </w:rPr>
        <w:t>ої громади.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Організатор зобов’язаний забезпечити безконтактну видачу води на дистанції на офіційно організованих пунктах гідратації. </w:t>
      </w:r>
    </w:p>
    <w:p w:rsidR="00C0705C" w:rsidRDefault="00D4487E">
      <w:pPr>
        <w:numPr>
          <w:ilvl w:val="0"/>
          <w:numId w:val="4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Організатор зобов’язаний забезпечити роботу волонтерів в пунктах харчування та на пунктах надання води (пункти гідратації)</w:t>
      </w:r>
      <w:r>
        <w:rPr>
          <w:rFonts w:ascii="Calibri" w:eastAsia="Calibri" w:hAnsi="Calibri" w:cs="Calibri"/>
          <w:sz w:val="24"/>
          <w:szCs w:val="24"/>
        </w:rPr>
        <w:t xml:space="preserve"> у засобах індивідуального захисту (маски, захисні рукавички). Подачу води потрібно забезпечити в індивідуальній тарі (стакан або пляшка). Персонал має обробляти руки спиртовим антисептиком кожні 30 хвилин.</w:t>
      </w:r>
    </w:p>
    <w:p w:rsidR="00C0705C" w:rsidRDefault="00D4487E">
      <w:pPr>
        <w:numPr>
          <w:ilvl w:val="0"/>
          <w:numId w:val="4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Організатор зобов’язаний забезпечити безконтактну</w:t>
      </w:r>
      <w:r>
        <w:rPr>
          <w:rFonts w:ascii="Calibri" w:eastAsia="Calibri" w:hAnsi="Calibri" w:cs="Calibri"/>
          <w:sz w:val="24"/>
          <w:szCs w:val="24"/>
        </w:rPr>
        <w:t xml:space="preserve"> видачу на пунктах харчування. </w:t>
      </w:r>
    </w:p>
    <w:p w:rsidR="00C0705C" w:rsidRDefault="00D4487E">
      <w:pPr>
        <w:numPr>
          <w:ilvl w:val="0"/>
          <w:numId w:val="4"/>
        </w:numPr>
        <w:spacing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Організатор зобов’язаний забезпечити безконтактну видачу медалей та наборів фінішерів.  </w:t>
      </w:r>
    </w:p>
    <w:p w:rsidR="00C0705C" w:rsidRDefault="00C0705C">
      <w:pPr>
        <w:spacing w:before="240" w:after="240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:rsidR="00C0705C" w:rsidRDefault="00C0705C">
      <w:pPr>
        <w:spacing w:before="240" w:after="240"/>
        <w:ind w:left="1440"/>
        <w:rPr>
          <w:rFonts w:ascii="Calibri" w:eastAsia="Calibri" w:hAnsi="Calibri" w:cs="Calibri"/>
          <w:sz w:val="24"/>
          <w:szCs w:val="24"/>
        </w:rPr>
      </w:pPr>
    </w:p>
    <w:p w:rsidR="00C0705C" w:rsidRDefault="00D4487E">
      <w:pPr>
        <w:spacing w:before="240" w:after="240"/>
        <w:ind w:left="1440"/>
        <w:rPr>
          <w:rFonts w:ascii="Calibri" w:eastAsia="Calibri" w:hAnsi="Calibri" w:cs="Calibri"/>
          <w:sz w:val="24"/>
          <w:szCs w:val="24"/>
        </w:rPr>
      </w:pPr>
      <w:r>
        <w:br w:type="page"/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Додаток #3 до Звернення ГС “Асоціація масового спорту” щодо впорядкування проведення спортивних заходів у м. Києві в період дії кар</w:t>
      </w:r>
      <w:r>
        <w:rPr>
          <w:rFonts w:ascii="Calibri" w:eastAsia="Calibri" w:hAnsi="Calibri" w:cs="Calibri"/>
          <w:sz w:val="24"/>
          <w:szCs w:val="24"/>
        </w:rPr>
        <w:t>антинних обмежень.</w:t>
      </w:r>
    </w:p>
    <w:p w:rsidR="00C0705C" w:rsidRDefault="00C0705C">
      <w:pPr>
        <w:spacing w:before="240" w:after="240"/>
        <w:ind w:left="1440"/>
        <w:rPr>
          <w:rFonts w:ascii="Calibri" w:eastAsia="Calibri" w:hAnsi="Calibri" w:cs="Calibri"/>
          <w:b/>
          <w:sz w:val="26"/>
          <w:szCs w:val="26"/>
        </w:rPr>
      </w:pPr>
    </w:p>
    <w:p w:rsidR="00C0705C" w:rsidRDefault="00D4487E">
      <w:pPr>
        <w:spacing w:before="240" w:after="240"/>
        <w:ind w:left="1440"/>
        <w:rPr>
          <w:rFonts w:ascii="Calibri" w:eastAsia="Calibri" w:hAnsi="Calibri" w:cs="Calibri"/>
          <w:b/>
          <w:sz w:val="26"/>
          <w:szCs w:val="26"/>
        </w:rPr>
      </w:pPr>
      <w:r>
        <w:rPr>
          <w:rFonts w:ascii="Calibri" w:eastAsia="Calibri" w:hAnsi="Calibri" w:cs="Calibri"/>
          <w:b/>
          <w:sz w:val="26"/>
          <w:szCs w:val="26"/>
        </w:rPr>
        <w:t>Приклад розкладу стартів у Заході.</w:t>
      </w:r>
    </w:p>
    <w:p w:rsidR="00C0705C" w:rsidRDefault="00D4487E">
      <w:pPr>
        <w:spacing w:before="240" w:after="240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a6"/>
        <w:tblW w:w="57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1620"/>
        <w:gridCol w:w="2145"/>
      </w:tblGrid>
      <w:tr w:rsidR="00C0705C">
        <w:trPr>
          <w:trHeight w:val="315"/>
        </w:trPr>
        <w:tc>
          <w:tcPr>
            <w:tcW w:w="2010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Дистанція 10 км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-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-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0705C">
        <w:trPr>
          <w:trHeight w:val="765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Час старту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14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Хвиля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-60" w:firstLine="34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Кількість учасників</w:t>
            </w:r>
          </w:p>
        </w:tc>
      </w:tr>
      <w:tr w:rsidR="00C0705C">
        <w:trPr>
          <w:trHeight w:val="315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14:00:00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14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хвиля 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-60" w:firstLine="34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</w:tr>
      <w:tr w:rsidR="00C0705C">
        <w:trPr>
          <w:trHeight w:val="315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14:00:15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14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хвиля 2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-60" w:firstLine="34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</w:tr>
      <w:tr w:rsidR="00C0705C">
        <w:trPr>
          <w:trHeight w:val="315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14:00:30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14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хвиля 3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-60" w:firstLine="34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</w:tr>
    </w:tbl>
    <w:p w:rsidR="00C0705C" w:rsidRDefault="00C0705C">
      <w:pPr>
        <w:rPr>
          <w:rFonts w:ascii="Calibri" w:eastAsia="Calibri" w:hAnsi="Calibri" w:cs="Calibri"/>
          <w:sz w:val="24"/>
          <w:szCs w:val="24"/>
        </w:rPr>
      </w:pPr>
    </w:p>
    <w:p w:rsidR="00C0705C" w:rsidRDefault="00D4487E">
      <w:pPr>
        <w:spacing w:before="240" w:after="240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a7"/>
        <w:tblW w:w="50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1520"/>
        <w:gridCol w:w="1500"/>
      </w:tblGrid>
      <w:tr w:rsidR="00C0705C">
        <w:trPr>
          <w:trHeight w:val="315"/>
        </w:trPr>
        <w:tc>
          <w:tcPr>
            <w:tcW w:w="2010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Дистанція 21 км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-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-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0705C">
        <w:trPr>
          <w:trHeight w:val="765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Час старту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Хвиля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42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К-сть учасників</w:t>
            </w:r>
          </w:p>
        </w:tc>
      </w:tr>
      <w:tr w:rsidR="00C0705C">
        <w:trPr>
          <w:trHeight w:val="315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08:00:00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хвиля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4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</w:tr>
      <w:tr w:rsidR="00C0705C">
        <w:trPr>
          <w:trHeight w:val="315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08:00:15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хвиля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4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</w:tr>
      <w:tr w:rsidR="00C0705C">
        <w:trPr>
          <w:trHeight w:val="315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08:00:30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2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хвиля 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C0705C" w:rsidRDefault="00D4487E">
            <w:pPr>
              <w:spacing w:before="240" w:after="240"/>
              <w:ind w:left="425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</w:tr>
    </w:tbl>
    <w:p w:rsidR="00C0705C" w:rsidRDefault="00D4487E">
      <w:pPr>
        <w:spacing w:before="240" w:after="240"/>
        <w:ind w:left="144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br w:type="page"/>
      </w:r>
    </w:p>
    <w:p w:rsidR="00C0705C" w:rsidRDefault="00D4487E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Додаток #4 до Звернення ГС “Асоціація масового спорту” щодо впорядкування проведення спортивних заходів у м. Києві в період дії карантинних обмежень.</w:t>
      </w:r>
    </w:p>
    <w:p w:rsidR="00C0705C" w:rsidRDefault="00D4487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Приклад схеми розміщення спортсменів в Стартовому коридорі з дотриманням дистанції, регламентованої Міністерством охорони здоров'я. </w:t>
      </w:r>
    </w:p>
    <w:p w:rsidR="00C0705C" w:rsidRDefault="00D4487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  <w:lang w:val="uk-UA"/>
        </w:rPr>
        <w:drawing>
          <wp:inline distT="114300" distB="114300" distL="114300" distR="114300">
            <wp:extent cx="4872038" cy="587779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2038" cy="58777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0705C" w:rsidRDefault="00D4487E">
      <w:pPr>
        <w:rPr>
          <w:rFonts w:ascii="Calibri" w:eastAsia="Calibri" w:hAnsi="Calibri" w:cs="Calibri"/>
          <w:sz w:val="24"/>
          <w:szCs w:val="24"/>
        </w:rPr>
      </w:pPr>
      <w:r>
        <w:br w:type="page"/>
      </w:r>
    </w:p>
    <w:p w:rsidR="00C0705C" w:rsidRDefault="00C0705C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</w:p>
    <w:p w:rsidR="00C0705C" w:rsidRDefault="00C0705C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sectPr w:rsidR="00C0705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05B1"/>
    <w:multiLevelType w:val="multilevel"/>
    <w:tmpl w:val="1AF8E9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0AC29FC"/>
    <w:multiLevelType w:val="multilevel"/>
    <w:tmpl w:val="B9B83A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1032C44"/>
    <w:multiLevelType w:val="multilevel"/>
    <w:tmpl w:val="AF7257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D557FC0"/>
    <w:multiLevelType w:val="multilevel"/>
    <w:tmpl w:val="5882D0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5C"/>
    <w:rsid w:val="00C0705C"/>
    <w:rsid w:val="00D4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4462"/>
  <w15:docId w15:val="{4CCE6D6E-B0E8-4A1B-80A0-67987346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6010</Words>
  <Characters>3427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Наталія Анатоліївна</dc:creator>
  <cp:lastModifiedBy>Руденко Наталія Анатоліївна</cp:lastModifiedBy>
  <cp:revision>2</cp:revision>
  <dcterms:created xsi:type="dcterms:W3CDTF">2021-01-29T09:44:00Z</dcterms:created>
  <dcterms:modified xsi:type="dcterms:W3CDTF">2021-01-29T09:44:00Z</dcterms:modified>
</cp:coreProperties>
</file>