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227323462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227323462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0F2F1D04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DF1A84">
        <w:rPr>
          <w:b/>
          <w:bCs/>
          <w:sz w:val="24"/>
          <w:szCs w:val="24"/>
          <w:lang w:val="ru-RU"/>
        </w:rPr>
        <w:t>ПЗН-77486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DF1A84">
        <w:rPr>
          <w:b/>
          <w:bCs/>
          <w:sz w:val="24"/>
          <w:szCs w:val="24"/>
          <w:lang w:val="ru-RU"/>
        </w:rPr>
        <w:t>03.02.2025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1B378F48" w14:textId="4F5EBB7D" w:rsidR="004F0681" w:rsidRPr="003774B2" w:rsidRDefault="00604821" w:rsidP="009B470E">
      <w:pPr>
        <w:pStyle w:val="1"/>
        <w:shd w:val="clear" w:color="auto" w:fill="auto"/>
        <w:spacing w:after="0" w:line="226" w:lineRule="auto"/>
        <w:ind w:right="2772" w:firstLine="0"/>
        <w:jc w:val="center"/>
        <w:rPr>
          <w:b/>
          <w:i/>
          <w:iCs/>
          <w:sz w:val="24"/>
          <w:szCs w:val="24"/>
        </w:rPr>
      </w:pPr>
      <w:r w:rsidRPr="003774B2">
        <w:rPr>
          <w:b/>
          <w:i/>
          <w:iCs/>
          <w:sz w:val="24"/>
          <w:szCs w:val="24"/>
        </w:rPr>
        <w:t xml:space="preserve">Про </w:t>
      </w:r>
      <w:r w:rsidR="00DF1A84" w:rsidRPr="00DF1A84">
        <w:rPr>
          <w:b/>
          <w:bCs/>
          <w:i/>
          <w:sz w:val="24"/>
          <w:szCs w:val="24"/>
        </w:rPr>
        <w:t xml:space="preserve">передачу громадянину Артемчуку Олександру Михайловичу у приватну власність земельної ділянки для будівництва і обслуговування жилого будинку, господарських будівель і споруд (присадибна ділянка) на вул. Князів </w:t>
      </w:r>
      <w:proofErr w:type="spellStart"/>
      <w:r w:rsidR="00DF1A84" w:rsidRPr="00DF1A84">
        <w:rPr>
          <w:b/>
          <w:bCs/>
          <w:i/>
          <w:sz w:val="24"/>
          <w:szCs w:val="24"/>
        </w:rPr>
        <w:t>Ґедиміновичів</w:t>
      </w:r>
      <w:proofErr w:type="spellEnd"/>
      <w:r w:rsidR="00DF1A84" w:rsidRPr="00DF1A84">
        <w:rPr>
          <w:b/>
          <w:bCs/>
          <w:i/>
          <w:sz w:val="24"/>
          <w:szCs w:val="24"/>
        </w:rPr>
        <w:t>, 7-А (мікрорайон «Жуляни»)</w:t>
      </w:r>
      <w:r w:rsidR="00DF1A84" w:rsidRPr="00975F16">
        <w:rPr>
          <w:b/>
          <w:bCs/>
          <w:sz w:val="28"/>
          <w:szCs w:val="28"/>
        </w:rPr>
        <w:t xml:space="preserve"> </w:t>
      </w:r>
      <w:r w:rsidR="00E17376" w:rsidRPr="003774B2">
        <w:rPr>
          <w:b/>
          <w:i/>
          <w:iCs/>
          <w:sz w:val="24"/>
          <w:szCs w:val="24"/>
        </w:rPr>
        <w:t>у</w:t>
      </w:r>
      <w:r w:rsidRPr="003774B2">
        <w:rPr>
          <w:b/>
          <w:i/>
          <w:iCs/>
          <w:sz w:val="24"/>
          <w:szCs w:val="24"/>
        </w:rPr>
        <w:t xml:space="preserve"> </w:t>
      </w:r>
      <w:r w:rsidR="00765699" w:rsidRPr="003774B2">
        <w:rPr>
          <w:b/>
          <w:i/>
          <w:iCs/>
          <w:sz w:val="24"/>
          <w:szCs w:val="24"/>
        </w:rPr>
        <w:t xml:space="preserve">Солом'янському </w:t>
      </w:r>
      <w:r w:rsidRPr="003774B2">
        <w:rPr>
          <w:b/>
          <w:i/>
          <w:iCs/>
          <w:sz w:val="24"/>
          <w:szCs w:val="24"/>
        </w:rPr>
        <w:t>районі м</w:t>
      </w:r>
      <w:r w:rsidR="00BA3AB4">
        <w:rPr>
          <w:b/>
          <w:i/>
          <w:iCs/>
          <w:sz w:val="24"/>
          <w:szCs w:val="24"/>
        </w:rPr>
        <w:t>іста</w:t>
      </w:r>
      <w:r w:rsidRPr="003774B2">
        <w:rPr>
          <w:b/>
          <w:i/>
          <w:iCs/>
          <w:sz w:val="24"/>
          <w:szCs w:val="24"/>
        </w:rPr>
        <w:t xml:space="preserve"> Києва</w:t>
      </w:r>
    </w:p>
    <w:p w14:paraId="0B87AF26" w14:textId="77777777" w:rsidR="001F32C7" w:rsidRPr="003774B2" w:rsidRDefault="001F32C7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sz w:val="24"/>
          <w:szCs w:val="24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6242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Артемчук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Олександр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Михайлович</w:t>
            </w:r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6678B80C" w:rsidR="00E659C4" w:rsidRDefault="003F1F0D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Заява</w:t>
            </w:r>
            <w:r w:rsidR="00E659C4" w:rsidRPr="003774B2">
              <w:rPr>
                <w:i/>
                <w:sz w:val="24"/>
                <w:szCs w:val="24"/>
              </w:rPr>
              <w:t xml:space="preserve">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29.01.2025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227323462</w:t>
            </w:r>
          </w:p>
        </w:tc>
      </w:tr>
    </w:tbl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0B07FA8E" w14:textId="1C5EB6F7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="003F1F0D">
        <w:rPr>
          <w:sz w:val="24"/>
          <w:szCs w:val="24"/>
        </w:rPr>
        <w:t>номер</w:t>
      </w:r>
      <w:r w:rsidRPr="003774B2">
        <w:rPr>
          <w:sz w:val="24"/>
          <w:szCs w:val="24"/>
        </w:rPr>
        <w:t xml:space="preserve"> </w:t>
      </w:r>
      <w:r w:rsidR="00765699" w:rsidRPr="003774B2">
        <w:rPr>
          <w:sz w:val="24"/>
          <w:szCs w:val="24"/>
        </w:rPr>
        <w:t>8000000000:72:535:0010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10"/>
        <w:gridCol w:w="6211"/>
      </w:tblGrid>
      <w:tr w:rsidR="00E659C4" w14:paraId="4ACF000F" w14:textId="77777777" w:rsidTr="003F1F0D">
        <w:tc>
          <w:tcPr>
            <w:tcW w:w="3310" w:type="dxa"/>
          </w:tcPr>
          <w:p w14:paraId="0F24C77F" w14:textId="77777777" w:rsidR="003F1F0D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Місце розташування </w:t>
            </w:r>
          </w:p>
          <w:p w14:paraId="769D59FF" w14:textId="17A77AF5" w:rsidR="00E659C4" w:rsidRDefault="00E659C4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 w:rsidRPr="003774B2">
              <w:rPr>
                <w:b w:val="0"/>
                <w:i/>
                <w:sz w:val="24"/>
                <w:szCs w:val="24"/>
              </w:rPr>
              <w:t>(адреса):</w:t>
            </w:r>
          </w:p>
        </w:tc>
        <w:tc>
          <w:tcPr>
            <w:tcW w:w="6211" w:type="dxa"/>
          </w:tcPr>
          <w:p w14:paraId="0D9290F0" w14:textId="688028BB" w:rsidR="00FE13EB" w:rsidRPr="00EA27C8" w:rsidRDefault="00FE13EB" w:rsidP="003F1F0D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 xml:space="preserve">вул. Князів </w:t>
            </w:r>
            <w:proofErr w:type="spellStart"/>
            <w:r w:rsidRPr="00EA27C8">
              <w:rPr>
                <w:b w:val="0"/>
                <w:i/>
                <w:sz w:val="24"/>
                <w:szCs w:val="24"/>
              </w:rPr>
              <w:t>Ґедиміновичів</w:t>
            </w:r>
            <w:proofErr w:type="spellEnd"/>
            <w:r w:rsidRPr="00EA27C8">
              <w:rPr>
                <w:b w:val="0"/>
                <w:i/>
                <w:sz w:val="24"/>
                <w:szCs w:val="24"/>
              </w:rPr>
              <w:t xml:space="preserve">, 7-А (мікрорайон </w:t>
            </w:r>
            <w:r w:rsidR="003F1F0D">
              <w:rPr>
                <w:b w:val="0"/>
                <w:i/>
                <w:sz w:val="24"/>
                <w:szCs w:val="24"/>
              </w:rPr>
              <w:t>«</w:t>
            </w:r>
            <w:r w:rsidRPr="00EA27C8">
              <w:rPr>
                <w:b w:val="0"/>
                <w:i/>
                <w:sz w:val="24"/>
                <w:szCs w:val="24"/>
              </w:rPr>
              <w:t>Жуляни</w:t>
            </w:r>
            <w:r w:rsidR="003F1F0D">
              <w:rPr>
                <w:b w:val="0"/>
                <w:i/>
                <w:sz w:val="24"/>
                <w:szCs w:val="24"/>
              </w:rPr>
              <w:t>»</w:t>
            </w:r>
            <w:r w:rsidRPr="00EA27C8">
              <w:rPr>
                <w:b w:val="0"/>
                <w:i/>
                <w:sz w:val="24"/>
                <w:szCs w:val="24"/>
              </w:rPr>
              <w:t xml:space="preserve">) у Солом'янському районі міста Києва </w:t>
            </w:r>
          </w:p>
        </w:tc>
      </w:tr>
      <w:tr w:rsidR="00E659C4" w14:paraId="7FA17F85" w14:textId="77777777" w:rsidTr="003F1F0D">
        <w:tc>
          <w:tcPr>
            <w:tcW w:w="3310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211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0,1000 га</w:t>
            </w:r>
          </w:p>
        </w:tc>
      </w:tr>
      <w:tr w:rsidR="003F1F0D" w14:paraId="34526A38" w14:textId="77777777" w:rsidTr="003F1F0D">
        <w:tc>
          <w:tcPr>
            <w:tcW w:w="3310" w:type="dxa"/>
          </w:tcPr>
          <w:p w14:paraId="71A6030E" w14:textId="442275BE" w:rsidR="003F1F0D" w:rsidRDefault="003F1F0D" w:rsidP="003F1F0D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9E19FB">
              <w:rPr>
                <w:b w:val="0"/>
                <w:i/>
                <w:sz w:val="24"/>
                <w:szCs w:val="24"/>
              </w:rPr>
              <w:t>Категорія земель:</w:t>
            </w:r>
          </w:p>
        </w:tc>
        <w:tc>
          <w:tcPr>
            <w:tcW w:w="6211" w:type="dxa"/>
          </w:tcPr>
          <w:p w14:paraId="08D0261A" w14:textId="58581999" w:rsidR="003F1F0D" w:rsidRPr="00EA27C8" w:rsidRDefault="003F1F0D" w:rsidP="003F1F0D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9E19FB">
              <w:rPr>
                <w:rStyle w:val="af"/>
                <w:b w:val="0"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3F1F0D" w14:paraId="31D36722" w14:textId="77777777" w:rsidTr="003F1F0D">
        <w:tc>
          <w:tcPr>
            <w:tcW w:w="3310" w:type="dxa"/>
          </w:tcPr>
          <w:p w14:paraId="58C1B7B7" w14:textId="58C204D0" w:rsidR="003F1F0D" w:rsidRDefault="003F1F0D" w:rsidP="003F1F0D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9E19FB">
              <w:rPr>
                <w:b w:val="0"/>
                <w:i/>
                <w:sz w:val="24"/>
                <w:szCs w:val="24"/>
              </w:rPr>
              <w:t xml:space="preserve">Вид та термін користування:                    </w:t>
            </w:r>
          </w:p>
        </w:tc>
        <w:tc>
          <w:tcPr>
            <w:tcW w:w="6211" w:type="dxa"/>
          </w:tcPr>
          <w:p w14:paraId="1AB1CB5D" w14:textId="263F93C7" w:rsidR="003F1F0D" w:rsidRPr="00EA27C8" w:rsidRDefault="003F1F0D" w:rsidP="003F1F0D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9E19FB">
              <w:rPr>
                <w:b w:val="0"/>
                <w:i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3F1F0D" w14:paraId="7975636A" w14:textId="77777777" w:rsidTr="003F1F0D">
        <w:tc>
          <w:tcPr>
            <w:tcW w:w="3310" w:type="dxa"/>
          </w:tcPr>
          <w:p w14:paraId="70150891" w14:textId="77777777" w:rsidR="003F1F0D" w:rsidRDefault="003F1F0D" w:rsidP="003F1F0D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9E19FB">
              <w:rPr>
                <w:b w:val="0"/>
                <w:i/>
                <w:sz w:val="24"/>
                <w:szCs w:val="24"/>
              </w:rPr>
              <w:t xml:space="preserve">Цільове призначення   </w:t>
            </w:r>
          </w:p>
          <w:p w14:paraId="41A5007C" w14:textId="71F68341" w:rsidR="003F1F0D" w:rsidRDefault="003F1F0D" w:rsidP="003F1F0D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9E19FB">
              <w:rPr>
                <w:b w:val="0"/>
                <w:i/>
                <w:sz w:val="24"/>
                <w:szCs w:val="24"/>
              </w:rPr>
              <w:t xml:space="preserve">земельної ділянки:                    </w:t>
            </w:r>
          </w:p>
        </w:tc>
        <w:tc>
          <w:tcPr>
            <w:tcW w:w="6211" w:type="dxa"/>
          </w:tcPr>
          <w:p w14:paraId="72106165" w14:textId="5092EE60" w:rsidR="003F1F0D" w:rsidRPr="00EA27C8" w:rsidRDefault="003F1F0D" w:rsidP="003F1F0D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9E19FB">
              <w:rPr>
                <w:b w:val="0"/>
                <w:i/>
                <w:sz w:val="24"/>
                <w:szCs w:val="24"/>
              </w:rPr>
              <w:t xml:space="preserve">02.01 </w:t>
            </w:r>
            <w:r>
              <w:rPr>
                <w:b w:val="0"/>
                <w:i/>
                <w:sz w:val="24"/>
                <w:szCs w:val="24"/>
              </w:rPr>
              <w:t>д</w:t>
            </w:r>
            <w:r w:rsidRPr="009E19FB">
              <w:rPr>
                <w:b w:val="0"/>
                <w:i/>
                <w:sz w:val="24"/>
                <w:szCs w:val="24"/>
              </w:rPr>
              <w:t>ля будівництва і обслуговування жи</w:t>
            </w:r>
            <w:r>
              <w:rPr>
                <w:b w:val="0"/>
                <w:i/>
                <w:sz w:val="24"/>
                <w:szCs w:val="24"/>
              </w:rPr>
              <w:t>т</w:t>
            </w:r>
            <w:r w:rsidRPr="009E19FB">
              <w:rPr>
                <w:b w:val="0"/>
                <w:i/>
                <w:sz w:val="24"/>
                <w:szCs w:val="24"/>
              </w:rPr>
              <w:t>ло</w:t>
            </w:r>
            <w:r>
              <w:rPr>
                <w:b w:val="0"/>
                <w:i/>
                <w:sz w:val="24"/>
                <w:szCs w:val="24"/>
              </w:rPr>
              <w:t>во</w:t>
            </w:r>
            <w:r w:rsidRPr="009E19FB">
              <w:rPr>
                <w:b w:val="0"/>
                <w:i/>
                <w:sz w:val="24"/>
                <w:szCs w:val="24"/>
              </w:rPr>
              <w:t>го будинку, господарських будівель і споруд (присадибна ділянка)</w:t>
            </w:r>
          </w:p>
        </w:tc>
      </w:tr>
    </w:tbl>
    <w:p w14:paraId="4C23D66D" w14:textId="77777777" w:rsidR="00731DC2" w:rsidRPr="003774B2" w:rsidRDefault="00731DC2" w:rsidP="003774B2">
      <w:pPr>
        <w:pStyle w:val="a7"/>
        <w:shd w:val="clear" w:color="auto" w:fill="auto"/>
        <w:spacing w:line="240" w:lineRule="auto"/>
        <w:rPr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47F9520E" w14:textId="1D12A1A1" w:rsidR="004F0681" w:rsidRPr="003774B2" w:rsidRDefault="00BA02ED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EA27C8">
        <w:rPr>
          <w:sz w:val="24"/>
          <w:szCs w:val="24"/>
        </w:rPr>
        <w:t xml:space="preserve">  </w:t>
      </w:r>
      <w:r w:rsidR="003F1F0D">
        <w:rPr>
          <w:sz w:val="24"/>
          <w:szCs w:val="24"/>
        </w:rPr>
        <w:t xml:space="preserve">               </w:t>
      </w:r>
      <w:r w:rsidR="00EA27C8">
        <w:rPr>
          <w:sz w:val="24"/>
          <w:szCs w:val="24"/>
        </w:rPr>
        <w:t xml:space="preserve">        </w:t>
      </w:r>
      <w:r w:rsidRPr="00DF2891">
        <w:rPr>
          <w:sz w:val="24"/>
          <w:szCs w:val="24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B602DB">
        <w:rPr>
          <w:sz w:val="24"/>
          <w:szCs w:val="24"/>
        </w:rPr>
        <w:t>проєкт</w:t>
      </w:r>
      <w:proofErr w:type="spellEnd"/>
      <w:r w:rsidRPr="00DF2891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13E10D78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p w14:paraId="02499919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tbl>
      <w:tblPr>
        <w:tblStyle w:val="aa"/>
        <w:tblW w:w="9668" w:type="dxa"/>
        <w:tblInd w:w="-34" w:type="dxa"/>
        <w:tblLook w:val="04A0" w:firstRow="1" w:lastRow="0" w:firstColumn="1" w:lastColumn="0" w:noHBand="0" w:noVBand="1"/>
      </w:tblPr>
      <w:tblGrid>
        <w:gridCol w:w="3462"/>
        <w:gridCol w:w="6206"/>
      </w:tblGrid>
      <w:tr w:rsidR="00E12AC0" w:rsidRPr="003774B2" w14:paraId="4A887E4C" w14:textId="77777777" w:rsidTr="00552A29">
        <w:trPr>
          <w:cantSplit/>
          <w:trHeight w:val="822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06" w:type="dxa"/>
          </w:tcPr>
          <w:p w14:paraId="10897BC0" w14:textId="77777777" w:rsidR="00E12AC0" w:rsidRDefault="00AC632B" w:rsidP="00152017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 земельній ділянці розташован</w:t>
            </w:r>
            <w:r w:rsidR="00552A29">
              <w:rPr>
                <w:i/>
                <w:sz w:val="24"/>
                <w:szCs w:val="24"/>
              </w:rPr>
              <w:t>і:</w:t>
            </w:r>
            <w:r>
              <w:rPr>
                <w:i/>
                <w:sz w:val="24"/>
                <w:szCs w:val="24"/>
              </w:rPr>
              <w:t xml:space="preserve"> житловий будинок             загальною площею </w:t>
            </w:r>
            <w:r w:rsidR="00552A29">
              <w:rPr>
                <w:i/>
                <w:sz w:val="24"/>
                <w:szCs w:val="24"/>
              </w:rPr>
              <w:t>57,5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кв</w:t>
            </w:r>
            <w:proofErr w:type="spellEnd"/>
            <w:r>
              <w:rPr>
                <w:i/>
                <w:sz w:val="24"/>
                <w:szCs w:val="24"/>
              </w:rPr>
              <w:t>. м,</w:t>
            </w:r>
            <w:r w:rsidR="00552A29">
              <w:rPr>
                <w:i/>
                <w:sz w:val="24"/>
                <w:szCs w:val="24"/>
              </w:rPr>
              <w:t xml:space="preserve"> сарай «Д», сарай «Г» та погріб «Е», які</w:t>
            </w:r>
            <w:r>
              <w:rPr>
                <w:i/>
                <w:sz w:val="24"/>
                <w:szCs w:val="24"/>
              </w:rPr>
              <w:t xml:space="preserve"> належ</w:t>
            </w:r>
            <w:r w:rsidR="00552A29"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>т</w:t>
            </w:r>
            <w:r w:rsidR="00552A29">
              <w:rPr>
                <w:i/>
                <w:sz w:val="24"/>
                <w:szCs w:val="24"/>
              </w:rPr>
              <w:t>ь</w:t>
            </w:r>
            <w:r>
              <w:rPr>
                <w:i/>
                <w:sz w:val="24"/>
                <w:szCs w:val="24"/>
              </w:rPr>
              <w:t xml:space="preserve"> </w:t>
            </w:r>
            <w:r w:rsidR="00152017">
              <w:rPr>
                <w:i/>
                <w:sz w:val="24"/>
                <w:szCs w:val="24"/>
              </w:rPr>
              <w:t xml:space="preserve">на праві власності                            </w:t>
            </w:r>
            <w:r>
              <w:rPr>
                <w:i/>
                <w:sz w:val="24"/>
                <w:szCs w:val="24"/>
              </w:rPr>
              <w:t xml:space="preserve">гр. </w:t>
            </w:r>
            <w:r w:rsidR="00552A29">
              <w:rPr>
                <w:i/>
                <w:sz w:val="24"/>
                <w:szCs w:val="24"/>
              </w:rPr>
              <w:t>Артемчуку О.М.,</w:t>
            </w:r>
            <w:r w:rsidRPr="00453F46">
              <w:rPr>
                <w:i/>
                <w:sz w:val="24"/>
                <w:szCs w:val="24"/>
              </w:rPr>
              <w:t xml:space="preserve"> дата державної реєстрації </w:t>
            </w:r>
            <w:r w:rsidR="00552A29">
              <w:rPr>
                <w:i/>
                <w:sz w:val="24"/>
                <w:szCs w:val="24"/>
              </w:rPr>
              <w:t>02</w:t>
            </w:r>
            <w:r w:rsidRPr="00453F46">
              <w:rPr>
                <w:i/>
                <w:sz w:val="24"/>
                <w:szCs w:val="24"/>
              </w:rPr>
              <w:t>.0</w:t>
            </w:r>
            <w:r w:rsidR="00552A29">
              <w:rPr>
                <w:i/>
                <w:sz w:val="24"/>
                <w:szCs w:val="24"/>
              </w:rPr>
              <w:t>2</w:t>
            </w:r>
            <w:r w:rsidRPr="00453F46">
              <w:rPr>
                <w:i/>
                <w:sz w:val="24"/>
                <w:szCs w:val="24"/>
              </w:rPr>
              <w:t>.202</w:t>
            </w:r>
            <w:r w:rsidR="00552A29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,</w:t>
            </w:r>
            <w:r w:rsidRPr="00453F46">
              <w:rPr>
                <w:i/>
                <w:sz w:val="24"/>
                <w:szCs w:val="24"/>
              </w:rPr>
              <w:t xml:space="preserve">  номер відомостей про речове право </w:t>
            </w:r>
            <w:r w:rsidR="00552A29">
              <w:rPr>
                <w:i/>
                <w:sz w:val="24"/>
                <w:szCs w:val="24"/>
              </w:rPr>
              <w:t>47568087</w:t>
            </w:r>
            <w:r w:rsidRPr="00453F46">
              <w:rPr>
                <w:i/>
                <w:sz w:val="24"/>
                <w:szCs w:val="24"/>
              </w:rPr>
              <w:t xml:space="preserve"> (інформація з Державного реєстру речових прав на нерухоме майно від </w:t>
            </w:r>
            <w:r w:rsidR="00552A29">
              <w:rPr>
                <w:i/>
                <w:sz w:val="24"/>
                <w:szCs w:val="24"/>
              </w:rPr>
              <w:t>31.01</w:t>
            </w:r>
            <w:r w:rsidRPr="00453F46">
              <w:rPr>
                <w:i/>
                <w:sz w:val="24"/>
                <w:szCs w:val="24"/>
              </w:rPr>
              <w:t>.202</w:t>
            </w:r>
            <w:r w:rsidR="00552A29">
              <w:rPr>
                <w:i/>
                <w:sz w:val="24"/>
                <w:szCs w:val="24"/>
              </w:rPr>
              <w:t xml:space="preserve">5 </w:t>
            </w:r>
            <w:r w:rsidRPr="00453F46">
              <w:rPr>
                <w:i/>
                <w:sz w:val="24"/>
                <w:szCs w:val="24"/>
              </w:rPr>
              <w:t xml:space="preserve">№ </w:t>
            </w:r>
            <w:r w:rsidR="00552A29">
              <w:rPr>
                <w:i/>
                <w:sz w:val="24"/>
                <w:szCs w:val="24"/>
              </w:rPr>
              <w:t>410881641</w:t>
            </w:r>
            <w:r>
              <w:rPr>
                <w:i/>
                <w:sz w:val="24"/>
                <w:szCs w:val="24"/>
              </w:rPr>
              <w:t>).</w:t>
            </w:r>
          </w:p>
          <w:p w14:paraId="687E2619" w14:textId="538FED16" w:rsidR="0018416B" w:rsidRPr="00996441" w:rsidRDefault="0018416B" w:rsidP="00AD2FA9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Рішенням Солом'янського районного суду м. Києва                       </w:t>
            </w:r>
            <w:r w:rsidR="004469CC">
              <w:rPr>
                <w:i/>
                <w:sz w:val="24"/>
                <w:szCs w:val="24"/>
              </w:rPr>
              <w:t xml:space="preserve">від </w:t>
            </w:r>
            <w:r>
              <w:rPr>
                <w:i/>
                <w:sz w:val="24"/>
                <w:szCs w:val="24"/>
              </w:rPr>
              <w:t>16.09.2021 у справі №760/22561/21 визнано за</w:t>
            </w:r>
            <w:r w:rsidR="0099644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Артемчуком О.М. право приватної власності у порядку спадкування за законом після смерті Артемчук М.М., на окремий об'єкт нерухомого майна</w:t>
            </w:r>
            <w:r w:rsidR="005822DA">
              <w:rPr>
                <w:i/>
                <w:sz w:val="24"/>
                <w:szCs w:val="24"/>
              </w:rPr>
              <w:t xml:space="preserve">, а також господарські споруди, що знаходяться за </w:t>
            </w:r>
            <w:proofErr w:type="spellStart"/>
            <w:r w:rsidR="005822DA">
              <w:rPr>
                <w:i/>
                <w:sz w:val="24"/>
                <w:szCs w:val="24"/>
              </w:rPr>
              <w:t>адресою</w:t>
            </w:r>
            <w:proofErr w:type="spellEnd"/>
            <w:r w:rsidR="005822DA">
              <w:rPr>
                <w:i/>
                <w:sz w:val="24"/>
                <w:szCs w:val="24"/>
              </w:rPr>
              <w:t>:</w:t>
            </w:r>
            <w:r w:rsidR="00AD2FA9">
              <w:rPr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469CC" w:rsidRPr="00EA27C8">
              <w:rPr>
                <w:i/>
                <w:sz w:val="24"/>
                <w:szCs w:val="24"/>
              </w:rPr>
              <w:t>м</w:t>
            </w:r>
            <w:r w:rsidR="004469CC">
              <w:rPr>
                <w:i/>
                <w:sz w:val="24"/>
                <w:szCs w:val="24"/>
              </w:rPr>
              <w:t>.</w:t>
            </w:r>
            <w:r w:rsidR="004469CC">
              <w:rPr>
                <w:i/>
                <w:sz w:val="24"/>
                <w:szCs w:val="24"/>
              </w:rPr>
              <w:t xml:space="preserve"> Киї</w:t>
            </w:r>
            <w:r w:rsidR="004469CC" w:rsidRPr="00EA27C8">
              <w:rPr>
                <w:i/>
                <w:sz w:val="24"/>
                <w:szCs w:val="24"/>
              </w:rPr>
              <w:t>в</w:t>
            </w:r>
            <w:r w:rsidR="004469CC">
              <w:rPr>
                <w:i/>
                <w:sz w:val="24"/>
                <w:szCs w:val="24"/>
              </w:rPr>
              <w:t xml:space="preserve">, </w:t>
            </w:r>
            <w:r w:rsidR="004469CC" w:rsidRPr="00EA27C8">
              <w:rPr>
                <w:i/>
                <w:sz w:val="24"/>
                <w:szCs w:val="24"/>
              </w:rPr>
              <w:t>Солом'янськ</w:t>
            </w:r>
            <w:r w:rsidR="004469CC">
              <w:rPr>
                <w:i/>
                <w:sz w:val="24"/>
                <w:szCs w:val="24"/>
              </w:rPr>
              <w:t>ий район,</w:t>
            </w:r>
            <w:r w:rsidR="004469CC" w:rsidRPr="00EA27C8">
              <w:rPr>
                <w:i/>
                <w:sz w:val="24"/>
                <w:szCs w:val="24"/>
              </w:rPr>
              <w:t xml:space="preserve"> </w:t>
            </w:r>
            <w:r w:rsidR="005822DA" w:rsidRPr="00EA27C8">
              <w:rPr>
                <w:i/>
                <w:sz w:val="24"/>
                <w:szCs w:val="24"/>
              </w:rPr>
              <w:t>вул</w:t>
            </w:r>
            <w:r w:rsidR="00AD2FA9">
              <w:rPr>
                <w:i/>
                <w:sz w:val="24"/>
                <w:szCs w:val="24"/>
              </w:rPr>
              <w:t>иця</w:t>
            </w:r>
            <w:r w:rsidR="005822DA" w:rsidRPr="00EA27C8">
              <w:rPr>
                <w:i/>
                <w:sz w:val="24"/>
                <w:szCs w:val="24"/>
              </w:rPr>
              <w:t xml:space="preserve"> </w:t>
            </w:r>
            <w:r w:rsidR="005822DA">
              <w:rPr>
                <w:i/>
                <w:sz w:val="24"/>
                <w:szCs w:val="24"/>
              </w:rPr>
              <w:t>Новомічурінськ</w:t>
            </w:r>
            <w:r w:rsidR="00AD2FA9">
              <w:rPr>
                <w:i/>
                <w:sz w:val="24"/>
                <w:szCs w:val="24"/>
              </w:rPr>
              <w:t>а</w:t>
            </w:r>
            <w:r w:rsidR="004469CC">
              <w:rPr>
                <w:i/>
                <w:sz w:val="24"/>
                <w:szCs w:val="24"/>
              </w:rPr>
              <w:t>,7</w:t>
            </w:r>
            <w:r w:rsidR="00996441">
              <w:rPr>
                <w:i/>
                <w:sz w:val="24"/>
                <w:szCs w:val="24"/>
              </w:rPr>
              <w:t>.</w:t>
            </w:r>
          </w:p>
        </w:tc>
      </w:tr>
      <w:tr w:rsidR="00E12AC0" w:rsidRPr="003774B2" w14:paraId="44C55D8C" w14:textId="77777777" w:rsidTr="00552A29">
        <w:trPr>
          <w:cantSplit/>
          <w:trHeight w:val="1644"/>
        </w:trPr>
        <w:tc>
          <w:tcPr>
            <w:tcW w:w="3462" w:type="dxa"/>
          </w:tcPr>
          <w:p w14:paraId="7162150E" w14:textId="359B3034" w:rsidR="00E12AC0" w:rsidRPr="0018416B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06" w:type="dxa"/>
          </w:tcPr>
          <w:p w14:paraId="5ACEA60E" w14:textId="65740239" w:rsidR="00E12AC0" w:rsidRPr="00E12AC0" w:rsidRDefault="00AC632B" w:rsidP="006B362D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620196">
              <w:rPr>
                <w:i/>
                <w:sz w:val="24"/>
                <w:szCs w:val="24"/>
              </w:rPr>
              <w:t xml:space="preserve">Відповідно до </w:t>
            </w:r>
            <w:r w:rsidRPr="00E927B3">
              <w:rPr>
                <w:i/>
                <w:sz w:val="24"/>
                <w:szCs w:val="24"/>
              </w:rPr>
              <w:t xml:space="preserve">детального плану території мікрорайону </w:t>
            </w:r>
            <w:r>
              <w:rPr>
                <w:i/>
                <w:sz w:val="24"/>
                <w:szCs w:val="24"/>
              </w:rPr>
              <w:t>Жуляни</w:t>
            </w:r>
            <w:r w:rsidRPr="00620196">
              <w:rPr>
                <w:i/>
                <w:color w:val="auto"/>
                <w:sz w:val="24"/>
                <w:szCs w:val="24"/>
              </w:rPr>
              <w:t xml:space="preserve">, затвердженого рішенням Київської міської ради від  </w:t>
            </w:r>
            <w:r>
              <w:rPr>
                <w:i/>
                <w:color w:val="auto"/>
                <w:sz w:val="24"/>
                <w:szCs w:val="24"/>
              </w:rPr>
              <w:t>14</w:t>
            </w:r>
            <w:r w:rsidRPr="00620196">
              <w:rPr>
                <w:i/>
                <w:color w:val="auto"/>
                <w:sz w:val="24"/>
                <w:szCs w:val="24"/>
              </w:rPr>
              <w:t>.</w:t>
            </w:r>
            <w:r>
              <w:rPr>
                <w:i/>
                <w:color w:val="auto"/>
                <w:sz w:val="24"/>
                <w:szCs w:val="24"/>
              </w:rPr>
              <w:t>06</w:t>
            </w:r>
            <w:r w:rsidRPr="00620196">
              <w:rPr>
                <w:i/>
                <w:color w:val="auto"/>
                <w:sz w:val="24"/>
                <w:szCs w:val="24"/>
              </w:rPr>
              <w:t xml:space="preserve">.2007 № </w:t>
            </w:r>
            <w:r>
              <w:rPr>
                <w:i/>
                <w:color w:val="auto"/>
                <w:sz w:val="24"/>
                <w:szCs w:val="24"/>
              </w:rPr>
              <w:t>796/1457</w:t>
            </w:r>
            <w:r w:rsidRPr="00620196">
              <w:rPr>
                <w:i/>
                <w:color w:val="auto"/>
                <w:sz w:val="24"/>
                <w:szCs w:val="24"/>
              </w:rPr>
              <w:t>, земельна ділянка за функціональним призначенням належить до території житлової садибної забудови (існуючі)</w:t>
            </w:r>
            <w:r>
              <w:rPr>
                <w:i/>
                <w:color w:val="auto"/>
              </w:rPr>
              <w:t xml:space="preserve"> </w:t>
            </w:r>
            <w:r>
              <w:rPr>
                <w:i/>
                <w:snapToGrid w:val="0"/>
                <w:sz w:val="24"/>
                <w:szCs w:val="24"/>
              </w:rPr>
              <w:t xml:space="preserve">(кадастрова довідка з містобудівного кадастру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6B362D">
              <w:rPr>
                <w:i/>
                <w:snapToGrid w:val="0"/>
                <w:sz w:val="24"/>
                <w:szCs w:val="24"/>
              </w:rPr>
              <w:t>02</w:t>
            </w:r>
            <w:r>
              <w:rPr>
                <w:i/>
                <w:snapToGrid w:val="0"/>
                <w:sz w:val="24"/>
                <w:szCs w:val="24"/>
              </w:rPr>
              <w:t>.</w:t>
            </w:r>
            <w:r w:rsidR="006B362D">
              <w:rPr>
                <w:i/>
                <w:snapToGrid w:val="0"/>
                <w:sz w:val="24"/>
                <w:szCs w:val="24"/>
              </w:rPr>
              <w:t>08</w:t>
            </w:r>
            <w:r>
              <w:rPr>
                <w:i/>
                <w:snapToGrid w:val="0"/>
                <w:sz w:val="24"/>
                <w:szCs w:val="24"/>
              </w:rPr>
              <w:t>.2024 № 055-</w:t>
            </w:r>
            <w:r w:rsidR="006B362D">
              <w:rPr>
                <w:i/>
                <w:snapToGrid w:val="0"/>
                <w:sz w:val="24"/>
                <w:szCs w:val="24"/>
              </w:rPr>
              <w:t>7292</w:t>
            </w:r>
            <w:r>
              <w:rPr>
                <w:i/>
                <w:snapToGrid w:val="0"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E12AC0" w:rsidRPr="003774B2" w14:paraId="53F755AF" w14:textId="77777777" w:rsidTr="00552A29">
        <w:trPr>
          <w:cantSplit/>
          <w:trHeight w:val="1091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06" w:type="dxa"/>
          </w:tcPr>
          <w:p w14:paraId="14888231" w14:textId="793B1CF4" w:rsidR="00E12AC0" w:rsidRPr="00E12AC0" w:rsidRDefault="00A47373" w:rsidP="00EA27C8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8A3BD1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   від 28.03.2002  № 370/1804</w:t>
            </w:r>
            <w:r w:rsidRPr="008A3BD1">
              <w:rPr>
                <w:i/>
                <w:color w:val="auto"/>
                <w:sz w:val="24"/>
                <w:szCs w:val="24"/>
              </w:rPr>
              <w:t>, земельна ділянка за функціональним призначенням належить до території житлової садибної забудови</w:t>
            </w:r>
            <w:r w:rsidRPr="008A3BD1">
              <w:rPr>
                <w:i/>
                <w:sz w:val="24"/>
                <w:szCs w:val="24"/>
              </w:rPr>
              <w:t>.</w:t>
            </w:r>
          </w:p>
        </w:tc>
      </w:tr>
      <w:tr w:rsidR="00765699" w:rsidRPr="003774B2" w14:paraId="67EEAA64" w14:textId="77777777" w:rsidTr="00552A29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06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552A29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06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552A29">
        <w:trPr>
          <w:cantSplit/>
          <w:trHeight w:val="254"/>
        </w:trPr>
        <w:tc>
          <w:tcPr>
            <w:tcW w:w="3462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06" w:type="dxa"/>
          </w:tcPr>
          <w:p w14:paraId="37BC8C02" w14:textId="630EDC2E" w:rsidR="00A47373" w:rsidRPr="001A2871" w:rsidRDefault="00A47373" w:rsidP="00A47373">
            <w:pPr>
              <w:jc w:val="both"/>
              <w:rPr>
                <w:rStyle w:val="af"/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Земельна ділянка з к</w:t>
            </w:r>
            <w:r w:rsidR="004C2926">
              <w:rPr>
                <w:rFonts w:ascii="Times New Roman" w:hAnsi="Times New Roman" w:cs="Times New Roman"/>
                <w:i/>
                <w:color w:val="auto"/>
              </w:rPr>
              <w:t>адастровим номером 8000000000:72</w:t>
            </w:r>
            <w:r>
              <w:rPr>
                <w:rFonts w:ascii="Times New Roman" w:hAnsi="Times New Roman" w:cs="Times New Roman"/>
                <w:i/>
                <w:color w:val="auto"/>
              </w:rPr>
              <w:t>:</w:t>
            </w:r>
            <w:r w:rsidR="004C2926">
              <w:rPr>
                <w:rFonts w:ascii="Times New Roman" w:hAnsi="Times New Roman" w:cs="Times New Roman"/>
                <w:i/>
                <w:color w:val="auto"/>
              </w:rPr>
              <w:t>535</w:t>
            </w:r>
            <w:r>
              <w:rPr>
                <w:rFonts w:ascii="Times New Roman" w:hAnsi="Times New Roman" w:cs="Times New Roman"/>
                <w:i/>
                <w:color w:val="auto"/>
              </w:rPr>
              <w:t>:001</w:t>
            </w:r>
            <w:r w:rsidR="004C2926">
              <w:rPr>
                <w:rFonts w:ascii="Times New Roman" w:hAnsi="Times New Roman" w:cs="Times New Roman"/>
                <w:i/>
                <w:color w:val="auto"/>
              </w:rPr>
              <w:t>0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сформована на підставі технічної документації із землеустрою щодо встановлення (відновлення) меж земельної ділянки в натурі (на місцевості) та зареєстрована в Державному земельному кадастрі з цільовим призначенням – </w:t>
            </w:r>
            <w:r w:rsidRPr="001A2871">
              <w:rPr>
                <w:rStyle w:val="af"/>
                <w:rFonts w:ascii="Times New Roman" w:hAnsi="Times New Roman" w:cs="Times New Roman"/>
                <w:bCs/>
              </w:rPr>
              <w:t>для будівництва і обслуговування жи</w:t>
            </w:r>
            <w:r>
              <w:rPr>
                <w:rStyle w:val="af"/>
                <w:rFonts w:ascii="Times New Roman" w:hAnsi="Times New Roman" w:cs="Times New Roman"/>
                <w:bCs/>
              </w:rPr>
              <w:t>т</w:t>
            </w:r>
            <w:r w:rsidRPr="001A2871">
              <w:rPr>
                <w:rStyle w:val="af"/>
                <w:rFonts w:ascii="Times New Roman" w:hAnsi="Times New Roman" w:cs="Times New Roman"/>
                <w:bCs/>
              </w:rPr>
              <w:t>ло</w:t>
            </w:r>
            <w:r>
              <w:rPr>
                <w:rStyle w:val="af"/>
                <w:rFonts w:ascii="Times New Roman" w:hAnsi="Times New Roman" w:cs="Times New Roman"/>
                <w:bCs/>
              </w:rPr>
              <w:t>во</w:t>
            </w:r>
            <w:r w:rsidRPr="001A2871">
              <w:rPr>
                <w:rStyle w:val="af"/>
                <w:rFonts w:ascii="Times New Roman" w:hAnsi="Times New Roman" w:cs="Times New Roman"/>
                <w:bCs/>
              </w:rPr>
              <w:t>го будинку, господарських будівель і споруд</w:t>
            </w:r>
            <w:r>
              <w:rPr>
                <w:rStyle w:val="af"/>
                <w:rFonts w:ascii="Times New Roman" w:hAnsi="Times New Roman" w:cs="Times New Roman"/>
                <w:bCs/>
              </w:rPr>
              <w:t xml:space="preserve"> (присадибна ділянка)</w:t>
            </w:r>
            <w:r w:rsidRPr="001A2871">
              <w:rPr>
                <w:rStyle w:val="af"/>
                <w:rFonts w:ascii="Times New Roman" w:hAnsi="Times New Roman" w:cs="Times New Roman"/>
                <w:bCs/>
              </w:rPr>
              <w:t>.</w:t>
            </w:r>
          </w:p>
          <w:p w14:paraId="5753EBA3" w14:textId="77777777" w:rsidR="00A47373" w:rsidRDefault="00A47373" w:rsidP="00A473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A2871">
              <w:rPr>
                <w:rStyle w:val="af"/>
                <w:rFonts w:ascii="Times New Roman" w:hAnsi="Times New Roman" w:cs="Times New Roman"/>
                <w:bCs/>
              </w:rPr>
              <w:t xml:space="preserve">Рішення про передачу зазначеної земельної ділянки </w:t>
            </w:r>
            <w:r>
              <w:rPr>
                <w:rFonts w:ascii="Times New Roman" w:hAnsi="Times New Roman" w:cs="Times New Roman"/>
                <w:i/>
              </w:rPr>
              <w:t>у власність або користування будь-яким особам Київська міська рада за поданням Департаменту земельних ресурсів виконавчого органу Київської міської ради (Київської міської державної адміністрації) не приймала</w:t>
            </w:r>
            <w:r w:rsidRPr="002C3AF6">
              <w:rPr>
                <w:rStyle w:val="af"/>
                <w:rFonts w:ascii="Times New Roman" w:hAnsi="Times New Roman" w:cs="Times New Roman"/>
                <w:bCs/>
              </w:rPr>
              <w:t>.</w:t>
            </w:r>
          </w:p>
          <w:p w14:paraId="4983ADEC" w14:textId="77777777" w:rsidR="00A47373" w:rsidRPr="003610CA" w:rsidRDefault="00A47373" w:rsidP="00A4737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610C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власність земельної ділянки, оскільки відповідно до пункту 34 частини першої статті 26 Закону України «Про  місцеве  самоврядування 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BB40B2D" w14:textId="77777777" w:rsidR="00A47373" w:rsidRPr="003610CA" w:rsidRDefault="00A47373" w:rsidP="00A4737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610C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   від 17.04.2018 у справі № 826/8107/16, від 16.09.2021 у справі № 826/8847/16. </w:t>
            </w:r>
          </w:p>
          <w:p w14:paraId="6528D3CD" w14:textId="251DB263" w:rsidR="00812178" w:rsidRPr="003774B2" w:rsidRDefault="00A47373" w:rsidP="00A4737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610C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3610C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3610C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6CB8D96A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092818" w:rsidRPr="00092818">
        <w:rPr>
          <w:sz w:val="24"/>
          <w:szCs w:val="24"/>
        </w:rPr>
        <w:t>Київської міської ради</w:t>
      </w:r>
      <w:r w:rsidRPr="00DF2891">
        <w:rPr>
          <w:sz w:val="24"/>
          <w:szCs w:val="24"/>
        </w:rPr>
        <w:t xml:space="preserve"> </w:t>
      </w:r>
      <w:r w:rsidR="00206B34">
        <w:rPr>
          <w:sz w:val="24"/>
          <w:szCs w:val="24"/>
        </w:rPr>
        <w:t xml:space="preserve">                         </w:t>
      </w:r>
      <w:r w:rsidRPr="00DF2891">
        <w:rPr>
          <w:sz w:val="24"/>
          <w:szCs w:val="24"/>
        </w:rPr>
        <w:t>від 20</w:t>
      </w:r>
      <w:r w:rsidR="004E223D">
        <w:rPr>
          <w:sz w:val="24"/>
          <w:szCs w:val="24"/>
        </w:rPr>
        <w:t>.04.</w:t>
      </w:r>
      <w:r w:rsidRPr="00DF2891">
        <w:rPr>
          <w:sz w:val="24"/>
          <w:szCs w:val="24"/>
        </w:rPr>
        <w:t>2017 № 241/2463.</w:t>
      </w:r>
    </w:p>
    <w:p w14:paraId="64D3E72A" w14:textId="77777777" w:rsidR="00092763" w:rsidRDefault="00092763" w:rsidP="00092763">
      <w:pPr>
        <w:pStyle w:val="1"/>
        <w:tabs>
          <w:tab w:val="left" w:pos="0"/>
          <w:tab w:val="left" w:pos="426"/>
        </w:tabs>
        <w:spacing w:after="0"/>
        <w:ind w:firstLine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Проєкт</w:t>
      </w:r>
      <w:proofErr w:type="spellEnd"/>
      <w:r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0582EF8" w14:textId="77777777" w:rsidR="00092763" w:rsidRDefault="00092763" w:rsidP="00092763">
      <w:pPr>
        <w:pStyle w:val="1"/>
        <w:tabs>
          <w:tab w:val="left" w:pos="0"/>
          <w:tab w:val="left" w:pos="426"/>
        </w:tabs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shd w:val="clear" w:color="auto" w:fill="FFFFFF"/>
          <w:lang w:val="ru-RU"/>
        </w:rPr>
        <w:t>Проєкт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рішення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>
        <w:rPr>
          <w:sz w:val="24"/>
          <w:szCs w:val="24"/>
          <w:shd w:val="clear" w:color="auto" w:fill="FFFFFF"/>
          <w:lang w:val="ru-RU"/>
        </w:rPr>
        <w:t>містить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службової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>
        <w:rPr>
          <w:sz w:val="24"/>
          <w:szCs w:val="24"/>
          <w:shd w:val="clear" w:color="auto" w:fill="FFFFFF"/>
          <w:lang w:val="ru-RU"/>
        </w:rPr>
        <w:t>публічної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>
        <w:rPr>
          <w:sz w:val="24"/>
          <w:szCs w:val="24"/>
          <w:shd w:val="clear" w:color="auto" w:fill="FFFFFF"/>
          <w:lang w:val="ru-RU"/>
        </w:rPr>
        <w:t>».</w:t>
      </w:r>
    </w:p>
    <w:p w14:paraId="420EAB79" w14:textId="77777777" w:rsidR="00092763" w:rsidRDefault="00092763" w:rsidP="00092763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  <w:shd w:val="clear" w:color="auto" w:fill="FFFFFF"/>
          <w:lang w:val="ru-RU"/>
        </w:rPr>
      </w:pPr>
      <w:proofErr w:type="spellStart"/>
      <w:r>
        <w:rPr>
          <w:sz w:val="24"/>
          <w:szCs w:val="24"/>
          <w:lang w:val="ru-RU"/>
        </w:rPr>
        <w:t>Проєкт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містить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фізичну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особу (</w:t>
      </w:r>
      <w:proofErr w:type="spellStart"/>
      <w:r>
        <w:rPr>
          <w:sz w:val="24"/>
          <w:szCs w:val="24"/>
          <w:shd w:val="clear" w:color="auto" w:fill="FFFFFF"/>
          <w:lang w:val="ru-RU"/>
        </w:rPr>
        <w:t>персональні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дані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) 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статей 11 та 21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» та </w:t>
      </w:r>
      <w:proofErr w:type="spellStart"/>
      <w:r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2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захист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персональних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даних</w:t>
      </w:r>
      <w:proofErr w:type="spellEnd"/>
      <w:r>
        <w:rPr>
          <w:sz w:val="24"/>
          <w:szCs w:val="24"/>
          <w:shd w:val="clear" w:color="auto" w:fill="FFFFFF"/>
          <w:lang w:val="ru-RU"/>
        </w:rPr>
        <w:t>».</w:t>
      </w:r>
    </w:p>
    <w:p w14:paraId="47D51075" w14:textId="77777777" w:rsidR="00092763" w:rsidRDefault="00092763" w:rsidP="00092763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  <w:shd w:val="clear" w:color="auto" w:fill="FFFFFF"/>
          <w:lang w:val="ru-RU"/>
        </w:rPr>
      </w:pPr>
    </w:p>
    <w:p w14:paraId="4FE32A53" w14:textId="77777777" w:rsidR="00092763" w:rsidRPr="003774B2" w:rsidRDefault="00092763" w:rsidP="00092763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58DB82C6" w14:textId="77777777" w:rsidR="00092763" w:rsidRPr="003774B2" w:rsidRDefault="00092763" w:rsidP="00092763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834D0D9" w14:textId="77777777" w:rsidR="00092763" w:rsidRPr="003774B2" w:rsidRDefault="00092763" w:rsidP="00092763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1D3D1CC1" w14:textId="335B49A2" w:rsidR="00092763" w:rsidRDefault="00092763" w:rsidP="00092763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55414A">
        <w:rPr>
          <w:sz w:val="24"/>
          <w:szCs w:val="24"/>
        </w:rPr>
        <w:t xml:space="preserve">Наслідками прийняття розробленого </w:t>
      </w:r>
      <w:proofErr w:type="spellStart"/>
      <w:r w:rsidRPr="0055414A">
        <w:rPr>
          <w:sz w:val="24"/>
          <w:szCs w:val="24"/>
        </w:rPr>
        <w:t>проєкту</w:t>
      </w:r>
      <w:proofErr w:type="spellEnd"/>
      <w:r w:rsidRPr="0055414A">
        <w:rPr>
          <w:sz w:val="24"/>
          <w:szCs w:val="24"/>
        </w:rPr>
        <w:t xml:space="preserve"> ріш</w:t>
      </w:r>
      <w:r>
        <w:rPr>
          <w:sz w:val="24"/>
          <w:szCs w:val="24"/>
        </w:rPr>
        <w:t>ення стане реалізація громадян</w:t>
      </w:r>
      <w:r w:rsidR="00860AA6">
        <w:rPr>
          <w:sz w:val="24"/>
          <w:szCs w:val="24"/>
        </w:rPr>
        <w:t>ином</w:t>
      </w:r>
      <w:r w:rsidRPr="0055414A">
        <w:rPr>
          <w:sz w:val="24"/>
          <w:szCs w:val="24"/>
        </w:rPr>
        <w:t xml:space="preserve"> своїх прав на оформлення земельної ділянки.</w:t>
      </w:r>
    </w:p>
    <w:p w14:paraId="52896731" w14:textId="77777777" w:rsidR="00CA391A" w:rsidRDefault="0081082C" w:rsidP="00CA391A">
      <w:pPr>
        <w:pStyle w:val="1"/>
        <w:shd w:val="clear" w:color="auto" w:fill="auto"/>
        <w:spacing w:after="120"/>
        <w:ind w:firstLine="284"/>
        <w:jc w:val="both"/>
        <w:rPr>
          <w:color w:val="auto"/>
          <w:sz w:val="24"/>
          <w:szCs w:val="24"/>
        </w:rPr>
      </w:pPr>
      <w:r w:rsidRPr="0081082C">
        <w:rPr>
          <w:color w:val="auto"/>
          <w:sz w:val="24"/>
          <w:szCs w:val="24"/>
        </w:rPr>
        <w:t xml:space="preserve">  </w:t>
      </w:r>
    </w:p>
    <w:p w14:paraId="1E36A962" w14:textId="001C2378" w:rsidR="00114807" w:rsidRPr="00B85976" w:rsidRDefault="00114807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DF1A84">
        <w:rPr>
          <w:bCs/>
          <w:sz w:val="20"/>
          <w:szCs w:val="20"/>
          <w:lang w:val="ru-RU"/>
        </w:rPr>
        <w:t>Валентина ПЕЛИХ</w:t>
      </w:r>
    </w:p>
    <w:p w14:paraId="10728A36" w14:textId="6E22849F" w:rsidR="00096F55" w:rsidRDefault="00096F55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3D46C604" w14:textId="77777777" w:rsidR="00EA27C8" w:rsidRPr="00A75C83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58E2331C" w:rsidR="00114807" w:rsidRDefault="00114807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78CF8FB6" w14:textId="77EFF6D8" w:rsidR="000D25A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EA27C8">
      <w:headerReference w:type="default" r:id="rId10"/>
      <w:footerReference w:type="default" r:id="rId11"/>
      <w:pgSz w:w="11907" w:h="16839" w:code="9"/>
      <w:pgMar w:top="1134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3011434C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DF1A84">
      <w:rPr>
        <w:sz w:val="12"/>
        <w:szCs w:val="12"/>
        <w:lang w:val="ru-RU"/>
      </w:rPr>
      <w:t>ПЗН-77486</w:t>
    </w:r>
    <w:r w:rsidR="00862990">
      <w:rPr>
        <w:sz w:val="12"/>
        <w:szCs w:val="12"/>
      </w:rPr>
      <w:t xml:space="preserve"> від </w:t>
    </w:r>
    <w:r w:rsidR="00B2667F" w:rsidRPr="00DF1A84">
      <w:rPr>
        <w:sz w:val="12"/>
        <w:szCs w:val="12"/>
        <w:lang w:val="ru-RU"/>
      </w:rPr>
      <w:t>03.02.2025</w:t>
    </w:r>
    <w:r w:rsidR="00862990">
      <w:rPr>
        <w:sz w:val="12"/>
        <w:szCs w:val="12"/>
      </w:rPr>
      <w:t xml:space="preserve"> до </w:t>
    </w:r>
    <w:r w:rsidR="003F1F0D">
      <w:rPr>
        <w:sz w:val="12"/>
        <w:szCs w:val="12"/>
      </w:rPr>
      <w:t>справи</w:t>
    </w:r>
    <w:r w:rsidR="00862990">
      <w:rPr>
        <w:sz w:val="12"/>
        <w:szCs w:val="12"/>
      </w:rPr>
      <w:t xml:space="preserve"> 227323462</w:t>
    </w:r>
  </w:p>
  <w:p w14:paraId="2E60DAB9" w14:textId="6650639F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AD2FA9" w:rsidRPr="00AD2FA9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45902"/>
    <w:rsid w:val="00091CF3"/>
    <w:rsid w:val="00092763"/>
    <w:rsid w:val="00092818"/>
    <w:rsid w:val="00096F55"/>
    <w:rsid w:val="000D25A2"/>
    <w:rsid w:val="000D4A8B"/>
    <w:rsid w:val="000D5380"/>
    <w:rsid w:val="000F1896"/>
    <w:rsid w:val="00103606"/>
    <w:rsid w:val="00110C03"/>
    <w:rsid w:val="00114807"/>
    <w:rsid w:val="00143284"/>
    <w:rsid w:val="0014558C"/>
    <w:rsid w:val="00150588"/>
    <w:rsid w:val="00152017"/>
    <w:rsid w:val="00155A66"/>
    <w:rsid w:val="00166900"/>
    <w:rsid w:val="0018416B"/>
    <w:rsid w:val="00193E39"/>
    <w:rsid w:val="001E04D2"/>
    <w:rsid w:val="001F32C7"/>
    <w:rsid w:val="00206B34"/>
    <w:rsid w:val="00210F1C"/>
    <w:rsid w:val="00217DBB"/>
    <w:rsid w:val="00224F4D"/>
    <w:rsid w:val="002256EF"/>
    <w:rsid w:val="00232D6B"/>
    <w:rsid w:val="002438BA"/>
    <w:rsid w:val="00263D53"/>
    <w:rsid w:val="002719CE"/>
    <w:rsid w:val="00294757"/>
    <w:rsid w:val="002C01A4"/>
    <w:rsid w:val="002C3AF6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C17B4"/>
    <w:rsid w:val="003F08A4"/>
    <w:rsid w:val="003F1F0D"/>
    <w:rsid w:val="003F796B"/>
    <w:rsid w:val="004223BA"/>
    <w:rsid w:val="004469CC"/>
    <w:rsid w:val="00446BFC"/>
    <w:rsid w:val="004571B2"/>
    <w:rsid w:val="00466C3C"/>
    <w:rsid w:val="00485E81"/>
    <w:rsid w:val="00496595"/>
    <w:rsid w:val="004C2926"/>
    <w:rsid w:val="004E1042"/>
    <w:rsid w:val="004E223D"/>
    <w:rsid w:val="004F0681"/>
    <w:rsid w:val="0051297B"/>
    <w:rsid w:val="005234D0"/>
    <w:rsid w:val="0055002C"/>
    <w:rsid w:val="00552A29"/>
    <w:rsid w:val="00571279"/>
    <w:rsid w:val="005718CD"/>
    <w:rsid w:val="005822DA"/>
    <w:rsid w:val="0058258A"/>
    <w:rsid w:val="00584DDC"/>
    <w:rsid w:val="00596FDB"/>
    <w:rsid w:val="005A2C2E"/>
    <w:rsid w:val="005C0C71"/>
    <w:rsid w:val="005C5A73"/>
    <w:rsid w:val="006006CF"/>
    <w:rsid w:val="00604821"/>
    <w:rsid w:val="00615185"/>
    <w:rsid w:val="006212E0"/>
    <w:rsid w:val="00632173"/>
    <w:rsid w:val="0064781D"/>
    <w:rsid w:val="00682BA2"/>
    <w:rsid w:val="00687415"/>
    <w:rsid w:val="006903E8"/>
    <w:rsid w:val="006A0D5A"/>
    <w:rsid w:val="006A3391"/>
    <w:rsid w:val="006A43A2"/>
    <w:rsid w:val="006B362D"/>
    <w:rsid w:val="006D0CA1"/>
    <w:rsid w:val="006D0D25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7541"/>
    <w:rsid w:val="007C2840"/>
    <w:rsid w:val="007C52B7"/>
    <w:rsid w:val="007D3720"/>
    <w:rsid w:val="007E2544"/>
    <w:rsid w:val="0081082C"/>
    <w:rsid w:val="00812178"/>
    <w:rsid w:val="0081493A"/>
    <w:rsid w:val="00830DB0"/>
    <w:rsid w:val="00833BDF"/>
    <w:rsid w:val="008540A6"/>
    <w:rsid w:val="00855E2F"/>
    <w:rsid w:val="00860AA6"/>
    <w:rsid w:val="00862990"/>
    <w:rsid w:val="008669DB"/>
    <w:rsid w:val="00880D60"/>
    <w:rsid w:val="008A1CBE"/>
    <w:rsid w:val="008B065F"/>
    <w:rsid w:val="008F6A51"/>
    <w:rsid w:val="009078AA"/>
    <w:rsid w:val="009253F7"/>
    <w:rsid w:val="00976EF9"/>
    <w:rsid w:val="00996441"/>
    <w:rsid w:val="009B470E"/>
    <w:rsid w:val="009C124D"/>
    <w:rsid w:val="009C3D6C"/>
    <w:rsid w:val="009C7FC5"/>
    <w:rsid w:val="009F5A7E"/>
    <w:rsid w:val="00A04BCD"/>
    <w:rsid w:val="00A27936"/>
    <w:rsid w:val="00A47373"/>
    <w:rsid w:val="00A47378"/>
    <w:rsid w:val="00A577B3"/>
    <w:rsid w:val="00A65267"/>
    <w:rsid w:val="00A66F8F"/>
    <w:rsid w:val="00A723F2"/>
    <w:rsid w:val="00A75C83"/>
    <w:rsid w:val="00AA10F9"/>
    <w:rsid w:val="00AC632B"/>
    <w:rsid w:val="00AD2FA9"/>
    <w:rsid w:val="00AD6BDF"/>
    <w:rsid w:val="00AF38B3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2624F"/>
    <w:rsid w:val="00C84EDA"/>
    <w:rsid w:val="00C95FDB"/>
    <w:rsid w:val="00C96D9A"/>
    <w:rsid w:val="00C97F46"/>
    <w:rsid w:val="00CA391A"/>
    <w:rsid w:val="00CB36BC"/>
    <w:rsid w:val="00CB5ED4"/>
    <w:rsid w:val="00CC567E"/>
    <w:rsid w:val="00CC5CF5"/>
    <w:rsid w:val="00CE0D0A"/>
    <w:rsid w:val="00D071C4"/>
    <w:rsid w:val="00D07D85"/>
    <w:rsid w:val="00D12C22"/>
    <w:rsid w:val="00D23EC9"/>
    <w:rsid w:val="00D35106"/>
    <w:rsid w:val="00D40C56"/>
    <w:rsid w:val="00D453B9"/>
    <w:rsid w:val="00D52C22"/>
    <w:rsid w:val="00DA21AC"/>
    <w:rsid w:val="00DB1C69"/>
    <w:rsid w:val="00DC6EFC"/>
    <w:rsid w:val="00DE1AEF"/>
    <w:rsid w:val="00DE6903"/>
    <w:rsid w:val="00DF1A84"/>
    <w:rsid w:val="00E06799"/>
    <w:rsid w:val="00E12AC0"/>
    <w:rsid w:val="00E17376"/>
    <w:rsid w:val="00E21576"/>
    <w:rsid w:val="00E351CD"/>
    <w:rsid w:val="00E43A80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veronika.shabelny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6187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Шабельник Вероніка Сергіївна</cp:lastModifiedBy>
  <cp:revision>21</cp:revision>
  <cp:lastPrinted>2021-11-25T14:49:00Z</cp:lastPrinted>
  <dcterms:created xsi:type="dcterms:W3CDTF">2025-02-03T06:51:00Z</dcterms:created>
  <dcterms:modified xsi:type="dcterms:W3CDTF">2025-02-20T12:34:00Z</dcterms:modified>
</cp:coreProperties>
</file>