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776E8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205347036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205347036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 w:rsidRPr="006C27E6"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6AFB29E7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6C27E6">
        <w:rPr>
          <w:b/>
          <w:bCs/>
          <w:iCs w:val="0"/>
          <w:sz w:val="24"/>
          <w:szCs w:val="24"/>
        </w:rPr>
        <w:t xml:space="preserve">№ </w:t>
      </w:r>
      <w:r w:rsidR="00045F3B" w:rsidRPr="006C27E6">
        <w:rPr>
          <w:b/>
          <w:bCs/>
          <w:iCs w:val="0"/>
          <w:sz w:val="24"/>
          <w:szCs w:val="24"/>
        </w:rPr>
        <w:t>ПЗ</w:t>
      </w:r>
      <w:r w:rsidR="00B87AD3" w:rsidRPr="006C27E6">
        <w:rPr>
          <w:b/>
          <w:bCs/>
          <w:iCs w:val="0"/>
          <w:sz w:val="24"/>
          <w:szCs w:val="24"/>
        </w:rPr>
        <w:t>Н</w:t>
      </w:r>
      <w:r w:rsidR="00C55118" w:rsidRPr="006C27E6">
        <w:rPr>
          <w:b/>
          <w:bCs/>
          <w:sz w:val="24"/>
          <w:szCs w:val="24"/>
          <w:lang w:val="ru-RU"/>
        </w:rPr>
        <w:t>-55386</w:t>
      </w:r>
      <w:r w:rsidR="007B72F8" w:rsidRPr="006C27E6">
        <w:rPr>
          <w:b/>
          <w:bCs/>
          <w:iCs w:val="0"/>
          <w:sz w:val="24"/>
          <w:szCs w:val="24"/>
        </w:rPr>
        <w:t xml:space="preserve"> від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</w:t>
      </w:r>
      <w:r w:rsidR="00C55118" w:rsidRPr="00A7062F">
        <w:rPr>
          <w:b/>
          <w:bCs/>
          <w:sz w:val="24"/>
          <w:szCs w:val="24"/>
          <w:lang w:val="ru-RU"/>
        </w:rPr>
        <w:t>20.06.2023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263B6888" w:rsidR="00343979" w:rsidRPr="00694D51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 w:rsidRPr="00D90550">
        <w:rPr>
          <w:b/>
          <w:i/>
          <w:sz w:val="24"/>
          <w:szCs w:val="24"/>
        </w:rPr>
        <w:t xml:space="preserve">поновлення </w:t>
      </w:r>
      <w:r w:rsidR="00D90550" w:rsidRPr="00D90550">
        <w:rPr>
          <w:b/>
          <w:i/>
          <w:color w:val="auto"/>
          <w:sz w:val="24"/>
          <w:szCs w:val="24"/>
          <w:lang w:val="ru-RU" w:bidi="ar-SA"/>
        </w:rPr>
        <w:t>товариству з обмеженою відповідальністю</w:t>
      </w:r>
      <w:r w:rsidR="000B1E6A" w:rsidRPr="00D90550">
        <w:rPr>
          <w:b/>
          <w:i/>
          <w:color w:val="auto"/>
          <w:sz w:val="24"/>
          <w:szCs w:val="24"/>
          <w:lang w:val="ru-RU" w:bidi="ar-SA"/>
        </w:rPr>
        <w:t xml:space="preserve"> «ГУДОЛІ»</w:t>
      </w:r>
      <w:r w:rsidR="000B1E6A" w:rsidRPr="00D90550">
        <w:rPr>
          <w:color w:val="auto"/>
          <w:sz w:val="20"/>
          <w:szCs w:val="20"/>
          <w:lang w:bidi="ar-SA"/>
        </w:rPr>
        <w:t xml:space="preserve"> </w:t>
      </w:r>
      <w:r w:rsidRPr="00D90550">
        <w:rPr>
          <w:b/>
          <w:i/>
          <w:sz w:val="24"/>
          <w:szCs w:val="24"/>
        </w:rPr>
        <w:t>договору</w:t>
      </w:r>
      <w:r w:rsidRPr="00694D51">
        <w:rPr>
          <w:b/>
          <w:i/>
          <w:sz w:val="24"/>
          <w:szCs w:val="24"/>
        </w:rPr>
        <w:t xml:space="preserve"> оренди</w:t>
      </w:r>
      <w:r w:rsidR="000B1E6A" w:rsidRPr="000B1E6A">
        <w:rPr>
          <w:b/>
          <w:i/>
          <w:sz w:val="24"/>
          <w:szCs w:val="24"/>
        </w:rPr>
        <w:t xml:space="preserve"> земельної ділянки</w:t>
      </w:r>
      <w:r w:rsidRPr="000B1E6A">
        <w:rPr>
          <w:b/>
          <w:i/>
          <w:sz w:val="24"/>
          <w:szCs w:val="24"/>
        </w:rPr>
        <w:t xml:space="preserve"> </w:t>
      </w:r>
      <w:r w:rsidR="00B064DC">
        <w:rPr>
          <w:b/>
          <w:i/>
          <w:sz w:val="24"/>
          <w:szCs w:val="24"/>
        </w:rPr>
        <w:t xml:space="preserve">від </w:t>
      </w:r>
      <w:r w:rsidR="00D90550">
        <w:rPr>
          <w:b/>
          <w:i/>
          <w:iCs/>
          <w:sz w:val="24"/>
          <w:szCs w:val="24"/>
        </w:rPr>
        <w:t>01 лютого 2010 </w:t>
      </w:r>
      <w:r w:rsidR="00531BB2" w:rsidRPr="00B2685F">
        <w:rPr>
          <w:b/>
          <w:i/>
          <w:iCs/>
          <w:sz w:val="24"/>
          <w:szCs w:val="24"/>
        </w:rPr>
        <w:t>року № 63-6-00571</w:t>
      </w:r>
      <w:r w:rsidRPr="00B2685F">
        <w:rPr>
          <w:b/>
          <w:i/>
          <w:iCs/>
          <w:sz w:val="24"/>
          <w:szCs w:val="24"/>
        </w:rPr>
        <w:t xml:space="preserve"> </w:t>
      </w:r>
      <w:r w:rsidR="00D90550">
        <w:rPr>
          <w:b/>
          <w:i/>
          <w:iCs/>
          <w:sz w:val="24"/>
          <w:szCs w:val="24"/>
        </w:rPr>
        <w:t>(зі змінами)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029D32B8" w:rsidR="00E94376" w:rsidRPr="000B1E6A" w:rsidRDefault="00C55118" w:rsidP="00D90550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ТОВАРИСТВО З ОБМЕЖЕНОЮ ВІДПОВІДАЛЬНІСТЮ «ГУДОЛІ»</w:t>
            </w:r>
            <w:r w:rsidR="000B1E6A">
              <w:rPr>
                <w:i/>
                <w:sz w:val="24"/>
                <w:szCs w:val="24"/>
              </w:rPr>
              <w:t xml:space="preserve"> (</w:t>
            </w:r>
            <w:r w:rsidR="00FF0A55" w:rsidRPr="00D90550">
              <w:rPr>
                <w:i/>
                <w:sz w:val="24"/>
                <w:szCs w:val="24"/>
              </w:rPr>
              <w:t>ЄДРПОУ</w:t>
            </w:r>
            <w:r w:rsidR="002B5778" w:rsidRPr="00D90550">
              <w:rPr>
                <w:i/>
                <w:sz w:val="24"/>
                <w:szCs w:val="24"/>
              </w:rPr>
              <w:t xml:space="preserve"> </w:t>
            </w:r>
            <w:r w:rsidR="000B1E6A" w:rsidRPr="00A7062F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21590052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7A7303">
              <w:rPr>
                <w:i/>
                <w:color w:val="auto"/>
                <w:sz w:val="24"/>
                <w:szCs w:val="24"/>
                <w:lang w:bidi="ar-SA"/>
              </w:rPr>
              <w:t xml:space="preserve"> (далі – ТОВ «ГУДОЛІ»)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A7062F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A7062F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A7062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A7062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8ADC483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A7062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2543331E" w14:textId="77777777" w:rsidR="00D90550" w:rsidRPr="00D90550" w:rsidRDefault="00D90550" w:rsidP="00D90550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7A7303">
              <w:rPr>
                <w:rFonts w:ascii="Times New Roman" w:eastAsia="Times New Roman" w:hAnsi="Times New Roman" w:cs="Times New Roman"/>
                <w:b/>
                <w:bCs/>
                <w:i/>
              </w:rPr>
              <w:t>ЛИТВИНЕНКО СЕРГІЙ ВІКТОРОВИЧ</w:t>
            </w:r>
          </w:p>
          <w:p w14:paraId="1E0CCF7B" w14:textId="098C4C8C" w:rsidR="00D90550" w:rsidRPr="00D90550" w:rsidRDefault="00D90550" w:rsidP="00D9055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7A7303">
              <w:rPr>
                <w:rFonts w:ascii="Times New Roman" w:eastAsia="Times New Roman" w:hAnsi="Times New Roman" w:cs="Times New Roman"/>
                <w:b/>
                <w:bCs/>
                <w:i/>
              </w:rPr>
              <w:t>Адреса засновника:</w:t>
            </w:r>
            <w:r w:rsidRPr="00D90550">
              <w:rPr>
                <w:rFonts w:ascii="Times New Roman" w:eastAsia="Times New Roman" w:hAnsi="Times New Roman" w:cs="Times New Roman"/>
                <w:b/>
                <w:bCs/>
                <w:i/>
              </w:rPr>
              <w:t> Україна, 08318, Київська обл., Бориспільський р-н, село Мала Олександрівка, вул.Розкішна, будинок </w:t>
            </w:r>
            <w:hyperlink r:id="rId11" w:tooltip="Відкрити всі дані" w:history="1">
              <w:r w:rsidRPr="007A7303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2</w:t>
              </w:r>
            </w:hyperlink>
            <w:r w:rsidR="00430402"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</w:p>
          <w:p w14:paraId="6C806365" w14:textId="77777777" w:rsidR="00D90550" w:rsidRPr="00D90550" w:rsidRDefault="00D90550" w:rsidP="00D90550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7A7303">
              <w:rPr>
                <w:rFonts w:ascii="Times New Roman" w:eastAsia="Times New Roman" w:hAnsi="Times New Roman" w:cs="Times New Roman"/>
                <w:b/>
                <w:bCs/>
                <w:i/>
              </w:rPr>
              <w:t>Розмір внеску до статутного фонду:</w:t>
            </w:r>
            <w:r w:rsidRPr="00D90550">
              <w:rPr>
                <w:rFonts w:ascii="Times New Roman" w:eastAsia="Times New Roman" w:hAnsi="Times New Roman" w:cs="Times New Roman"/>
                <w:b/>
                <w:bCs/>
                <w:i/>
              </w:rPr>
              <w:t> 239 701,84 грн</w:t>
            </w:r>
          </w:p>
          <w:p w14:paraId="6643096C" w14:textId="1FC02744" w:rsidR="00E94376" w:rsidRPr="00EC18C7" w:rsidRDefault="00D90550" w:rsidP="00EC18C7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7A7303">
              <w:rPr>
                <w:rFonts w:ascii="Times New Roman" w:eastAsia="Times New Roman" w:hAnsi="Times New Roman" w:cs="Times New Roman"/>
                <w:b/>
                <w:bCs/>
                <w:i/>
              </w:rPr>
              <w:t>Частка (%):</w:t>
            </w:r>
            <w:r w:rsidRPr="00D90550">
              <w:rPr>
                <w:rFonts w:ascii="Times New Roman" w:eastAsia="Times New Roman" w:hAnsi="Times New Roman" w:cs="Times New Roman"/>
                <w:b/>
                <w:bCs/>
                <w:i/>
              </w:rPr>
              <w:t> 100,00</w:t>
            </w:r>
            <w:r w:rsidR="00430402"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7A89BD3E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2642BEB4" w14:textId="68444D5D" w:rsidR="00D90550" w:rsidRPr="007A7303" w:rsidRDefault="00D90550" w:rsidP="00D90550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bCs/>
                <w:i/>
                <w:color w:val="000000"/>
                <w:lang w:val="uk-UA" w:eastAsia="uk-UA" w:bidi="uk-UA"/>
              </w:rPr>
            </w:pPr>
            <w:r w:rsidRPr="007A7303">
              <w:rPr>
                <w:b/>
                <w:bCs/>
                <w:i/>
                <w:color w:val="000000"/>
                <w:lang w:val="uk-UA" w:eastAsia="uk-UA" w:bidi="uk-UA"/>
              </w:rPr>
              <w:t>ЛИТВИНЕНКО СЕРГІЙ ВІКТОРОВИЧ</w:t>
            </w:r>
            <w:r w:rsidRPr="007A7303">
              <w:rPr>
                <w:b/>
                <w:bCs/>
                <w:i/>
                <w:color w:val="000000"/>
                <w:lang w:val="uk-UA" w:eastAsia="uk-UA" w:bidi="uk-UA"/>
              </w:rPr>
              <w:br/>
              <w:t>Україна, 08318, Київська обл., Бориспільський р-н, село Мала Олександрівка, вул.</w:t>
            </w:r>
            <w:r w:rsidR="00430402">
              <w:rPr>
                <w:b/>
                <w:bCs/>
                <w:i/>
                <w:color w:val="000000"/>
                <w:lang w:val="uk-UA" w:eastAsia="uk-UA" w:bidi="uk-UA"/>
              </w:rPr>
              <w:t> </w:t>
            </w:r>
            <w:r w:rsidRPr="007A7303">
              <w:rPr>
                <w:b/>
                <w:bCs/>
                <w:i/>
                <w:color w:val="000000"/>
                <w:lang w:val="uk-UA" w:eastAsia="uk-UA" w:bidi="uk-UA"/>
              </w:rPr>
              <w:t>Розкішна, будинок </w:t>
            </w:r>
            <w:hyperlink r:id="rId12" w:tooltip="Відкрити всі дані" w:history="1">
              <w:r w:rsidRPr="007A7303">
                <w:rPr>
                  <w:b/>
                  <w:bCs/>
                  <w:i/>
                  <w:color w:val="000000"/>
                  <w:lang w:val="uk-UA" w:eastAsia="uk-UA" w:bidi="uk-UA"/>
                </w:rPr>
                <w:t>1</w:t>
              </w:r>
            </w:hyperlink>
            <w:r w:rsidR="00430402">
              <w:rPr>
                <w:b/>
                <w:bCs/>
                <w:i/>
                <w:color w:val="000000"/>
                <w:lang w:val="uk-UA" w:eastAsia="uk-UA" w:bidi="uk-UA"/>
              </w:rPr>
              <w:t>.</w:t>
            </w:r>
          </w:p>
          <w:p w14:paraId="699AB44A" w14:textId="77777777" w:rsidR="00D90550" w:rsidRPr="007A7303" w:rsidRDefault="00D90550" w:rsidP="00D90550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bCs/>
                <w:i/>
                <w:color w:val="000000"/>
                <w:lang w:val="uk-UA" w:eastAsia="uk-UA" w:bidi="uk-UA"/>
              </w:rPr>
            </w:pPr>
            <w:r w:rsidRPr="007A7303">
              <w:rPr>
                <w:b/>
                <w:bCs/>
                <w:i/>
                <w:color w:val="000000"/>
                <w:lang w:val="uk-UA" w:eastAsia="uk-UA" w:bidi="uk-UA"/>
              </w:rPr>
              <w:t>Тип бенефіціарного володіння: Прямий вирішальний вплив</w:t>
            </w:r>
          </w:p>
          <w:p w14:paraId="1C7A8B69" w14:textId="3430B22C" w:rsidR="00E94376" w:rsidRPr="00EC18C7" w:rsidRDefault="00D90550" w:rsidP="00EC18C7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bCs/>
                <w:i/>
                <w:color w:val="000000"/>
                <w:lang w:val="uk-UA" w:eastAsia="uk-UA" w:bidi="uk-UA"/>
              </w:rPr>
            </w:pPr>
            <w:r w:rsidRPr="007A7303">
              <w:rPr>
                <w:b/>
                <w:bCs/>
                <w:i/>
                <w:color w:val="000000"/>
                <w:lang w:val="uk-UA" w:eastAsia="uk-UA" w:bidi="uk-UA"/>
              </w:rPr>
              <w:t>Відсоток частки статутного капіталу в юридичній особі або відсоток права голосу в юридичній особі: 100</w:t>
            </w:r>
            <w:r w:rsidR="00430402">
              <w:rPr>
                <w:b/>
                <w:bCs/>
                <w:i/>
                <w:color w:val="000000"/>
                <w:lang w:val="uk-UA" w:eastAsia="uk-UA" w:bidi="uk-UA"/>
              </w:rPr>
              <w:t>.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EC18C7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11.05.2023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205347036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12DF27FC" w14:textId="08365006" w:rsidR="00617D3B" w:rsidRDefault="006A19DF" w:rsidP="006A19DF">
      <w:pPr>
        <w:pStyle w:val="a7"/>
        <w:shd w:val="clear" w:color="auto" w:fill="auto"/>
        <w:ind w:left="353" w:hanging="353"/>
        <w:rPr>
          <w:b w:val="0"/>
        </w:rPr>
      </w:pPr>
      <w:r>
        <w:rPr>
          <w:sz w:val="24"/>
          <w:szCs w:val="24"/>
        </w:rPr>
        <w:t>*</w:t>
      </w:r>
      <w:r w:rsidRPr="00037B84">
        <w:rPr>
          <w:b w:val="0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8000000000:90:002:0042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вул. Анни Ахматової, 25 у Дарницькому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A7062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0,2800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B74A01">
        <w:trPr>
          <w:trHeight w:val="363"/>
        </w:trPr>
        <w:tc>
          <w:tcPr>
            <w:tcW w:w="2972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387135B7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B74A01">
              <w:rPr>
                <w:b/>
                <w:i/>
                <w:sz w:val="24"/>
                <w:szCs w:val="24"/>
              </w:rPr>
              <w:t>5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531BE86" w:rsidR="006764C8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601212" w:rsidRPr="00D54C4A">
              <w:rPr>
                <w:i/>
                <w:sz w:val="24"/>
                <w:szCs w:val="24"/>
                <w:lang w:val="ru-RU"/>
              </w:rPr>
              <w:t>Код виду цільового 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18D97A0A" w:rsidR="006764C8" w:rsidRPr="00A7062F" w:rsidRDefault="00601212" w:rsidP="00102362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</w:rPr>
              <w:t xml:space="preserve">12.11. </w:t>
            </w:r>
            <w:r w:rsidR="00102362">
              <w:rPr>
                <w:b/>
                <w:i/>
                <w:sz w:val="24"/>
                <w:szCs w:val="24"/>
              </w:rPr>
              <w:t>д</w:t>
            </w:r>
            <w:r w:rsidR="00102362" w:rsidRPr="00102362">
              <w:rPr>
                <w:b/>
                <w:i/>
                <w:sz w:val="24"/>
                <w:szCs w:val="24"/>
              </w:rPr>
              <w:t xml:space="preserve">ля розміщення та експлуатації об’єктів дорожнього сервісу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C55118" w:rsidRPr="00A7062F">
              <w:rPr>
                <w:b/>
                <w:i/>
                <w:sz w:val="24"/>
                <w:szCs w:val="24"/>
              </w:rPr>
              <w:t>для будівництва, експлуатації та обслуговування тимчасової відкритої автостоянки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A7062F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0DCAEE6E" w14:textId="1E4395F0" w:rsidR="006D7E33" w:rsidRPr="00056A2A" w:rsidRDefault="00585C4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14 586 125 грн </w:t>
            </w:r>
            <w:r w:rsidRPr="00585C48">
              <w:rPr>
                <w:b/>
                <w:i/>
                <w:sz w:val="24"/>
                <w:szCs w:val="24"/>
                <w:shd w:val="clear" w:color="auto" w:fill="FFFFFF"/>
              </w:rPr>
              <w:t>58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коп.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617EC109" w14:textId="77777777" w:rsidR="00EC18C7" w:rsidRDefault="00EC18C7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70B2227B" w14:textId="77777777" w:rsidR="00EC18C7" w:rsidRDefault="00EC18C7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6501BD41" w14:textId="77777777" w:rsidR="00EC18C7" w:rsidRDefault="00EC18C7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0EFBEFF6" w14:textId="77777777" w:rsidR="00EC18C7" w:rsidRDefault="00EC18C7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49ECE38F" w14:textId="77777777" w:rsidR="00EC18C7" w:rsidRDefault="00EC18C7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7D6027EE" w14:textId="77777777" w:rsidR="00EC18C7" w:rsidRDefault="00EC18C7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6B2B7624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lastRenderedPageBreak/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2E3AF910" w14:textId="211EFCEF" w:rsidR="00FF0A55" w:rsidRPr="00AF21D3" w:rsidRDefault="00056A2A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AF21D3">
              <w:rPr>
                <w:b w:val="0"/>
                <w:i/>
                <w:sz w:val="24"/>
                <w:szCs w:val="24"/>
              </w:rPr>
              <w:t>Забудована</w:t>
            </w:r>
            <w:r w:rsidR="00184E7D" w:rsidRPr="00AF21D3">
              <w:rPr>
                <w:b w:val="0"/>
                <w:i/>
                <w:sz w:val="24"/>
                <w:szCs w:val="24"/>
              </w:rPr>
              <w:t>.</w:t>
            </w:r>
            <w:r w:rsidR="009C0C91" w:rsidRPr="00AF21D3">
              <w:rPr>
                <w:b w:val="0"/>
                <w:i/>
                <w:sz w:val="24"/>
                <w:szCs w:val="24"/>
              </w:rPr>
              <w:t xml:space="preserve"> </w:t>
            </w:r>
            <w:r w:rsidR="002B75A2" w:rsidRPr="00AF21D3">
              <w:rPr>
                <w:b w:val="0"/>
                <w:i/>
                <w:sz w:val="24"/>
                <w:szCs w:val="24"/>
              </w:rPr>
              <w:t>На земельній ділянці розміщується автомобільна стоянка, яка огороджена металевим парканом та будівля охорони. На території автостоянки</w:t>
            </w:r>
            <w:r w:rsidR="008A30CB" w:rsidRPr="00AF21D3">
              <w:rPr>
                <w:b w:val="0"/>
                <w:i/>
                <w:sz w:val="24"/>
                <w:szCs w:val="24"/>
              </w:rPr>
              <w:t xml:space="preserve"> розміщено</w:t>
            </w:r>
            <w:r w:rsidR="002B75A2" w:rsidRPr="00AF21D3">
              <w:rPr>
                <w:b w:val="0"/>
                <w:i/>
                <w:sz w:val="24"/>
                <w:szCs w:val="24"/>
              </w:rPr>
              <w:t xml:space="preserve"> три металеві магазини</w:t>
            </w:r>
            <w:r w:rsidR="008A30CB" w:rsidRPr="00AF21D3">
              <w:rPr>
                <w:b w:val="0"/>
                <w:i/>
                <w:sz w:val="24"/>
                <w:szCs w:val="24"/>
              </w:rPr>
              <w:t xml:space="preserve"> </w:t>
            </w:r>
            <w:r w:rsidR="00062A1D" w:rsidRPr="00AF21D3">
              <w:rPr>
                <w:b w:val="0"/>
                <w:i/>
                <w:sz w:val="24"/>
                <w:szCs w:val="24"/>
              </w:rPr>
              <w:t>(п</w:t>
            </w:r>
            <w:r w:rsidR="008A30CB" w:rsidRPr="00AF21D3">
              <w:rPr>
                <w:b w:val="0"/>
                <w:i/>
                <w:sz w:val="24"/>
                <w:szCs w:val="24"/>
              </w:rPr>
              <w:t xml:space="preserve">аспорти прив’язки тимчасових споруд </w:t>
            </w:r>
            <w:r w:rsidR="00ED34B9" w:rsidRPr="00AF21D3">
              <w:rPr>
                <w:b w:val="0"/>
                <w:i/>
                <w:sz w:val="24"/>
                <w:szCs w:val="24"/>
              </w:rPr>
              <w:t>№ 07340-ДА.10041.788, № 07341-ДА.10041.789, № 07</w:t>
            </w:r>
            <w:r w:rsidR="00062A1D" w:rsidRPr="00AF21D3">
              <w:rPr>
                <w:b w:val="0"/>
                <w:i/>
                <w:sz w:val="24"/>
                <w:szCs w:val="24"/>
              </w:rPr>
              <w:t>629</w:t>
            </w:r>
            <w:r w:rsidR="00ED34B9" w:rsidRPr="00AF21D3">
              <w:rPr>
                <w:b w:val="0"/>
                <w:i/>
                <w:sz w:val="24"/>
                <w:szCs w:val="24"/>
              </w:rPr>
              <w:t>-ДА.10041.</w:t>
            </w:r>
            <w:r w:rsidR="00062A1D" w:rsidRPr="00AF21D3">
              <w:rPr>
                <w:b w:val="0"/>
                <w:i/>
                <w:sz w:val="24"/>
                <w:szCs w:val="24"/>
              </w:rPr>
              <w:t>817)</w:t>
            </w:r>
            <w:r w:rsidR="002B75A2" w:rsidRPr="00AF21D3">
              <w:rPr>
                <w:b w:val="0"/>
                <w:i/>
                <w:sz w:val="24"/>
                <w:szCs w:val="24"/>
              </w:rPr>
              <w:t xml:space="preserve"> </w:t>
            </w:r>
            <w:r w:rsidR="00FF0A55" w:rsidRPr="00AF21D3">
              <w:rPr>
                <w:b w:val="0"/>
                <w:i/>
                <w:sz w:val="24"/>
                <w:szCs w:val="24"/>
                <w:lang w:val="ru-RU"/>
              </w:rPr>
              <w:t>(акт обстеження від</w:t>
            </w:r>
            <w:r w:rsidR="001646C0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2B75A2" w:rsidRPr="00AF21D3">
              <w:rPr>
                <w:b w:val="0"/>
                <w:i/>
                <w:sz w:val="24"/>
                <w:szCs w:val="24"/>
                <w:lang w:val="ru-RU"/>
              </w:rPr>
              <w:t xml:space="preserve">14.06.2023 </w:t>
            </w:r>
            <w:r w:rsidR="00FF0A55" w:rsidRPr="00AF21D3">
              <w:rPr>
                <w:b w:val="0"/>
                <w:i/>
                <w:sz w:val="24"/>
                <w:szCs w:val="24"/>
                <w:lang w:val="ru-RU"/>
              </w:rPr>
              <w:t>№</w:t>
            </w:r>
            <w:r w:rsidR="002B75A2" w:rsidRPr="00AF21D3">
              <w:rPr>
                <w:b w:val="0"/>
                <w:i/>
                <w:sz w:val="24"/>
                <w:szCs w:val="24"/>
                <w:lang w:val="ru-RU"/>
              </w:rPr>
              <w:t> ДК/113-АО/2023</w:t>
            </w:r>
            <w:r w:rsidR="00FF0A55" w:rsidRPr="00AF21D3">
              <w:rPr>
                <w:b w:val="0"/>
                <w:i/>
                <w:sz w:val="24"/>
                <w:szCs w:val="24"/>
                <w:lang w:val="ru-RU"/>
              </w:rPr>
              <w:t>).</w:t>
            </w:r>
          </w:p>
          <w:p w14:paraId="506E57A9" w14:textId="197E3DF6" w:rsidR="00823CCF" w:rsidRPr="00AF21D3" w:rsidRDefault="00603291" w:rsidP="009C0C9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F21D3">
              <w:rPr>
                <w:b w:val="0"/>
                <w:i/>
                <w:sz w:val="24"/>
                <w:szCs w:val="24"/>
              </w:rPr>
              <w:t>Відповідно до відомостей Державного реєстру речових прав на нерухоме майно</w:t>
            </w:r>
            <w:r w:rsidR="009C0C91" w:rsidRPr="00AF21D3">
              <w:rPr>
                <w:b w:val="0"/>
                <w:i/>
                <w:sz w:val="24"/>
                <w:szCs w:val="24"/>
              </w:rPr>
              <w:t xml:space="preserve"> ТОВ «ГУДОЛІ» належить</w:t>
            </w:r>
            <w:r w:rsidR="00FC7A92" w:rsidRPr="00AF21D3">
              <w:rPr>
                <w:b w:val="0"/>
                <w:i/>
                <w:sz w:val="24"/>
                <w:szCs w:val="24"/>
              </w:rPr>
              <w:t xml:space="preserve"> </w:t>
            </w:r>
            <w:r w:rsidR="009C0C91" w:rsidRPr="00AF21D3">
              <w:rPr>
                <w:b w:val="0"/>
                <w:i/>
                <w:sz w:val="24"/>
                <w:szCs w:val="24"/>
              </w:rPr>
              <w:t xml:space="preserve">нежитлова будівля (літера «А») </w:t>
            </w:r>
            <w:r w:rsidRPr="00AF21D3">
              <w:rPr>
                <w:b w:val="0"/>
                <w:i/>
                <w:sz w:val="24"/>
                <w:szCs w:val="24"/>
              </w:rPr>
              <w:t xml:space="preserve">загальною площею </w:t>
            </w:r>
            <w:r w:rsidR="009C0C91" w:rsidRPr="00AF21D3">
              <w:rPr>
                <w:b w:val="0"/>
                <w:i/>
                <w:sz w:val="24"/>
                <w:szCs w:val="24"/>
              </w:rPr>
              <w:t>20,5</w:t>
            </w:r>
            <w:r w:rsidRPr="00AF21D3">
              <w:rPr>
                <w:b w:val="0"/>
                <w:i/>
                <w:sz w:val="24"/>
                <w:szCs w:val="24"/>
              </w:rPr>
              <w:t xml:space="preserve"> кв.м (реєстраційний номер об’єкта нерухомого майна </w:t>
            </w:r>
            <w:r w:rsidR="009C0C91" w:rsidRPr="00AF21D3">
              <w:rPr>
                <w:b w:val="0"/>
                <w:i/>
                <w:sz w:val="24"/>
                <w:szCs w:val="24"/>
              </w:rPr>
              <w:t>670192480000</w:t>
            </w:r>
            <w:r w:rsidRPr="00AF21D3">
              <w:rPr>
                <w:b w:val="0"/>
                <w:i/>
                <w:sz w:val="24"/>
                <w:szCs w:val="24"/>
              </w:rPr>
              <w:t xml:space="preserve">, запис про право власності від </w:t>
            </w:r>
            <w:r w:rsidR="009C0C91" w:rsidRPr="00AF21D3">
              <w:rPr>
                <w:b w:val="0"/>
                <w:i/>
                <w:sz w:val="24"/>
                <w:szCs w:val="24"/>
              </w:rPr>
              <w:t xml:space="preserve">11.06.2015 </w:t>
            </w:r>
            <w:r w:rsidRPr="00AF21D3">
              <w:rPr>
                <w:b w:val="0"/>
                <w:i/>
                <w:sz w:val="24"/>
                <w:szCs w:val="24"/>
              </w:rPr>
              <w:t xml:space="preserve"> №</w:t>
            </w:r>
            <w:r w:rsidR="009C0C91" w:rsidRPr="00AF21D3">
              <w:rPr>
                <w:b w:val="0"/>
                <w:i/>
                <w:sz w:val="24"/>
                <w:szCs w:val="24"/>
              </w:rPr>
              <w:t> 10239847</w:t>
            </w:r>
            <w:r w:rsidRPr="00AF21D3">
              <w:rPr>
                <w:b w:val="0"/>
                <w:i/>
                <w:sz w:val="24"/>
                <w:szCs w:val="24"/>
              </w:rPr>
              <w:t>).</w:t>
            </w:r>
          </w:p>
        </w:tc>
      </w:tr>
      <w:tr w:rsidR="00823CCF" w:rsidRPr="00037B84" w14:paraId="411B143D" w14:textId="77777777" w:rsidTr="00AF21D3">
        <w:trPr>
          <w:cantSplit/>
          <w:trHeight w:val="393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4B8931BE" w:rsidR="00823CCF" w:rsidRPr="00AF21D3" w:rsidRDefault="0018193A" w:rsidP="00586F9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F21D3">
              <w:rPr>
                <w:b w:val="0"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78AEB59A" w14:textId="77777777" w:rsidR="00586F9B" w:rsidRPr="00AF21D3" w:rsidRDefault="00E5752E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F21D3">
              <w:rPr>
                <w:b w:val="0"/>
                <w:i/>
                <w:sz w:val="24"/>
                <w:szCs w:val="24"/>
              </w:rPr>
              <w:t>Т</w:t>
            </w:r>
            <w:r w:rsidR="0018193A" w:rsidRPr="00AF21D3">
              <w:rPr>
                <w:b w:val="0"/>
                <w:i/>
                <w:sz w:val="24"/>
                <w:szCs w:val="24"/>
              </w:rPr>
              <w:t>ериторі</w:t>
            </w:r>
            <w:r w:rsidRPr="00AF21D3">
              <w:rPr>
                <w:b w:val="0"/>
                <w:i/>
                <w:sz w:val="24"/>
                <w:szCs w:val="24"/>
              </w:rPr>
              <w:t>я</w:t>
            </w:r>
            <w:r w:rsidR="00586F9B" w:rsidRPr="00AF21D3">
              <w:rPr>
                <w:b w:val="0"/>
                <w:i/>
                <w:sz w:val="24"/>
                <w:szCs w:val="24"/>
              </w:rPr>
              <w:t xml:space="preserve"> частково:</w:t>
            </w:r>
          </w:p>
          <w:p w14:paraId="32799061" w14:textId="77777777" w:rsidR="00823CCF" w:rsidRPr="00AF21D3" w:rsidRDefault="00586F9B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F21D3">
              <w:rPr>
                <w:b w:val="0"/>
                <w:i/>
                <w:sz w:val="24"/>
                <w:szCs w:val="24"/>
              </w:rPr>
              <w:t>- житлової забудови багатоповерхової (існуючі);</w:t>
            </w:r>
          </w:p>
          <w:p w14:paraId="49BF4673" w14:textId="0EFC29E8" w:rsidR="00586F9B" w:rsidRPr="00AF21D3" w:rsidRDefault="00586F9B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F21D3">
              <w:rPr>
                <w:b w:val="0"/>
                <w:i/>
                <w:sz w:val="24"/>
                <w:szCs w:val="24"/>
              </w:rPr>
              <w:t>- вулиць та доріг.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586F9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118C5FB" w14:textId="24325902" w:rsidR="006A19DF" w:rsidRPr="00AF21D3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F21D3">
              <w:rPr>
                <w:b w:val="0"/>
                <w:i/>
                <w:sz w:val="24"/>
                <w:szCs w:val="24"/>
              </w:rPr>
              <w:t xml:space="preserve">Земельна ділянка </w:t>
            </w:r>
            <w:r w:rsidR="00532056" w:rsidRPr="00AF21D3">
              <w:rPr>
                <w:b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AF21D3">
              <w:rPr>
                <w:b w:val="0"/>
                <w:i/>
                <w:sz w:val="24"/>
                <w:szCs w:val="24"/>
              </w:rPr>
              <w:t>перебуває у комунальній власності територіальної громади міста Києва.</w:t>
            </w:r>
          </w:p>
          <w:p w14:paraId="0EC5BAC8" w14:textId="06464019" w:rsidR="00823CCF" w:rsidRPr="00AF21D3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F21D3">
              <w:rPr>
                <w:b w:val="0"/>
                <w:i/>
                <w:sz w:val="24"/>
                <w:szCs w:val="24"/>
              </w:rPr>
              <w:t>Згідно з відомостями Д</w:t>
            </w:r>
            <w:r w:rsidR="003F4C80" w:rsidRPr="00AF21D3">
              <w:rPr>
                <w:b w:val="0"/>
                <w:i/>
                <w:sz w:val="24"/>
                <w:szCs w:val="24"/>
              </w:rPr>
              <w:t>ержавного земельного кадастру</w:t>
            </w:r>
            <w:r w:rsidRPr="00AF21D3">
              <w:rPr>
                <w:b w:val="0"/>
                <w:i/>
                <w:sz w:val="24"/>
                <w:szCs w:val="24"/>
              </w:rPr>
              <w:t xml:space="preserve">: категорія земель - </w:t>
            </w:r>
            <w:r w:rsidRPr="00AF21D3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 промисловості, транспорту, електронних комунікацій, енергетики, оборони та іншого призначення</w:t>
            </w:r>
            <w:r w:rsidRPr="00AF21D3">
              <w:rPr>
                <w:b w:val="0"/>
                <w:i/>
                <w:sz w:val="24"/>
                <w:szCs w:val="24"/>
              </w:rPr>
              <w:t xml:space="preserve">, </w:t>
            </w:r>
            <w:r w:rsidR="00564A02" w:rsidRPr="00AF21D3">
              <w:rPr>
                <w:b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AF21D3">
              <w:rPr>
                <w:b w:val="0"/>
                <w:i/>
                <w:sz w:val="24"/>
                <w:szCs w:val="24"/>
              </w:rPr>
              <w:t>-</w:t>
            </w:r>
            <w:r w:rsidRPr="00AF21D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AF21D3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12.11</w:t>
            </w:r>
            <w:r w:rsidRPr="00AF21D3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78446A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8446A" w:rsidRDefault="0078446A" w:rsidP="0078446A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78446A" w:rsidRPr="00037B84" w:rsidRDefault="0078446A" w:rsidP="0078446A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43555F98" w:rsidR="0078446A" w:rsidRPr="00907FF6" w:rsidRDefault="0078446A" w:rsidP="007844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D54C4A">
              <w:rPr>
                <w:rFonts w:ascii="Times New Roman" w:eastAsia="Times New Roman" w:hAnsi="Times New Roman" w:cs="Times New Roman"/>
                <w:bCs/>
                <w:i/>
              </w:rPr>
              <w:t>Не відноситься до територій зелених насаджень загального користування, визначених рішенням Київської міської ради                    від 08.07.2021 № 1583/1624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9638B2" w:rsidRPr="00037B84" w14:paraId="53FF2651" w14:textId="77777777" w:rsidTr="00430CA4">
        <w:trPr>
          <w:cantSplit/>
          <w:trHeight w:val="1413"/>
        </w:trPr>
        <w:tc>
          <w:tcPr>
            <w:tcW w:w="2972" w:type="dxa"/>
          </w:tcPr>
          <w:p w14:paraId="1D909032" w14:textId="5A6FB03A" w:rsidR="009638B2" w:rsidRPr="002F2D3F" w:rsidRDefault="009638B2" w:rsidP="0078446A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2EC5D0A0" w14:textId="77777777" w:rsidR="009638B2" w:rsidRPr="005054AB" w:rsidRDefault="009638B2" w:rsidP="009638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5054AB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Земельна ділянка відповідно до рішення Київської міської ради від 22.01.2009 № 41/1096 надана в оренду </w:t>
            </w:r>
            <w:r w:rsidRPr="005054AB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ПП «ГУДОЛІ»</w:t>
            </w:r>
            <w:r w:rsidRPr="005054AB">
              <w:rPr>
                <w:rFonts w:ascii="Times New Roman" w:hAnsi="Times New Roman" w:cs="Times New Roman"/>
                <w:i/>
              </w:rPr>
              <w:t xml:space="preserve"> </w:t>
            </w:r>
            <w:r w:rsidRPr="005054AB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для будівництва, експлуатації та обслуговування тимчасової відкритої автостоянки (договір оренди від 01.02.2010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     </w:t>
            </w:r>
            <w:r w:rsidRPr="005054AB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 </w:t>
            </w:r>
            <w:r w:rsidRPr="005054AB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63-6-00571).</w:t>
            </w:r>
          </w:p>
          <w:p w14:paraId="75E15653" w14:textId="77777777" w:rsidR="009638B2" w:rsidRPr="005054AB" w:rsidRDefault="009638B2" w:rsidP="009638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5054AB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Постійною комісією Київської міської ради з питань містобудування, архітектури та землекористування на засіданні від 18.07.2017 (протокол №16) вирішено поновити договір на 5 років (договір про поновлення та внесення змін від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 </w:t>
            </w:r>
            <w:r w:rsidRPr="005054AB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03.07.2018 № 757).</w:t>
            </w:r>
          </w:p>
          <w:p w14:paraId="60B9A3F0" w14:textId="77777777" w:rsidR="009638B2" w:rsidRPr="005054AB" w:rsidRDefault="009638B2" w:rsidP="009638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5054AB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Термін оренди за договором до</w:t>
            </w:r>
            <w:r w:rsidRPr="005054AB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 xml:space="preserve"> 03.07.2023</w:t>
            </w:r>
            <w:r w:rsidRPr="005054AB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4CD31CB5" w14:textId="77777777" w:rsidR="009638B2" w:rsidRPr="00C91423" w:rsidRDefault="009638B2" w:rsidP="009638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</w:p>
          <w:p w14:paraId="5A012285" w14:textId="77777777" w:rsidR="009638B2" w:rsidRPr="00D54C4A" w:rsidRDefault="009638B2" w:rsidP="009638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D54C4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Згідно з довідкою ГУ ДПС у м. Києві від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10.05</w:t>
            </w:r>
            <w:r w:rsidRPr="00D54C4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.2023                                 №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16429/АП/26-15-51-06-06 </w:t>
            </w:r>
            <w:r w:rsidRPr="00D54C4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станом на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10.05</w:t>
            </w:r>
            <w:r w:rsidRPr="00D54C4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.2023 за </w:t>
            </w:r>
            <w:r w:rsidRPr="00D54C4A"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>ОВ </w:t>
            </w:r>
            <w:r w:rsidRPr="00AA2229"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>«ГУДОЛІ»</w:t>
            </w:r>
            <w:r w:rsidRPr="00D54C4A"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 xml:space="preserve"> </w:t>
            </w:r>
            <w:r w:rsidRPr="00D54C4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податковий борг не обліковується.</w:t>
            </w:r>
          </w:p>
          <w:p w14:paraId="78962F31" w14:textId="77777777" w:rsidR="009638B2" w:rsidRDefault="009638B2" w:rsidP="009638B2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4DF891D3" w14:textId="77777777" w:rsidR="009638B2" w:rsidRPr="00D54C4A" w:rsidRDefault="009638B2" w:rsidP="0078446A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78446A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3BFC55AD" w:rsidR="0078446A" w:rsidRPr="00037B84" w:rsidRDefault="0078446A" w:rsidP="009638B2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662" w:type="dxa"/>
          </w:tcPr>
          <w:p w14:paraId="374540F4" w14:textId="75D17CED" w:rsidR="00306871" w:rsidRDefault="00306871" w:rsidP="00306871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2D2B23">
              <w:rPr>
                <w:rFonts w:ascii="Times New Roman" w:hAnsi="Times New Roman" w:cs="Times New Roman"/>
                <w:i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поновлення (відмову в поновленні) договорів оренди землі, оскільки відповідно до положень Закону України «Про оренду землі»,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6D9A322" w14:textId="77777777" w:rsidR="00306871" w:rsidRPr="002D2B23" w:rsidRDefault="00306871" w:rsidP="00306871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16544F08" w14:textId="77777777" w:rsidR="00306871" w:rsidRDefault="00306871" w:rsidP="00306871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2D2B23">
              <w:rPr>
                <w:rFonts w:ascii="Times New Roman" w:hAnsi="Times New Roman" w:cs="Times New Roman"/>
                <w:i/>
                <w:color w:val="auto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3B68AD2A" w14:textId="77777777" w:rsidR="00306871" w:rsidRPr="002D2B23" w:rsidRDefault="00306871" w:rsidP="00306871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381CEF3E" w14:textId="39C7F422" w:rsidR="0078446A" w:rsidRPr="002D6E0D" w:rsidRDefault="00306871" w:rsidP="00306871">
            <w:pPr>
              <w:jc w:val="both"/>
            </w:pPr>
            <w:r w:rsidRPr="00F86583">
              <w:rPr>
                <w:rFonts w:ascii="Times New Roman" w:hAnsi="Times New Roman" w:cs="Times New Roman"/>
                <w:i/>
              </w:rPr>
              <w:t xml:space="preserve">Зважаючи на </w:t>
            </w:r>
            <w:r>
              <w:rPr>
                <w:rFonts w:ascii="Times New Roman" w:hAnsi="Times New Roman" w:cs="Times New Roman"/>
                <w:i/>
              </w:rPr>
              <w:t xml:space="preserve">вказане </w:t>
            </w:r>
            <w:r w:rsidRPr="00F86583">
              <w:rPr>
                <w:rFonts w:ascii="Times New Roman" w:hAnsi="Times New Roman" w:cs="Times New Roman"/>
                <w:i/>
              </w:rPr>
              <w:t xml:space="preserve">Департаментом земельних ресурсів </w:t>
            </w:r>
            <w:r>
              <w:rPr>
                <w:rFonts w:ascii="Times New Roman" w:hAnsi="Times New Roman" w:cs="Times New Roman"/>
                <w:i/>
              </w:rPr>
              <w:t xml:space="preserve">направляється </w:t>
            </w:r>
            <w:r w:rsidRPr="00F86583">
              <w:rPr>
                <w:rFonts w:ascii="Times New Roman" w:hAnsi="Times New Roman" w:cs="Times New Roman"/>
                <w:i/>
              </w:rPr>
              <w:t>до Київсько</w:t>
            </w:r>
            <w:r>
              <w:rPr>
                <w:rFonts w:ascii="Times New Roman" w:hAnsi="Times New Roman" w:cs="Times New Roman"/>
                <w:i/>
              </w:rPr>
              <w:t>ї</w:t>
            </w:r>
            <w:r w:rsidRPr="00F86583">
              <w:rPr>
                <w:rFonts w:ascii="Times New Roman" w:hAnsi="Times New Roman" w:cs="Times New Roman"/>
                <w:i/>
              </w:rPr>
              <w:t xml:space="preserve"> місько</w:t>
            </w:r>
            <w:r>
              <w:rPr>
                <w:rFonts w:ascii="Times New Roman" w:hAnsi="Times New Roman" w:cs="Times New Roman"/>
                <w:i/>
              </w:rPr>
              <w:t>ї</w:t>
            </w:r>
            <w:r w:rsidRPr="00F86583">
              <w:rPr>
                <w:rFonts w:ascii="Times New Roman" w:hAnsi="Times New Roman" w:cs="Times New Roman"/>
                <w:i/>
              </w:rPr>
              <w:t xml:space="preserve"> рад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F8658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цей </w:t>
            </w:r>
            <w:r w:rsidRPr="00F86583">
              <w:rPr>
                <w:rFonts w:ascii="Times New Roman" w:hAnsi="Times New Roman" w:cs="Times New Roman"/>
                <w:i/>
              </w:rPr>
              <w:t xml:space="preserve">проєкт рішення </w:t>
            </w:r>
            <w:r>
              <w:rPr>
                <w:rFonts w:ascii="Times New Roman" w:hAnsi="Times New Roman" w:cs="Times New Roman"/>
                <w:i/>
              </w:rPr>
              <w:t xml:space="preserve">для подальшого розгляду </w:t>
            </w:r>
            <w:r w:rsidRPr="00F86583">
              <w:rPr>
                <w:rFonts w:ascii="Times New Roman" w:hAnsi="Times New Roman" w:cs="Times New Roman"/>
                <w:i/>
              </w:rPr>
              <w:t>відповідно до її Регламенту.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11B62FF3" w:rsidR="006A19DF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225909">
        <w:rPr>
          <w:i w:val="0"/>
          <w:sz w:val="24"/>
          <w:szCs w:val="24"/>
        </w:rPr>
        <w:t xml:space="preserve">Загальні засади та порядок </w:t>
      </w:r>
      <w:r>
        <w:rPr>
          <w:i w:val="0"/>
          <w:sz w:val="24"/>
          <w:szCs w:val="24"/>
        </w:rPr>
        <w:t>поновлення</w:t>
      </w:r>
      <w:r w:rsidRPr="00225909">
        <w:rPr>
          <w:i w:val="0"/>
          <w:sz w:val="24"/>
          <w:szCs w:val="24"/>
        </w:rPr>
        <w:t xml:space="preserve"> договорів оренди земельних ділянок</w:t>
      </w:r>
      <w:r w:rsidRPr="008B6D56">
        <w:rPr>
          <w:i w:val="0"/>
          <w:sz w:val="24"/>
          <w:szCs w:val="24"/>
        </w:rPr>
        <w:t xml:space="preserve"> (шляхом укладення договор</w:t>
      </w:r>
      <w:r>
        <w:rPr>
          <w:i w:val="0"/>
          <w:sz w:val="24"/>
          <w:szCs w:val="24"/>
        </w:rPr>
        <w:t>ів</w:t>
      </w:r>
      <w:r w:rsidRPr="008B6D56">
        <w:rPr>
          <w:i w:val="0"/>
          <w:sz w:val="24"/>
          <w:szCs w:val="24"/>
        </w:rPr>
        <w:t xml:space="preserve"> на новий строк)</w:t>
      </w:r>
      <w:r w:rsidRPr="00C92F50">
        <w:rPr>
          <w:i w:val="0"/>
          <w:sz w:val="24"/>
          <w:szCs w:val="24"/>
        </w:rPr>
        <w:t xml:space="preserve"> </w:t>
      </w:r>
      <w:r w:rsidRPr="00225909">
        <w:rPr>
          <w:i w:val="0"/>
          <w:sz w:val="24"/>
          <w:szCs w:val="24"/>
        </w:rPr>
        <w:t xml:space="preserve">визначено </w:t>
      </w:r>
      <w:r>
        <w:rPr>
          <w:i w:val="0"/>
          <w:sz w:val="24"/>
          <w:szCs w:val="24"/>
        </w:rPr>
        <w:t xml:space="preserve">абзацами третім та четвертим розділу </w:t>
      </w:r>
      <w:r>
        <w:rPr>
          <w:i w:val="0"/>
          <w:sz w:val="24"/>
          <w:szCs w:val="24"/>
          <w:lang w:val="en-US"/>
        </w:rPr>
        <w:t>IX</w:t>
      </w:r>
      <w:r w:rsidRPr="00C35EB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«Перехідні положення» </w:t>
      </w:r>
      <w:r w:rsidRPr="00225909">
        <w:rPr>
          <w:i w:val="0"/>
          <w:sz w:val="24"/>
          <w:szCs w:val="24"/>
        </w:rPr>
        <w:t>Закон</w:t>
      </w:r>
      <w:r>
        <w:rPr>
          <w:i w:val="0"/>
          <w:sz w:val="24"/>
          <w:szCs w:val="24"/>
        </w:rPr>
        <w:t>у</w:t>
      </w:r>
      <w:r w:rsidRPr="00225909">
        <w:rPr>
          <w:i w:val="0"/>
          <w:sz w:val="24"/>
          <w:szCs w:val="24"/>
        </w:rPr>
        <w:t xml:space="preserve"> України «Про оренду землі» </w:t>
      </w:r>
      <w:r>
        <w:rPr>
          <w:i w:val="0"/>
          <w:sz w:val="24"/>
          <w:szCs w:val="24"/>
        </w:rPr>
        <w:t>і</w:t>
      </w:r>
      <w:r w:rsidRPr="00225909">
        <w:rPr>
          <w:i w:val="0"/>
          <w:sz w:val="24"/>
          <w:szCs w:val="24"/>
        </w:rPr>
        <w:t xml:space="preserve"> Порядком набуття прав на землю із земель комунальної власності у місті Києві, затвер</w:t>
      </w:r>
      <w:r>
        <w:rPr>
          <w:i w:val="0"/>
          <w:sz w:val="24"/>
          <w:szCs w:val="24"/>
        </w:rPr>
        <w:t>дженим рішенням Київської міської ради від 20.04.2017 № </w:t>
      </w:r>
      <w:r w:rsidRPr="00225909">
        <w:rPr>
          <w:i w:val="0"/>
          <w:sz w:val="24"/>
          <w:szCs w:val="24"/>
        </w:rPr>
        <w:t>241/2463</w:t>
      </w:r>
      <w:r>
        <w:rPr>
          <w:i w:val="0"/>
          <w:sz w:val="24"/>
          <w:szCs w:val="24"/>
        </w:rPr>
        <w:t>.</w:t>
      </w:r>
    </w:p>
    <w:p w14:paraId="5636980B" w14:textId="20ABCDD9" w:rsidR="00061CD4" w:rsidRDefault="00061CD4" w:rsidP="003C292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r>
        <w:rPr>
          <w:i w:val="0"/>
          <w:sz w:val="24"/>
          <w:szCs w:val="24"/>
        </w:rPr>
        <w:t>Про</w:t>
      </w:r>
      <w:r w:rsidR="00D56DC2">
        <w:rPr>
          <w:i w:val="0"/>
          <w:sz w:val="24"/>
          <w:szCs w:val="24"/>
        </w:rPr>
        <w:t>є</w:t>
      </w:r>
      <w:r>
        <w:rPr>
          <w:i w:val="0"/>
          <w:sz w:val="24"/>
          <w:szCs w:val="24"/>
        </w:rPr>
        <w:t>кт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4C69672E" w14:textId="77777777" w:rsidR="003C2921" w:rsidRPr="00E8544C" w:rsidRDefault="003C2921" w:rsidP="003C2921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r w:rsidRPr="00E8544C">
        <w:rPr>
          <w:rFonts w:ascii="Times New Roman" w:eastAsia="Times New Roman" w:hAnsi="Times New Roman" w:cs="Times New Roman"/>
          <w:iCs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1D926750" w:rsidR="006A19DF" w:rsidRPr="006D7E33" w:rsidRDefault="009638B2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 w:rsidRPr="00906875">
        <w:rPr>
          <w:bCs/>
          <w:i w:val="0"/>
          <w:sz w:val="24"/>
          <w:szCs w:val="24"/>
          <w:bdr w:val="none" w:sz="0" w:space="0" w:color="auto" w:frame="1"/>
        </w:rPr>
        <w:t xml:space="preserve">Відповідно до Податкового кодексу України та рішення Київської міської ради                            від 08.12.2022 № 5828/5869 «Про </w:t>
      </w:r>
      <w:r>
        <w:rPr>
          <w:bCs/>
          <w:i w:val="0"/>
          <w:sz w:val="24"/>
          <w:szCs w:val="24"/>
          <w:bdr w:val="none" w:sz="0" w:space="0" w:color="auto" w:frame="1"/>
        </w:rPr>
        <w:t>бюджет міста Києва на 2023 рік»</w:t>
      </w:r>
      <w:r w:rsidRPr="002F2D3F">
        <w:rPr>
          <w:i w:val="0"/>
          <w:sz w:val="24"/>
          <w:szCs w:val="24"/>
        </w:rPr>
        <w:t xml:space="preserve"> 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 w:rsidR="006A19DF">
        <w:rPr>
          <w:i w:val="0"/>
          <w:sz w:val="24"/>
          <w:szCs w:val="24"/>
        </w:rPr>
        <w:t xml:space="preserve">: </w:t>
      </w:r>
      <w:r w:rsidR="006A19DF" w:rsidRPr="009C1880">
        <w:rPr>
          <w:b/>
          <w:sz w:val="24"/>
          <w:szCs w:val="24"/>
          <w:shd w:val="clear" w:color="auto" w:fill="FFFFFF"/>
        </w:rPr>
        <w:t xml:space="preserve"> </w:t>
      </w:r>
      <w:r w:rsidR="00F0122A">
        <w:rPr>
          <w:b/>
          <w:sz w:val="24"/>
          <w:szCs w:val="24"/>
          <w:shd w:val="clear" w:color="auto" w:fill="FFFFFF"/>
        </w:rPr>
        <w:t>583 445</w:t>
      </w:r>
      <w:r w:rsidR="006A19DF">
        <w:rPr>
          <w:b/>
          <w:sz w:val="24"/>
          <w:szCs w:val="24"/>
          <w:shd w:val="clear" w:color="auto" w:fill="FFFFFF"/>
        </w:rPr>
        <w:t xml:space="preserve"> грн</w:t>
      </w:r>
      <w:r w:rsidR="00F0122A" w:rsidRPr="00F0122A">
        <w:rPr>
          <w:b/>
          <w:sz w:val="24"/>
          <w:szCs w:val="24"/>
          <w:shd w:val="clear" w:color="auto" w:fill="FFFFFF"/>
        </w:rPr>
        <w:t xml:space="preserve"> 02</w:t>
      </w:r>
      <w:r w:rsidR="00F0122A">
        <w:rPr>
          <w:b/>
          <w:sz w:val="24"/>
          <w:szCs w:val="24"/>
          <w:shd w:val="clear" w:color="auto" w:fill="FFFFFF"/>
        </w:rPr>
        <w:t> коп (</w:t>
      </w:r>
      <w:r>
        <w:rPr>
          <w:b/>
          <w:sz w:val="24"/>
          <w:szCs w:val="24"/>
          <w:shd w:val="clear" w:color="auto" w:fill="FFFFFF"/>
        </w:rPr>
        <w:t>4%)</w:t>
      </w:r>
      <w:r w:rsidR="00F0122A">
        <w:rPr>
          <w:b/>
          <w:sz w:val="24"/>
          <w:szCs w:val="24"/>
          <w:shd w:val="clear" w:color="auto" w:fill="FFFFFF"/>
        </w:rPr>
        <w:t>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67316696" w:rsidR="006A19DF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</w:t>
      </w:r>
      <w:r w:rsidRPr="0021081C">
        <w:rPr>
          <w:i w:val="0"/>
          <w:sz w:val="24"/>
          <w:szCs w:val="24"/>
        </w:rPr>
        <w:t>ділянкою.</w:t>
      </w:r>
    </w:p>
    <w:p w14:paraId="7D9320DA" w14:textId="77777777" w:rsidR="00E8544C" w:rsidRPr="00037B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A7062F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3"/>
      <w:footerReference w:type="default" r:id="rId14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E7553" w14:textId="77777777" w:rsidR="00606B93" w:rsidRDefault="00606B93">
      <w:r>
        <w:separator/>
      </w:r>
    </w:p>
  </w:endnote>
  <w:endnote w:type="continuationSeparator" w:id="0">
    <w:p w14:paraId="5A5BD927" w14:textId="77777777" w:rsidR="00606B93" w:rsidRDefault="0060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4A775" w14:textId="77777777" w:rsidR="00606B93" w:rsidRDefault="00606B93"/>
  </w:footnote>
  <w:footnote w:type="continuationSeparator" w:id="0">
    <w:p w14:paraId="5E16E932" w14:textId="77777777" w:rsidR="00606B93" w:rsidRDefault="00606B9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02FA3E1D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A7062F">
          <w:rPr>
            <w:i w:val="0"/>
            <w:sz w:val="12"/>
            <w:szCs w:val="12"/>
            <w:lang w:val="ru-RU"/>
          </w:rPr>
          <w:t>-55386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A7062F">
          <w:rPr>
            <w:i w:val="0"/>
            <w:sz w:val="12"/>
            <w:szCs w:val="12"/>
            <w:lang w:val="ru-RU"/>
          </w:rPr>
          <w:t>20.06.2023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A7062F">
          <w:rPr>
            <w:i w:val="0"/>
            <w:sz w:val="12"/>
            <w:szCs w:val="12"/>
            <w:lang w:val="ru-RU"/>
          </w:rPr>
          <w:t>205347036</w:t>
        </w:r>
      </w:p>
      <w:p w14:paraId="0BF67CBB" w14:textId="1F7AE44B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208A2" w:rsidRPr="004208A2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61CD4"/>
    <w:rsid w:val="00062A1D"/>
    <w:rsid w:val="0007432D"/>
    <w:rsid w:val="00082FF3"/>
    <w:rsid w:val="0009576B"/>
    <w:rsid w:val="000A3CAE"/>
    <w:rsid w:val="000A68A3"/>
    <w:rsid w:val="000B0281"/>
    <w:rsid w:val="000B1E6A"/>
    <w:rsid w:val="000B45AA"/>
    <w:rsid w:val="000C7B1F"/>
    <w:rsid w:val="000E3D00"/>
    <w:rsid w:val="00101DAD"/>
    <w:rsid w:val="00102362"/>
    <w:rsid w:val="001121A7"/>
    <w:rsid w:val="00117719"/>
    <w:rsid w:val="001239A5"/>
    <w:rsid w:val="00123E08"/>
    <w:rsid w:val="00150E38"/>
    <w:rsid w:val="001520B5"/>
    <w:rsid w:val="001646C0"/>
    <w:rsid w:val="00170CE7"/>
    <w:rsid w:val="0018193A"/>
    <w:rsid w:val="00184E7D"/>
    <w:rsid w:val="00187D5B"/>
    <w:rsid w:val="001A4B62"/>
    <w:rsid w:val="001B1510"/>
    <w:rsid w:val="001C02A9"/>
    <w:rsid w:val="001C3099"/>
    <w:rsid w:val="001D01E5"/>
    <w:rsid w:val="001D7910"/>
    <w:rsid w:val="001E09C8"/>
    <w:rsid w:val="00200DA6"/>
    <w:rsid w:val="00207509"/>
    <w:rsid w:val="0021081C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7C6"/>
    <w:rsid w:val="002B1314"/>
    <w:rsid w:val="002B5778"/>
    <w:rsid w:val="002B75A2"/>
    <w:rsid w:val="002C66F6"/>
    <w:rsid w:val="002D306E"/>
    <w:rsid w:val="002D6E0D"/>
    <w:rsid w:val="002F2D3F"/>
    <w:rsid w:val="00303CF1"/>
    <w:rsid w:val="00306871"/>
    <w:rsid w:val="00316BBB"/>
    <w:rsid w:val="00333098"/>
    <w:rsid w:val="0033417F"/>
    <w:rsid w:val="0034020A"/>
    <w:rsid w:val="00343979"/>
    <w:rsid w:val="003525A6"/>
    <w:rsid w:val="0035749D"/>
    <w:rsid w:val="003842F5"/>
    <w:rsid w:val="00385014"/>
    <w:rsid w:val="003C2921"/>
    <w:rsid w:val="003D2E2D"/>
    <w:rsid w:val="003E0CE3"/>
    <w:rsid w:val="003E1B2C"/>
    <w:rsid w:val="003E769A"/>
    <w:rsid w:val="003F1994"/>
    <w:rsid w:val="003F4C80"/>
    <w:rsid w:val="0040429C"/>
    <w:rsid w:val="004208A2"/>
    <w:rsid w:val="00430402"/>
    <w:rsid w:val="00430CA4"/>
    <w:rsid w:val="004360F8"/>
    <w:rsid w:val="00452111"/>
    <w:rsid w:val="0045563D"/>
    <w:rsid w:val="00455E7A"/>
    <w:rsid w:val="00474616"/>
    <w:rsid w:val="0049406D"/>
    <w:rsid w:val="00495DE6"/>
    <w:rsid w:val="004A4541"/>
    <w:rsid w:val="004B05D1"/>
    <w:rsid w:val="004C4F16"/>
    <w:rsid w:val="004D4B3C"/>
    <w:rsid w:val="004D51B7"/>
    <w:rsid w:val="00501B43"/>
    <w:rsid w:val="005054AB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85C48"/>
    <w:rsid w:val="00586F9B"/>
    <w:rsid w:val="00591722"/>
    <w:rsid w:val="005B2FD0"/>
    <w:rsid w:val="005D67B3"/>
    <w:rsid w:val="005E272A"/>
    <w:rsid w:val="005E7630"/>
    <w:rsid w:val="00601212"/>
    <w:rsid w:val="00603291"/>
    <w:rsid w:val="00606B93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76AEB"/>
    <w:rsid w:val="00694D51"/>
    <w:rsid w:val="006A084E"/>
    <w:rsid w:val="006A19DF"/>
    <w:rsid w:val="006A7D7F"/>
    <w:rsid w:val="006C2523"/>
    <w:rsid w:val="006C27E6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45ABC"/>
    <w:rsid w:val="00751508"/>
    <w:rsid w:val="0076092B"/>
    <w:rsid w:val="00765401"/>
    <w:rsid w:val="007709F8"/>
    <w:rsid w:val="00772C24"/>
    <w:rsid w:val="00776E89"/>
    <w:rsid w:val="007812BA"/>
    <w:rsid w:val="00782295"/>
    <w:rsid w:val="0078446A"/>
    <w:rsid w:val="007A7303"/>
    <w:rsid w:val="007B72F8"/>
    <w:rsid w:val="00800A09"/>
    <w:rsid w:val="008014F8"/>
    <w:rsid w:val="00814E16"/>
    <w:rsid w:val="00815498"/>
    <w:rsid w:val="00815DAC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0CB"/>
    <w:rsid w:val="008A338E"/>
    <w:rsid w:val="008A359B"/>
    <w:rsid w:val="008B338E"/>
    <w:rsid w:val="008E59A5"/>
    <w:rsid w:val="008F0B34"/>
    <w:rsid w:val="00905988"/>
    <w:rsid w:val="00907FF6"/>
    <w:rsid w:val="0091277B"/>
    <w:rsid w:val="009131FA"/>
    <w:rsid w:val="00934E19"/>
    <w:rsid w:val="009358DE"/>
    <w:rsid w:val="009638B2"/>
    <w:rsid w:val="009674CE"/>
    <w:rsid w:val="00973433"/>
    <w:rsid w:val="00982A07"/>
    <w:rsid w:val="009C0C91"/>
    <w:rsid w:val="009C1880"/>
    <w:rsid w:val="009D6B57"/>
    <w:rsid w:val="009E6239"/>
    <w:rsid w:val="009F0D03"/>
    <w:rsid w:val="009F4C72"/>
    <w:rsid w:val="00A12E00"/>
    <w:rsid w:val="00A169AC"/>
    <w:rsid w:val="00A26962"/>
    <w:rsid w:val="00A33A51"/>
    <w:rsid w:val="00A426A3"/>
    <w:rsid w:val="00A7062F"/>
    <w:rsid w:val="00A71A8F"/>
    <w:rsid w:val="00A87093"/>
    <w:rsid w:val="00AA2229"/>
    <w:rsid w:val="00AA7E2D"/>
    <w:rsid w:val="00AD4369"/>
    <w:rsid w:val="00AD6678"/>
    <w:rsid w:val="00AF21D3"/>
    <w:rsid w:val="00B064DC"/>
    <w:rsid w:val="00B15D9C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4A01"/>
    <w:rsid w:val="00B75EAF"/>
    <w:rsid w:val="00B82614"/>
    <w:rsid w:val="00B87AD3"/>
    <w:rsid w:val="00BA5124"/>
    <w:rsid w:val="00BF1120"/>
    <w:rsid w:val="00C06F89"/>
    <w:rsid w:val="00C241ED"/>
    <w:rsid w:val="00C414E0"/>
    <w:rsid w:val="00C50743"/>
    <w:rsid w:val="00C55118"/>
    <w:rsid w:val="00C71650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56DC2"/>
    <w:rsid w:val="00D63B8D"/>
    <w:rsid w:val="00D70DFE"/>
    <w:rsid w:val="00D732F1"/>
    <w:rsid w:val="00D90550"/>
    <w:rsid w:val="00D9671B"/>
    <w:rsid w:val="00DA2B06"/>
    <w:rsid w:val="00DD34E7"/>
    <w:rsid w:val="00DE0E7B"/>
    <w:rsid w:val="00E05220"/>
    <w:rsid w:val="00E27308"/>
    <w:rsid w:val="00E40910"/>
    <w:rsid w:val="00E5752E"/>
    <w:rsid w:val="00E63F8E"/>
    <w:rsid w:val="00E7338E"/>
    <w:rsid w:val="00E77A9B"/>
    <w:rsid w:val="00E8544C"/>
    <w:rsid w:val="00E94376"/>
    <w:rsid w:val="00EA1AC5"/>
    <w:rsid w:val="00EB297C"/>
    <w:rsid w:val="00EC18C7"/>
    <w:rsid w:val="00ED34B9"/>
    <w:rsid w:val="00EF075A"/>
    <w:rsid w:val="00EF09DB"/>
    <w:rsid w:val="00EF4B08"/>
    <w:rsid w:val="00F0122A"/>
    <w:rsid w:val="00F075B3"/>
    <w:rsid w:val="00F13AC3"/>
    <w:rsid w:val="00F201D9"/>
    <w:rsid w:val="00F23BF1"/>
    <w:rsid w:val="00F23C73"/>
    <w:rsid w:val="00F258FD"/>
    <w:rsid w:val="00F3586A"/>
    <w:rsid w:val="00F4426A"/>
    <w:rsid w:val="00F617F5"/>
    <w:rsid w:val="00F620DD"/>
    <w:rsid w:val="00F62C48"/>
    <w:rsid w:val="00F6372D"/>
    <w:rsid w:val="00F923B4"/>
    <w:rsid w:val="00FB06D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name">
    <w:name w:val="name"/>
    <w:basedOn w:val="a0"/>
    <w:rsid w:val="00D90550"/>
  </w:style>
  <w:style w:type="paragraph" w:styleId="af2">
    <w:name w:val="Normal (Web)"/>
    <w:basedOn w:val="a"/>
    <w:uiPriority w:val="99"/>
    <w:unhideWhenUsed/>
    <w:rsid w:val="00D905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D90550"/>
  </w:style>
  <w:style w:type="character" w:styleId="af3">
    <w:name w:val="Hyperlink"/>
    <w:basedOn w:val="a0"/>
    <w:uiPriority w:val="99"/>
    <w:semiHidden/>
    <w:unhideWhenUsed/>
    <w:rsid w:val="00D90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uliya.shaposhnik\Downloads\request_qr_co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control.com.ua/register-tria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register-tria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489B0-5879-454D-A3CB-142199CD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7158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Корнійчук Олеся Михайлівна</cp:lastModifiedBy>
  <cp:revision>2</cp:revision>
  <cp:lastPrinted>2023-06-20T13:32:00Z</cp:lastPrinted>
  <dcterms:created xsi:type="dcterms:W3CDTF">2023-06-26T08:19:00Z</dcterms:created>
  <dcterms:modified xsi:type="dcterms:W3CDTF">2023-06-26T08:19:00Z</dcterms:modified>
</cp:coreProperties>
</file>