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45B" w:rsidRPr="0091510A" w:rsidRDefault="0020445B" w:rsidP="0020445B">
      <w:pPr>
        <w:tabs>
          <w:tab w:val="num" w:pos="1008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91510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ПОЯСНЮВАЛЬНА ЗАПИСКА</w:t>
      </w:r>
    </w:p>
    <w:p w:rsidR="0020445B" w:rsidRPr="00F24216" w:rsidRDefault="0020445B" w:rsidP="002044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242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до </w:t>
      </w:r>
      <w:proofErr w:type="spellStart"/>
      <w:r w:rsidRPr="00F242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проєкту</w:t>
      </w:r>
      <w:proofErr w:type="spellEnd"/>
      <w:r w:rsidRPr="00F242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рішення Київської міської ради </w:t>
      </w:r>
    </w:p>
    <w:p w:rsidR="004C7DD7" w:rsidRPr="004C7DD7" w:rsidRDefault="004C7DD7" w:rsidP="004C7DD7">
      <w:pPr>
        <w:ind w:left="567" w:right="8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7DD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«</w:t>
      </w:r>
      <w:r w:rsidRPr="004C7DD7">
        <w:rPr>
          <w:rFonts w:ascii="Times New Roman" w:eastAsia="Calibri" w:hAnsi="Times New Roman" w:cs="Times New Roman"/>
          <w:b/>
          <w:sz w:val="28"/>
          <w:szCs w:val="28"/>
        </w:rPr>
        <w:t>Про за</w:t>
      </w:r>
      <w:r w:rsidR="00354064">
        <w:rPr>
          <w:rFonts w:ascii="Times New Roman" w:eastAsia="Calibri" w:hAnsi="Times New Roman" w:cs="Times New Roman"/>
          <w:b/>
          <w:sz w:val="28"/>
          <w:szCs w:val="28"/>
        </w:rPr>
        <w:t xml:space="preserve">твердження Комплексної міської </w:t>
      </w:r>
      <w:r w:rsidRPr="004C7DD7">
        <w:rPr>
          <w:rFonts w:ascii="Times New Roman" w:eastAsia="Calibri" w:hAnsi="Times New Roman" w:cs="Times New Roman"/>
          <w:b/>
          <w:sz w:val="28"/>
          <w:szCs w:val="28"/>
        </w:rPr>
        <w:t xml:space="preserve">цільової програми </w:t>
      </w:r>
      <w:r w:rsidR="00B720B6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4C7DD7">
        <w:rPr>
          <w:rFonts w:ascii="Times New Roman" w:eastAsia="Calibri" w:hAnsi="Times New Roman" w:cs="Times New Roman"/>
          <w:b/>
          <w:sz w:val="28"/>
          <w:szCs w:val="28"/>
        </w:rPr>
        <w:t>«Столична</w:t>
      </w:r>
      <w:r w:rsidR="00B720B6">
        <w:rPr>
          <w:rFonts w:ascii="Times New Roman" w:eastAsia="Calibri" w:hAnsi="Times New Roman" w:cs="Times New Roman"/>
          <w:b/>
          <w:sz w:val="28"/>
          <w:szCs w:val="28"/>
        </w:rPr>
        <w:t xml:space="preserve"> к</w:t>
      </w:r>
      <w:r w:rsidRPr="004C7DD7">
        <w:rPr>
          <w:rFonts w:ascii="Times New Roman" w:eastAsia="Calibri" w:hAnsi="Times New Roman" w:cs="Times New Roman"/>
          <w:b/>
          <w:sz w:val="28"/>
          <w:szCs w:val="28"/>
        </w:rPr>
        <w:t>ультура</w:t>
      </w:r>
      <w:r w:rsidR="00B720B6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4C7DD7">
        <w:rPr>
          <w:rFonts w:ascii="Times New Roman" w:eastAsia="Calibri" w:hAnsi="Times New Roman" w:cs="Times New Roman"/>
          <w:b/>
          <w:sz w:val="28"/>
          <w:szCs w:val="28"/>
        </w:rPr>
        <w:t xml:space="preserve"> 2025-2027 роки»</w:t>
      </w:r>
    </w:p>
    <w:p w:rsidR="00010540" w:rsidRPr="00AA7F2C" w:rsidRDefault="00010540" w:rsidP="00C952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1E5B" w:rsidRDefault="003F1E5B" w:rsidP="00A3200A">
      <w:pPr>
        <w:spacing w:after="0" w:line="240" w:lineRule="auto"/>
        <w:ind w:right="366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F1E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3F1E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Опис проблем, для вирішення яких підготовлено проєкт рішення, обґрунтування відповідності та достатності передбачених у </w:t>
      </w:r>
      <w:proofErr w:type="spellStart"/>
      <w:r w:rsidRPr="003F1E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</w:t>
      </w:r>
      <w:r w:rsidR="009723E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є</w:t>
      </w:r>
      <w:r w:rsidRPr="003F1E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кті</w:t>
      </w:r>
      <w:proofErr w:type="spellEnd"/>
      <w:r w:rsidRPr="003F1E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рішення механізмів і способів вирішення існуючих проблем, а також актуальності цих проблем для територіальної громади міста Києва.</w:t>
      </w:r>
    </w:p>
    <w:p w:rsidR="009A2B5D" w:rsidRPr="00650EA1" w:rsidRDefault="009A2B5D" w:rsidP="00A3200A">
      <w:pPr>
        <w:spacing w:line="240" w:lineRule="auto"/>
        <w:ind w:right="36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0EA1">
        <w:rPr>
          <w:rFonts w:ascii="Times New Roman" w:hAnsi="Times New Roman" w:cs="Times New Roman"/>
          <w:sz w:val="28"/>
          <w:szCs w:val="28"/>
        </w:rPr>
        <w:t xml:space="preserve">У зв’язку з завершенням строку реалізації Комплексної міської цільової програми «Столична культура: 2022–2024 роки», затвердженої рішенням Київської міської ради від 16 грудня 2021 року № 4031/4072 (у редакції рішення від 07 грудня 2023 року № 7514/7555), відповідно до Порядку розроблення, затвердження та виконання міських цільових програм у місті Києві», затвердженого рішенням Київської міської ради від 29 жовтня 2009 року № 520/2589, враховуючи </w:t>
      </w:r>
      <w:r w:rsidRPr="00650EA1">
        <w:rPr>
          <w:rFonts w:ascii="Times New Roman" w:hAnsi="Times New Roman" w:cs="Times New Roman"/>
          <w:color w:val="000000"/>
          <w:sz w:val="28"/>
          <w:szCs w:val="28"/>
        </w:rPr>
        <w:t xml:space="preserve">розпорядження Київського міського голови від 26.02.2024 № 160 «Про підготовку </w:t>
      </w:r>
      <w:proofErr w:type="spellStart"/>
      <w:r w:rsidRPr="00650EA1">
        <w:rPr>
          <w:rFonts w:ascii="Times New Roman" w:hAnsi="Times New Roman" w:cs="Times New Roman"/>
          <w:color w:val="000000"/>
          <w:sz w:val="28"/>
          <w:szCs w:val="28"/>
        </w:rPr>
        <w:t>проєкту</w:t>
      </w:r>
      <w:proofErr w:type="spellEnd"/>
      <w:r w:rsidRPr="00650EA1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Комплексної міської цільової програми «Столична культура: </w:t>
      </w:r>
      <w:r w:rsidR="00DD4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0EA1">
        <w:rPr>
          <w:rFonts w:ascii="Times New Roman" w:hAnsi="Times New Roman" w:cs="Times New Roman"/>
          <w:color w:val="000000"/>
          <w:sz w:val="28"/>
          <w:szCs w:val="28"/>
        </w:rPr>
        <w:t xml:space="preserve">2025–2027 роки» </w:t>
      </w:r>
      <w:r w:rsidRPr="00650EA1">
        <w:rPr>
          <w:rFonts w:ascii="Times New Roman" w:hAnsi="Times New Roman" w:cs="Times New Roman"/>
          <w:sz w:val="28"/>
          <w:szCs w:val="28"/>
        </w:rPr>
        <w:t>Департамент культури виконавчого органу Київської міської ради (Київської міської державної адміністрації) спільно з Комунальною науково-дослідною установою «Науково-дослідний інститут соціально-економічного розвитку міста» розробив Комплексну</w:t>
      </w:r>
      <w:r w:rsidRPr="00650EA1">
        <w:rPr>
          <w:rFonts w:ascii="Times New Roman" w:hAnsi="Times New Roman" w:cs="Times New Roman"/>
          <w:sz w:val="28"/>
          <w:szCs w:val="28"/>
          <w:lang w:val="uk"/>
        </w:rPr>
        <w:t xml:space="preserve"> міську цільову програму </w:t>
      </w:r>
      <w:r w:rsidRPr="00650EA1">
        <w:rPr>
          <w:rFonts w:ascii="Times New Roman" w:hAnsi="Times New Roman" w:cs="Times New Roman"/>
          <w:sz w:val="28"/>
          <w:szCs w:val="28"/>
        </w:rPr>
        <w:t>«Столична культура:</w:t>
      </w:r>
      <w:r w:rsidRPr="00650EA1">
        <w:rPr>
          <w:rFonts w:ascii="Times New Roman" w:hAnsi="Times New Roman" w:cs="Times New Roman"/>
          <w:sz w:val="28"/>
          <w:szCs w:val="28"/>
          <w:lang w:val="uk"/>
        </w:rPr>
        <w:t xml:space="preserve"> 20</w:t>
      </w:r>
      <w:r w:rsidRPr="00650EA1">
        <w:rPr>
          <w:rFonts w:ascii="Times New Roman" w:hAnsi="Times New Roman" w:cs="Times New Roman"/>
          <w:sz w:val="28"/>
          <w:szCs w:val="28"/>
        </w:rPr>
        <w:t>25–</w:t>
      </w:r>
      <w:r w:rsidRPr="00650EA1">
        <w:rPr>
          <w:rFonts w:ascii="Times New Roman" w:hAnsi="Times New Roman" w:cs="Times New Roman"/>
          <w:sz w:val="28"/>
          <w:szCs w:val="28"/>
          <w:lang w:val="uk"/>
        </w:rPr>
        <w:t>20</w:t>
      </w:r>
      <w:r w:rsidRPr="00650EA1">
        <w:rPr>
          <w:rFonts w:ascii="Times New Roman" w:hAnsi="Times New Roman" w:cs="Times New Roman"/>
          <w:sz w:val="28"/>
          <w:szCs w:val="28"/>
        </w:rPr>
        <w:t>27</w:t>
      </w:r>
      <w:r w:rsidRPr="00650EA1">
        <w:rPr>
          <w:rFonts w:ascii="Times New Roman" w:hAnsi="Times New Roman" w:cs="Times New Roman"/>
          <w:sz w:val="28"/>
          <w:szCs w:val="28"/>
          <w:lang w:val="uk"/>
        </w:rPr>
        <w:t xml:space="preserve"> роки</w:t>
      </w:r>
      <w:r w:rsidRPr="00650EA1">
        <w:rPr>
          <w:rFonts w:ascii="Times New Roman" w:hAnsi="Times New Roman" w:cs="Times New Roman"/>
          <w:bCs/>
          <w:color w:val="000000"/>
          <w:spacing w:val="3"/>
          <w:sz w:val="28"/>
          <w:szCs w:val="28"/>
          <w:lang w:val="uk"/>
        </w:rPr>
        <w:t>»</w:t>
      </w:r>
      <w:r w:rsidR="00302784">
        <w:rPr>
          <w:rFonts w:ascii="Times New Roman" w:hAnsi="Times New Roman" w:cs="Times New Roman"/>
          <w:bCs/>
          <w:color w:val="000000"/>
          <w:spacing w:val="3"/>
          <w:sz w:val="28"/>
          <w:szCs w:val="28"/>
          <w:lang w:val="uk"/>
        </w:rPr>
        <w:t xml:space="preserve"> (далі – програма)</w:t>
      </w:r>
      <w:r w:rsidRPr="00650EA1">
        <w:rPr>
          <w:rFonts w:ascii="Times New Roman" w:hAnsi="Times New Roman" w:cs="Times New Roman"/>
          <w:bCs/>
          <w:color w:val="000000"/>
          <w:spacing w:val="3"/>
          <w:sz w:val="28"/>
          <w:szCs w:val="28"/>
          <w:lang w:val="uk"/>
        </w:rPr>
        <w:t>.</w:t>
      </w:r>
    </w:p>
    <w:p w:rsidR="009A2B5D" w:rsidRPr="00650EA1" w:rsidRDefault="009A2B5D" w:rsidP="00A3200A">
      <w:pPr>
        <w:spacing w:line="240" w:lineRule="auto"/>
        <w:ind w:right="36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0EA1">
        <w:rPr>
          <w:rFonts w:ascii="Times New Roman" w:hAnsi="Times New Roman" w:cs="Times New Roman"/>
          <w:sz w:val="28"/>
          <w:szCs w:val="28"/>
        </w:rPr>
        <w:t xml:space="preserve">Метою програми є </w:t>
      </w:r>
      <w:r w:rsidRPr="00650EA1">
        <w:rPr>
          <w:rFonts w:ascii="Times New Roman" w:hAnsi="Times New Roman" w:cs="Times New Roman"/>
          <w:color w:val="000000"/>
          <w:sz w:val="28"/>
          <w:szCs w:val="28"/>
        </w:rPr>
        <w:t>створення</w:t>
      </w:r>
      <w:r w:rsidRPr="00650EA1">
        <w:rPr>
          <w:rFonts w:ascii="Times New Roman" w:hAnsi="Times New Roman" w:cs="Times New Roman"/>
          <w:sz w:val="28"/>
          <w:szCs w:val="28"/>
        </w:rPr>
        <w:t xml:space="preserve"> умов для </w:t>
      </w:r>
      <w:r w:rsidRPr="00650EA1">
        <w:rPr>
          <w:rFonts w:ascii="Times New Roman" w:hAnsi="Times New Roman" w:cs="Times New Roman"/>
          <w:sz w:val="28"/>
          <w:szCs w:val="28"/>
          <w:lang w:eastAsia="ru-RU"/>
        </w:rPr>
        <w:t>надання якісних і доступних культурних послуг,</w:t>
      </w:r>
      <w:r w:rsidRPr="00650EA1">
        <w:rPr>
          <w:rFonts w:ascii="Times New Roman" w:hAnsi="Times New Roman" w:cs="Times New Roman"/>
          <w:sz w:val="28"/>
          <w:szCs w:val="28"/>
        </w:rPr>
        <w:t xml:space="preserve"> посилення ролі культури в консолідації українського суспільства та формуванні громадянської ідентичності, </w:t>
      </w:r>
      <w:r w:rsidRPr="00650EA1">
        <w:rPr>
          <w:rFonts w:ascii="Times New Roman" w:hAnsi="Times New Roman" w:cs="Times New Roman"/>
          <w:sz w:val="28"/>
          <w:szCs w:val="28"/>
          <w:lang w:eastAsia="ru-RU"/>
        </w:rPr>
        <w:t>відновлення культурно-мистецько</w:t>
      </w:r>
      <w:r w:rsidRPr="00650EA1">
        <w:rPr>
          <w:rFonts w:ascii="Times New Roman" w:hAnsi="Times New Roman" w:cs="Times New Roman"/>
          <w:sz w:val="28"/>
          <w:szCs w:val="28"/>
        </w:rPr>
        <w:t>го потенціалу, відродження духовних традицій, забезпечення провідного місця культури в повоєнному відновленні та суспільно-економічному розвитку столиці.</w:t>
      </w:r>
    </w:p>
    <w:p w:rsidR="009A2B5D" w:rsidRPr="00650EA1" w:rsidRDefault="009A2B5D" w:rsidP="00A3200A">
      <w:pPr>
        <w:spacing w:line="240" w:lineRule="auto"/>
        <w:ind w:right="36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0EA1">
        <w:rPr>
          <w:rFonts w:ascii="Times New Roman" w:hAnsi="Times New Roman" w:cs="Times New Roman"/>
          <w:color w:val="000000"/>
          <w:sz w:val="28"/>
          <w:szCs w:val="28"/>
        </w:rPr>
        <w:t>Оперативними цілями, визначеними Стратегією розвитку міста Києва, на досягнення яких спрямована програма є забезпечення галузі культури та креативних індустрій сучасною інфраструктурою</w:t>
      </w:r>
      <w:bookmarkStart w:id="0" w:name="_Hlk161059037"/>
      <w:r w:rsidRPr="00650EA1">
        <w:rPr>
          <w:rFonts w:ascii="Times New Roman" w:hAnsi="Times New Roman" w:cs="Times New Roman"/>
          <w:color w:val="000000"/>
          <w:sz w:val="28"/>
          <w:szCs w:val="28"/>
        </w:rPr>
        <w:t xml:space="preserve"> а також актуалізація та просування культурної пропозиції</w:t>
      </w:r>
      <w:bookmarkEnd w:id="0"/>
      <w:r w:rsidRPr="00650EA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2B5D" w:rsidRPr="00650EA1" w:rsidRDefault="009A2B5D" w:rsidP="00A3200A">
      <w:pPr>
        <w:spacing w:line="240" w:lineRule="auto"/>
        <w:ind w:right="366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EA1">
        <w:rPr>
          <w:rFonts w:ascii="Times New Roman" w:hAnsi="Times New Roman" w:cs="Times New Roman"/>
          <w:color w:val="000000"/>
          <w:sz w:val="28"/>
          <w:szCs w:val="28"/>
        </w:rPr>
        <w:t>Відповідальним виконавцем програми є Департамент культури виконавчого органу Київської міської ради (Київської міської державної адміністрації).</w:t>
      </w:r>
    </w:p>
    <w:p w:rsidR="00DE4549" w:rsidRPr="00650EA1" w:rsidRDefault="00DE4549" w:rsidP="00A3200A">
      <w:pPr>
        <w:spacing w:line="240" w:lineRule="auto"/>
        <w:ind w:right="366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EA1">
        <w:rPr>
          <w:rFonts w:ascii="Times New Roman" w:hAnsi="Times New Roman" w:cs="Times New Roman"/>
          <w:sz w:val="28"/>
          <w:szCs w:val="28"/>
        </w:rPr>
        <w:t xml:space="preserve">Співвиконавцями програми є Департамент суспільних комунікацій виконавчого органу Київської міської ради (Київської міської державної адміністрації) (Департамент суспільних комунікацій), Управління міжнародних </w:t>
      </w:r>
      <w:proofErr w:type="spellStart"/>
      <w:r w:rsidRPr="00650EA1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650EA1">
        <w:rPr>
          <w:rFonts w:ascii="Times New Roman" w:hAnsi="Times New Roman" w:cs="Times New Roman"/>
          <w:sz w:val="28"/>
          <w:szCs w:val="28"/>
        </w:rPr>
        <w:t xml:space="preserve"> апарату виконавчого органу Київської міської ради (Київської міської державної адміністрації), районні в місті Києві державні адміністрації, Київська муніципальна академія музики імені Р.</w:t>
      </w:r>
      <w:r w:rsidRPr="00650EA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50EA1">
        <w:rPr>
          <w:rFonts w:ascii="Times New Roman" w:hAnsi="Times New Roman" w:cs="Times New Roman"/>
          <w:sz w:val="28"/>
          <w:szCs w:val="28"/>
        </w:rPr>
        <w:t>М.</w:t>
      </w:r>
      <w:r w:rsidRPr="00650EA1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650EA1">
        <w:rPr>
          <w:rFonts w:ascii="Times New Roman" w:hAnsi="Times New Roman" w:cs="Times New Roman"/>
          <w:sz w:val="28"/>
          <w:szCs w:val="28"/>
        </w:rPr>
        <w:t>Глієра</w:t>
      </w:r>
      <w:proofErr w:type="spellEnd"/>
      <w:r w:rsidRPr="00650EA1">
        <w:rPr>
          <w:rFonts w:ascii="Times New Roman" w:hAnsi="Times New Roman" w:cs="Times New Roman"/>
          <w:sz w:val="28"/>
          <w:szCs w:val="28"/>
        </w:rPr>
        <w:t xml:space="preserve"> (</w:t>
      </w:r>
      <w:r w:rsidRPr="00650EA1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КМАМ ім. Р.</w:t>
      </w:r>
      <w:r w:rsidRPr="00650EA1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en-US"/>
        </w:rPr>
        <w:t> </w:t>
      </w:r>
      <w:r w:rsidRPr="00650EA1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М.</w:t>
      </w:r>
      <w:r w:rsidRPr="00650EA1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en-US"/>
        </w:rPr>
        <w:t> </w:t>
      </w:r>
      <w:proofErr w:type="spellStart"/>
      <w:r w:rsidRPr="00650EA1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Глієра</w:t>
      </w:r>
      <w:proofErr w:type="spellEnd"/>
      <w:r w:rsidRPr="00650EA1">
        <w:rPr>
          <w:rFonts w:ascii="Times New Roman" w:hAnsi="Times New Roman" w:cs="Times New Roman"/>
          <w:sz w:val="28"/>
          <w:szCs w:val="28"/>
        </w:rPr>
        <w:t>),</w:t>
      </w:r>
      <w:r w:rsidRPr="00650EA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50EA1">
        <w:rPr>
          <w:rFonts w:ascii="Times New Roman" w:hAnsi="Times New Roman" w:cs="Times New Roman"/>
          <w:sz w:val="28"/>
          <w:szCs w:val="28"/>
        </w:rPr>
        <w:t>музеї комунальної власності територіальної громади міста</w:t>
      </w:r>
      <w:r w:rsidRPr="00650EA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50EA1">
        <w:rPr>
          <w:rFonts w:ascii="Times New Roman" w:hAnsi="Times New Roman" w:cs="Times New Roman"/>
          <w:sz w:val="28"/>
          <w:szCs w:val="28"/>
        </w:rPr>
        <w:t>Києва, публічні бібліотеки комунальної власності територіальної громади міста</w:t>
      </w:r>
      <w:r w:rsidRPr="00650EA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50EA1">
        <w:rPr>
          <w:rFonts w:ascii="Times New Roman" w:hAnsi="Times New Roman" w:cs="Times New Roman"/>
          <w:sz w:val="28"/>
          <w:szCs w:val="28"/>
        </w:rPr>
        <w:t xml:space="preserve">Києва, </w:t>
      </w:r>
      <w:r w:rsidRPr="00650EA1">
        <w:rPr>
          <w:rFonts w:ascii="Times New Roman" w:eastAsia="Times New Roman" w:hAnsi="Times New Roman" w:cs="Times New Roman"/>
          <w:bCs/>
          <w:sz w:val="28"/>
          <w:szCs w:val="28"/>
        </w:rPr>
        <w:t>театрально-видовищні заклади культури комунальної власності територіальної громади міста Києва, театрально-видовищний заклад культури «Київський національний академічний театр оперети» (</w:t>
      </w:r>
      <w:r w:rsidRPr="00650EA1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ТВЗК «Київський національний академічний театр оперети»</w:t>
      </w:r>
      <w:r w:rsidRPr="00650EA1">
        <w:rPr>
          <w:rFonts w:ascii="Times New Roman" w:eastAsia="Times New Roman" w:hAnsi="Times New Roman" w:cs="Times New Roman"/>
          <w:bCs/>
          <w:sz w:val="28"/>
          <w:szCs w:val="28"/>
        </w:rPr>
        <w:t xml:space="preserve">), національні спілки та їх київські осередки, </w:t>
      </w:r>
      <w:r w:rsidRPr="00650EA1">
        <w:rPr>
          <w:rFonts w:ascii="Times New Roman" w:eastAsia="Calibri" w:hAnsi="Times New Roman" w:cs="Times New Roman"/>
          <w:sz w:val="28"/>
          <w:szCs w:val="28"/>
        </w:rPr>
        <w:t xml:space="preserve">парки культури та відпочинку </w:t>
      </w:r>
      <w:r w:rsidRPr="00650EA1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комунальної власності територіальної громади міста Києва, </w:t>
      </w:r>
      <w:r w:rsidRPr="00650EA1">
        <w:rPr>
          <w:rFonts w:ascii="Times New Roman" w:eastAsia="Calibri" w:hAnsi="Times New Roman" w:cs="Times New Roman"/>
          <w:sz w:val="28"/>
          <w:szCs w:val="28"/>
        </w:rPr>
        <w:t xml:space="preserve">Центральний парк </w:t>
      </w:r>
      <w:r w:rsidRPr="00650EA1">
        <w:rPr>
          <w:rFonts w:ascii="Times New Roman" w:eastAsia="Calibri" w:hAnsi="Times New Roman" w:cs="Times New Roman"/>
          <w:sz w:val="28"/>
          <w:szCs w:val="28"/>
        </w:rPr>
        <w:lastRenderedPageBreak/>
        <w:t>культури та відпочинку м.</w:t>
      </w:r>
      <w:r w:rsidRPr="00650EA1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650EA1">
        <w:rPr>
          <w:rFonts w:ascii="Times New Roman" w:eastAsia="Calibri" w:hAnsi="Times New Roman" w:cs="Times New Roman"/>
          <w:sz w:val="28"/>
          <w:szCs w:val="28"/>
        </w:rPr>
        <w:t>Києва,</w:t>
      </w:r>
      <w:r w:rsidRPr="00650EA1">
        <w:rPr>
          <w:rFonts w:ascii="Times New Roman" w:hAnsi="Times New Roman" w:cs="Times New Roman"/>
          <w:sz w:val="28"/>
          <w:szCs w:val="28"/>
        </w:rPr>
        <w:t xml:space="preserve"> Комунальне підприємство виконавчого органу Київської міської ради (Київської міської державної адміністрації) «Київський культурний кластер» (КП</w:t>
      </w:r>
      <w:r w:rsidRPr="00650EA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50EA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50EA1">
        <w:rPr>
          <w:rFonts w:ascii="Times New Roman" w:hAnsi="Times New Roman" w:cs="Times New Roman"/>
          <w:sz w:val="28"/>
          <w:szCs w:val="28"/>
        </w:rPr>
        <w:t>Київкульткластер</w:t>
      </w:r>
      <w:proofErr w:type="spellEnd"/>
      <w:r w:rsidRPr="00650EA1">
        <w:rPr>
          <w:rFonts w:ascii="Times New Roman" w:hAnsi="Times New Roman" w:cs="Times New Roman"/>
          <w:sz w:val="28"/>
          <w:szCs w:val="28"/>
        </w:rPr>
        <w:t>»), Київський зоологічний парк загальнодержавного значення (Київський зоопарк), Київський міський центр народної творчості та культурологічних досліджень (КМЦНТКД), Комунальне підприємство з питань будівництва житлових будинків «</w:t>
      </w:r>
      <w:proofErr w:type="spellStart"/>
      <w:r w:rsidRPr="00650EA1">
        <w:rPr>
          <w:rFonts w:ascii="Times New Roman" w:hAnsi="Times New Roman" w:cs="Times New Roman"/>
          <w:sz w:val="28"/>
          <w:szCs w:val="28"/>
        </w:rPr>
        <w:t>Житлоінвестбуд</w:t>
      </w:r>
      <w:proofErr w:type="spellEnd"/>
      <w:r w:rsidRPr="00650EA1">
        <w:rPr>
          <w:rFonts w:ascii="Times New Roman" w:hAnsi="Times New Roman" w:cs="Times New Roman"/>
          <w:sz w:val="28"/>
          <w:szCs w:val="28"/>
        </w:rPr>
        <w:t xml:space="preserve">-УКБ» </w:t>
      </w:r>
      <w:r w:rsidR="00DD451D">
        <w:rPr>
          <w:rFonts w:ascii="Times New Roman" w:hAnsi="Times New Roman" w:cs="Times New Roman"/>
          <w:sz w:val="28"/>
          <w:szCs w:val="28"/>
        </w:rPr>
        <w:br/>
      </w:r>
      <w:r w:rsidRPr="00650EA1">
        <w:rPr>
          <w:rFonts w:ascii="Times New Roman" w:hAnsi="Times New Roman" w:cs="Times New Roman"/>
          <w:sz w:val="28"/>
          <w:szCs w:val="28"/>
        </w:rPr>
        <w:t>(</w:t>
      </w:r>
      <w:r w:rsidRPr="00650EA1">
        <w:rPr>
          <w:rFonts w:ascii="Times New Roman" w:hAnsi="Times New Roman" w:cs="Times New Roman"/>
          <w:sz w:val="28"/>
          <w:szCs w:val="28"/>
          <w:shd w:val="clear" w:color="auto" w:fill="FFFFFF"/>
        </w:rPr>
        <w:t>КП «</w:t>
      </w:r>
      <w:proofErr w:type="spellStart"/>
      <w:r w:rsidRPr="00650EA1">
        <w:rPr>
          <w:rFonts w:ascii="Times New Roman" w:hAnsi="Times New Roman" w:cs="Times New Roman"/>
          <w:sz w:val="28"/>
          <w:szCs w:val="28"/>
          <w:shd w:val="clear" w:color="auto" w:fill="FFFFFF"/>
        </w:rPr>
        <w:t>Житлоінвестбуд</w:t>
      </w:r>
      <w:proofErr w:type="spellEnd"/>
      <w:r w:rsidRPr="00650EA1">
        <w:rPr>
          <w:rFonts w:ascii="Times New Roman" w:hAnsi="Times New Roman" w:cs="Times New Roman"/>
          <w:sz w:val="28"/>
          <w:szCs w:val="28"/>
          <w:shd w:val="clear" w:color="auto" w:fill="FFFFFF"/>
        </w:rPr>
        <w:t>-УКБ»)</w:t>
      </w:r>
      <w:r w:rsidRPr="00650EA1">
        <w:rPr>
          <w:rFonts w:ascii="Times New Roman" w:hAnsi="Times New Roman" w:cs="Times New Roman"/>
          <w:sz w:val="28"/>
          <w:szCs w:val="28"/>
        </w:rPr>
        <w:t>, Комунальне підприємство Оболонського району м.</w:t>
      </w:r>
      <w:r w:rsidRPr="00650EA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50EA1">
        <w:rPr>
          <w:rFonts w:ascii="Times New Roman" w:hAnsi="Times New Roman" w:cs="Times New Roman"/>
          <w:sz w:val="28"/>
          <w:szCs w:val="28"/>
        </w:rPr>
        <w:t>Києва «Дитячий кінотеатр «Кадр» (КП «ДК «КАДР»), Комунальний заклад «Центр художньої та технічної творчості «Печерськ» (ЦХТТ «Печерськ»)</w:t>
      </w:r>
      <w:r w:rsidR="00354064">
        <w:rPr>
          <w:rFonts w:ascii="Times New Roman" w:hAnsi="Times New Roman" w:cs="Times New Roman"/>
          <w:sz w:val="28"/>
          <w:szCs w:val="28"/>
        </w:rPr>
        <w:t>.</w:t>
      </w:r>
    </w:p>
    <w:p w:rsidR="00DE4549" w:rsidRPr="00650EA1" w:rsidRDefault="00DD451D" w:rsidP="00A3200A">
      <w:pPr>
        <w:tabs>
          <w:tab w:val="left" w:pos="851"/>
        </w:tabs>
        <w:spacing w:after="0" w:line="240" w:lineRule="auto"/>
        <w:ind w:right="36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Реалізація завдань та заходів п</w:t>
      </w:r>
      <w:r w:rsidR="00DE4549" w:rsidRPr="00650EA1">
        <w:rPr>
          <w:rFonts w:ascii="Times New Roman" w:hAnsi="Times New Roman" w:cs="Times New Roman"/>
          <w:sz w:val="28"/>
          <w:szCs w:val="28"/>
        </w:rPr>
        <w:t xml:space="preserve">рограми спрямована на досягнення оперативних цілей «Забезпечення галузі культури та креативних індустрій сучасною інфраструктурою» і «Актуалізація та просування культурної пропозиції» сектору 3.2 «Культура» </w:t>
      </w:r>
      <w:hyperlink r:id="rId6" w:tgtFrame="_top" w:history="1">
        <w:r w:rsidR="00DE4549" w:rsidRPr="00A171B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Стратегії розвитку міста Києва до 2025 року</w:t>
        </w:r>
      </w:hyperlink>
      <w:r w:rsidR="00DE4549" w:rsidRPr="00650EA1">
        <w:rPr>
          <w:rFonts w:ascii="Times New Roman" w:hAnsi="Times New Roman" w:cs="Times New Roman"/>
          <w:sz w:val="28"/>
          <w:szCs w:val="28"/>
        </w:rPr>
        <w:t>, затвердженої рішенням Київської міської ради від 15 грудня 2011 року № 824/7060 (у редакції рішення Київської міської ради від 06 липня 2017 року № 724/2886).</w:t>
      </w:r>
    </w:p>
    <w:p w:rsidR="00CC35EE" w:rsidRPr="00CC35EE" w:rsidRDefault="00302784" w:rsidP="00A3200A">
      <w:pPr>
        <w:spacing w:line="240" w:lineRule="auto"/>
        <w:ind w:right="36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35EE">
        <w:rPr>
          <w:rFonts w:ascii="Times New Roman" w:hAnsi="Times New Roman" w:cs="Times New Roman"/>
          <w:sz w:val="28"/>
          <w:szCs w:val="28"/>
        </w:rPr>
        <w:t>У процесі розроблен</w:t>
      </w:r>
      <w:r w:rsidR="00CC35EE" w:rsidRPr="00CC35EE">
        <w:rPr>
          <w:rFonts w:ascii="Times New Roman" w:hAnsi="Times New Roman" w:cs="Times New Roman"/>
          <w:sz w:val="28"/>
          <w:szCs w:val="28"/>
        </w:rPr>
        <w:t>ня програми здійс</w:t>
      </w:r>
      <w:r w:rsidRPr="00CC35EE">
        <w:rPr>
          <w:rFonts w:ascii="Times New Roman" w:hAnsi="Times New Roman" w:cs="Times New Roman"/>
          <w:sz w:val="28"/>
          <w:szCs w:val="28"/>
        </w:rPr>
        <w:t>нено ст</w:t>
      </w:r>
      <w:r w:rsidR="00AE7AF0">
        <w:rPr>
          <w:rFonts w:ascii="Times New Roman" w:hAnsi="Times New Roman" w:cs="Times New Roman"/>
          <w:sz w:val="28"/>
          <w:szCs w:val="28"/>
        </w:rPr>
        <w:t>р</w:t>
      </w:r>
      <w:r w:rsidRPr="00CC35EE">
        <w:rPr>
          <w:rFonts w:ascii="Times New Roman" w:hAnsi="Times New Roman" w:cs="Times New Roman"/>
          <w:sz w:val="28"/>
          <w:szCs w:val="28"/>
        </w:rPr>
        <w:t xml:space="preserve">атегічну екологічну оцінку </w:t>
      </w:r>
      <w:proofErr w:type="spellStart"/>
      <w:r w:rsidRPr="00CC35EE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CC35EE">
        <w:rPr>
          <w:rFonts w:ascii="Times New Roman" w:hAnsi="Times New Roman" w:cs="Times New Roman"/>
          <w:sz w:val="28"/>
          <w:szCs w:val="28"/>
        </w:rPr>
        <w:t xml:space="preserve"> </w:t>
      </w:r>
      <w:r w:rsidR="00CC35EE" w:rsidRPr="00CC35EE">
        <w:rPr>
          <w:rFonts w:ascii="Times New Roman" w:hAnsi="Times New Roman" w:cs="Times New Roman"/>
          <w:sz w:val="28"/>
          <w:szCs w:val="28"/>
        </w:rPr>
        <w:t>програми.</w:t>
      </w:r>
    </w:p>
    <w:p w:rsidR="00302784" w:rsidRPr="00CC35EE" w:rsidRDefault="00CC35EE" w:rsidP="00A3200A">
      <w:pPr>
        <w:spacing w:line="240" w:lineRule="auto"/>
        <w:ind w:right="36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35EE">
        <w:rPr>
          <w:rFonts w:ascii="Times New Roman" w:hAnsi="Times New Roman" w:cs="Times New Roman"/>
          <w:sz w:val="28"/>
          <w:szCs w:val="28"/>
        </w:rPr>
        <w:t>Проведено громадсь</w:t>
      </w:r>
      <w:r>
        <w:rPr>
          <w:rFonts w:ascii="Times New Roman" w:hAnsi="Times New Roman" w:cs="Times New Roman"/>
          <w:sz w:val="28"/>
          <w:szCs w:val="28"/>
        </w:rPr>
        <w:t xml:space="preserve">ке обговорення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програми, за результ</w:t>
      </w:r>
      <w:r w:rsidR="007A0D0B">
        <w:rPr>
          <w:rFonts w:ascii="Times New Roman" w:hAnsi="Times New Roman" w:cs="Times New Roman"/>
          <w:sz w:val="28"/>
          <w:szCs w:val="28"/>
        </w:rPr>
        <w:t>атами якого відсутні зауваження та</w:t>
      </w:r>
      <w:r>
        <w:rPr>
          <w:rFonts w:ascii="Times New Roman" w:hAnsi="Times New Roman" w:cs="Times New Roman"/>
          <w:sz w:val="28"/>
          <w:szCs w:val="28"/>
        </w:rPr>
        <w:t xml:space="preserve"> пропозиції</w:t>
      </w:r>
      <w:r w:rsidR="00541F85">
        <w:rPr>
          <w:rFonts w:ascii="Times New Roman" w:hAnsi="Times New Roman" w:cs="Times New Roman"/>
          <w:sz w:val="28"/>
          <w:szCs w:val="28"/>
        </w:rPr>
        <w:t xml:space="preserve"> до </w:t>
      </w:r>
      <w:r w:rsidR="00A3134A">
        <w:rPr>
          <w:rFonts w:ascii="Times New Roman" w:hAnsi="Times New Roman" w:cs="Times New Roman"/>
          <w:sz w:val="28"/>
          <w:szCs w:val="28"/>
        </w:rPr>
        <w:t xml:space="preserve">нього. </w:t>
      </w:r>
    </w:p>
    <w:p w:rsidR="00524139" w:rsidRPr="009E6553" w:rsidRDefault="00D20D82" w:rsidP="00A3200A">
      <w:pPr>
        <w:spacing w:line="240" w:lineRule="auto"/>
        <w:ind w:right="36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553">
        <w:rPr>
          <w:rFonts w:ascii="Times New Roman" w:hAnsi="Times New Roman" w:cs="Times New Roman"/>
          <w:sz w:val="28"/>
          <w:szCs w:val="28"/>
        </w:rPr>
        <w:t>Ек</w:t>
      </w:r>
      <w:r w:rsidR="00AE7AF0">
        <w:rPr>
          <w:rFonts w:ascii="Times New Roman" w:hAnsi="Times New Roman" w:cs="Times New Roman"/>
          <w:sz w:val="28"/>
          <w:szCs w:val="28"/>
        </w:rPr>
        <w:t>с</w:t>
      </w:r>
      <w:r w:rsidRPr="009E6553">
        <w:rPr>
          <w:rFonts w:ascii="Times New Roman" w:hAnsi="Times New Roman" w:cs="Times New Roman"/>
          <w:sz w:val="28"/>
          <w:szCs w:val="28"/>
        </w:rPr>
        <w:t xml:space="preserve">пертиза </w:t>
      </w:r>
      <w:proofErr w:type="spellStart"/>
      <w:r w:rsidRPr="009E6553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9E6553">
        <w:rPr>
          <w:rFonts w:ascii="Times New Roman" w:hAnsi="Times New Roman" w:cs="Times New Roman"/>
          <w:sz w:val="28"/>
          <w:szCs w:val="28"/>
        </w:rPr>
        <w:t xml:space="preserve"> програми здійснена Департаментом економіки та інвестицій виконавчого органу Київської міської ради (Київської міської державної адміністрації) та Департаментом фінансів </w:t>
      </w:r>
      <w:r w:rsidR="009E6553" w:rsidRPr="009E6553">
        <w:rPr>
          <w:rFonts w:ascii="Times New Roman" w:hAnsi="Times New Roman" w:cs="Times New Roman"/>
          <w:sz w:val="28"/>
          <w:szCs w:val="28"/>
        </w:rPr>
        <w:t>виконавчого органу Київської міської ради (Київської міської державної адміністрації)</w:t>
      </w:r>
      <w:r w:rsidR="00D202EA">
        <w:rPr>
          <w:rFonts w:ascii="Times New Roman" w:hAnsi="Times New Roman" w:cs="Times New Roman"/>
          <w:sz w:val="28"/>
          <w:szCs w:val="28"/>
        </w:rPr>
        <w:t>.</w:t>
      </w:r>
    </w:p>
    <w:p w:rsidR="00D202EA" w:rsidRDefault="00D202EA" w:rsidP="00A3200A">
      <w:pPr>
        <w:spacing w:after="0" w:line="240" w:lineRule="auto"/>
        <w:ind w:right="366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17D" w:rsidRDefault="00E017A0" w:rsidP="00A3200A">
      <w:pPr>
        <w:spacing w:after="0" w:line="240" w:lineRule="auto"/>
        <w:ind w:right="366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F417D" w:rsidRPr="00DF417D">
        <w:rPr>
          <w:rFonts w:ascii="Times New Roman" w:hAnsi="Times New Roman" w:cs="Times New Roman"/>
          <w:b/>
          <w:sz w:val="28"/>
          <w:szCs w:val="28"/>
        </w:rPr>
        <w:t xml:space="preserve">Правове обґрунтування необхідності прийняття рішення </w:t>
      </w:r>
      <w:r w:rsidR="00A3200A">
        <w:rPr>
          <w:rFonts w:ascii="Times New Roman" w:hAnsi="Times New Roman" w:cs="Times New Roman"/>
          <w:b/>
          <w:sz w:val="28"/>
          <w:szCs w:val="28"/>
        </w:rPr>
        <w:br/>
      </w:r>
      <w:r w:rsidR="00DF417D" w:rsidRPr="00DF417D">
        <w:rPr>
          <w:rFonts w:ascii="Times New Roman" w:hAnsi="Times New Roman" w:cs="Times New Roman"/>
          <w:b/>
          <w:sz w:val="28"/>
          <w:szCs w:val="28"/>
        </w:rPr>
        <w:t xml:space="preserve">(із посиланням на конкретні положення нормативно-правових актів, на підставі й на виконання яких підготовлено </w:t>
      </w:r>
      <w:proofErr w:type="spellStart"/>
      <w:r w:rsidR="00DF417D" w:rsidRPr="00DF417D">
        <w:rPr>
          <w:rFonts w:ascii="Times New Roman" w:hAnsi="Times New Roman" w:cs="Times New Roman"/>
          <w:b/>
          <w:sz w:val="28"/>
          <w:szCs w:val="28"/>
        </w:rPr>
        <w:t>проєкт</w:t>
      </w:r>
      <w:proofErr w:type="spellEnd"/>
      <w:r w:rsidR="00DF417D" w:rsidRPr="00DF417D">
        <w:rPr>
          <w:rFonts w:ascii="Times New Roman" w:hAnsi="Times New Roman" w:cs="Times New Roman"/>
          <w:b/>
          <w:sz w:val="28"/>
          <w:szCs w:val="28"/>
        </w:rPr>
        <w:t xml:space="preserve"> рішення</w:t>
      </w:r>
      <w:r w:rsidR="00A859D6">
        <w:rPr>
          <w:rFonts w:ascii="Times New Roman" w:hAnsi="Times New Roman" w:cs="Times New Roman"/>
          <w:b/>
          <w:sz w:val="28"/>
          <w:szCs w:val="28"/>
        </w:rPr>
        <w:t>)</w:t>
      </w:r>
      <w:r w:rsidR="00DF417D" w:rsidRPr="00DF417D">
        <w:rPr>
          <w:rFonts w:ascii="Times New Roman" w:hAnsi="Times New Roman" w:cs="Times New Roman"/>
          <w:b/>
          <w:sz w:val="28"/>
          <w:szCs w:val="28"/>
        </w:rPr>
        <w:t>.</w:t>
      </w:r>
    </w:p>
    <w:p w:rsidR="002A1FBC" w:rsidRPr="00721727" w:rsidRDefault="002A1FBC" w:rsidP="00A3200A">
      <w:pPr>
        <w:spacing w:after="0" w:line="240" w:lineRule="auto"/>
        <w:ind w:right="366" w:firstLine="709"/>
        <w:contextualSpacing/>
        <w:jc w:val="both"/>
        <w:rPr>
          <w:rFonts w:ascii="Times New Roman" w:hAnsi="Times New Roman" w:cs="Times New Roman"/>
          <w:w w:val="101"/>
          <w:sz w:val="28"/>
          <w:szCs w:val="28"/>
        </w:rPr>
      </w:pPr>
      <w:r w:rsidRPr="00721727">
        <w:rPr>
          <w:rFonts w:ascii="Times New Roman" w:hAnsi="Times New Roman" w:cs="Times New Roman"/>
          <w:sz w:val="28"/>
          <w:szCs w:val="28"/>
        </w:rPr>
        <w:t>Закон України «Про місцеве самоврядування в Україні»</w:t>
      </w:r>
      <w:r w:rsidR="00E60DDD">
        <w:rPr>
          <w:rFonts w:ascii="Times New Roman" w:hAnsi="Times New Roman" w:cs="Times New Roman"/>
          <w:w w:val="101"/>
          <w:sz w:val="28"/>
          <w:szCs w:val="28"/>
        </w:rPr>
        <w:t>;</w:t>
      </w:r>
    </w:p>
    <w:p w:rsidR="002A1FBC" w:rsidRPr="00721727" w:rsidRDefault="00E60DDD" w:rsidP="00A3200A">
      <w:pPr>
        <w:spacing w:after="0" w:line="240" w:lineRule="auto"/>
        <w:ind w:right="366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закон України «Про культуру»;</w:t>
      </w:r>
    </w:p>
    <w:p w:rsidR="002A1FBC" w:rsidRPr="00D93F54" w:rsidRDefault="00C11F7B" w:rsidP="00A3200A">
      <w:pPr>
        <w:spacing w:after="0" w:line="240" w:lineRule="auto"/>
        <w:ind w:right="366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7" w:tgtFrame="_blank" w:history="1">
        <w:r w:rsidR="002A1FBC" w:rsidRPr="00721727">
          <w:rPr>
            <w:rStyle w:val="hard-blue-color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рішення Київської міської ради від 29 жовтня 2009 року № 520/2589 </w:t>
        </w:r>
        <w:r w:rsidR="00AE7AF0">
          <w:rPr>
            <w:rStyle w:val="hard-blue-color"/>
            <w:rFonts w:ascii="Times New Roman" w:hAnsi="Times New Roman" w:cs="Times New Roman"/>
            <w:sz w:val="28"/>
            <w:szCs w:val="28"/>
            <w:shd w:val="clear" w:color="auto" w:fill="FFFFFF"/>
          </w:rPr>
          <w:br/>
        </w:r>
        <w:r w:rsidR="002A1FBC" w:rsidRPr="00721727">
          <w:rPr>
            <w:rStyle w:val="hard-blue-color"/>
            <w:rFonts w:ascii="Times New Roman" w:hAnsi="Times New Roman" w:cs="Times New Roman"/>
            <w:sz w:val="28"/>
            <w:szCs w:val="28"/>
            <w:shd w:val="clear" w:color="auto" w:fill="FFFFFF"/>
          </w:rPr>
          <w:t>«Про Порядок розроблення, затвердження та виконання міських цільових програм у місті Києві»</w:t>
        </w:r>
      </w:hyperlink>
      <w:r w:rsidR="002A1FBC" w:rsidRPr="007217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A1FBC" w:rsidRPr="00721727">
        <w:rPr>
          <w:rFonts w:ascii="Times New Roman" w:hAnsi="Times New Roman" w:cs="Times New Roman"/>
          <w:w w:val="101"/>
          <w:sz w:val="28"/>
          <w:szCs w:val="28"/>
        </w:rPr>
        <w:t xml:space="preserve">(у редакції рішення Київської міської ради </w:t>
      </w:r>
      <w:r w:rsidR="002A1FBC" w:rsidRPr="00D93F54">
        <w:rPr>
          <w:rFonts w:ascii="Times New Roman" w:hAnsi="Times New Roman" w:cs="Times New Roman"/>
          <w:w w:val="101"/>
          <w:sz w:val="28"/>
          <w:szCs w:val="28"/>
        </w:rPr>
        <w:t>від</w:t>
      </w:r>
      <w:hyperlink r:id="rId8" w:tgtFrame="_blank" w:history="1">
        <w:r w:rsidR="002A1FBC" w:rsidRPr="00D93F5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12 листопада 2019 року </w:t>
        </w:r>
        <w:r w:rsidR="003B23D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br/>
        </w:r>
        <w:r w:rsidR="002A1FBC" w:rsidRPr="00D93F5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№ 65/7638</w:t>
        </w:r>
      </w:hyperlink>
      <w:r w:rsidR="002A1FBC" w:rsidRPr="00D93F54">
        <w:rPr>
          <w:rFonts w:ascii="Times New Roman" w:hAnsi="Times New Roman" w:cs="Times New Roman"/>
          <w:sz w:val="28"/>
          <w:szCs w:val="28"/>
        </w:rPr>
        <w:t>);</w:t>
      </w:r>
      <w:r w:rsidR="002A1FBC" w:rsidRPr="00D93F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E6553" w:rsidRDefault="002A1FBC" w:rsidP="00A3200A">
      <w:pPr>
        <w:spacing w:after="0" w:line="240" w:lineRule="auto"/>
        <w:ind w:right="36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F54">
        <w:rPr>
          <w:rFonts w:ascii="Times New Roman" w:hAnsi="Times New Roman" w:cs="Times New Roman"/>
          <w:sz w:val="28"/>
          <w:szCs w:val="28"/>
        </w:rPr>
        <w:t xml:space="preserve">рішення Київської міської ради </w:t>
      </w:r>
      <w:hyperlink r:id="rId9" w:tgtFrame="_blank" w:history="1">
        <w:r w:rsidRPr="00D93F54">
          <w:rPr>
            <w:rStyle w:val="hard-blue-color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від 15 грудня 2011 року № 824/7060 </w:t>
        </w:r>
        <w:r w:rsidR="00AE7AF0">
          <w:rPr>
            <w:rStyle w:val="hard-blue-color"/>
            <w:rFonts w:ascii="Times New Roman" w:hAnsi="Times New Roman" w:cs="Times New Roman"/>
            <w:sz w:val="28"/>
            <w:szCs w:val="28"/>
            <w:shd w:val="clear" w:color="auto" w:fill="FFFFFF"/>
          </w:rPr>
          <w:br/>
        </w:r>
        <w:r w:rsidRPr="00D93F54">
          <w:rPr>
            <w:rStyle w:val="hard-blue-color"/>
            <w:rFonts w:ascii="Times New Roman" w:hAnsi="Times New Roman" w:cs="Times New Roman"/>
            <w:sz w:val="28"/>
            <w:szCs w:val="28"/>
            <w:shd w:val="clear" w:color="auto" w:fill="FFFFFF"/>
          </w:rPr>
          <w:t>«Про затвердження Стратегії розвитку міста Києва до 2025 року»</w:t>
        </w:r>
      </w:hyperlink>
      <w:r w:rsidRPr="00D93F54">
        <w:rPr>
          <w:rFonts w:ascii="Times New Roman" w:hAnsi="Times New Roman" w:cs="Times New Roman"/>
          <w:sz w:val="28"/>
          <w:szCs w:val="28"/>
        </w:rPr>
        <w:t xml:space="preserve"> (у редакції рішення Київської міської ради від 06 липня 2017 року № 724/2886)</w:t>
      </w:r>
      <w:r w:rsidR="009E6553">
        <w:rPr>
          <w:rFonts w:ascii="Times New Roman" w:hAnsi="Times New Roman" w:cs="Times New Roman"/>
          <w:sz w:val="28"/>
          <w:szCs w:val="28"/>
        </w:rPr>
        <w:t>;</w:t>
      </w:r>
    </w:p>
    <w:p w:rsidR="002A1FBC" w:rsidRDefault="009E6553" w:rsidP="00A3200A">
      <w:pPr>
        <w:spacing w:after="0" w:line="240" w:lineRule="auto"/>
        <w:ind w:right="366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EA1">
        <w:rPr>
          <w:rFonts w:ascii="Times New Roman" w:hAnsi="Times New Roman" w:cs="Times New Roman"/>
          <w:color w:val="000000"/>
          <w:sz w:val="28"/>
          <w:szCs w:val="28"/>
        </w:rPr>
        <w:t xml:space="preserve">розпорядження Київського міського голови від 26.02.2024 № 160 </w:t>
      </w:r>
      <w:r w:rsidR="00AE7A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0EA1">
        <w:rPr>
          <w:rFonts w:ascii="Times New Roman" w:hAnsi="Times New Roman" w:cs="Times New Roman"/>
          <w:color w:val="000000"/>
          <w:sz w:val="28"/>
          <w:szCs w:val="28"/>
        </w:rPr>
        <w:t xml:space="preserve">«Про підготовку </w:t>
      </w:r>
      <w:proofErr w:type="spellStart"/>
      <w:r w:rsidRPr="00650EA1">
        <w:rPr>
          <w:rFonts w:ascii="Times New Roman" w:hAnsi="Times New Roman" w:cs="Times New Roman"/>
          <w:color w:val="000000"/>
          <w:sz w:val="28"/>
          <w:szCs w:val="28"/>
        </w:rPr>
        <w:t>проєкту</w:t>
      </w:r>
      <w:proofErr w:type="spellEnd"/>
      <w:r w:rsidRPr="00650EA1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Комплексної міської цільової програми «Столична культура: 2025–2027 роки»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6553" w:rsidRPr="00D93F54" w:rsidRDefault="009E6553" w:rsidP="00A3200A">
      <w:pPr>
        <w:spacing w:after="0" w:line="240" w:lineRule="auto"/>
        <w:ind w:right="36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2AAB" w:rsidRPr="003A2AAB" w:rsidRDefault="003A2AAB" w:rsidP="00A3200A">
      <w:pPr>
        <w:pStyle w:val="aa"/>
        <w:tabs>
          <w:tab w:val="left" w:pos="851"/>
        </w:tabs>
        <w:spacing w:after="0" w:line="240" w:lineRule="auto"/>
        <w:ind w:left="0" w:right="366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A2AA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3.</w:t>
      </w:r>
      <w:r w:rsidR="00DC768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3A2AA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Опис цілей і завдань, основних положень </w:t>
      </w:r>
      <w:proofErr w:type="spellStart"/>
      <w:r w:rsidRPr="003A2AA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проєкту</w:t>
      </w:r>
      <w:proofErr w:type="spellEnd"/>
      <w:r w:rsidRPr="003A2AA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рішення, а також очікуваних соціально-економічних, правових та інших наслідків для територіальної громади міста Києва від прийняття запропонованого </w:t>
      </w:r>
      <w:proofErr w:type="spellStart"/>
      <w:r w:rsidRPr="003A2AA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проєкту</w:t>
      </w:r>
      <w:proofErr w:type="spellEnd"/>
      <w:r w:rsidRPr="003A2AA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рішення.</w:t>
      </w:r>
    </w:p>
    <w:p w:rsidR="00DC7687" w:rsidRPr="00B82576" w:rsidRDefault="00DC7687" w:rsidP="00A3200A">
      <w:pPr>
        <w:spacing w:line="240" w:lineRule="auto"/>
        <w:ind w:right="36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Метою прийняття цього </w:t>
      </w:r>
      <w:proofErr w:type="spellStart"/>
      <w:r w:rsidRPr="00B825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B8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</w:t>
      </w:r>
      <w:r w:rsidR="009E65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 К</w:t>
      </w:r>
      <w:r w:rsidR="00055875" w:rsidRPr="00B8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омплексної </w:t>
      </w:r>
      <w:r w:rsidR="00B82576" w:rsidRPr="00B82576">
        <w:rPr>
          <w:rFonts w:ascii="Times New Roman" w:eastAsia="Calibri" w:hAnsi="Times New Roman" w:cs="Times New Roman"/>
          <w:sz w:val="28"/>
          <w:szCs w:val="28"/>
        </w:rPr>
        <w:t>міської  цільової програми «Столична культура</w:t>
      </w:r>
      <w:r w:rsidR="00E60DDD">
        <w:rPr>
          <w:rFonts w:ascii="Times New Roman" w:eastAsia="Calibri" w:hAnsi="Times New Roman" w:cs="Times New Roman"/>
          <w:sz w:val="28"/>
          <w:szCs w:val="28"/>
        </w:rPr>
        <w:t>:</w:t>
      </w:r>
      <w:r w:rsidR="00B82576" w:rsidRPr="00B82576">
        <w:rPr>
          <w:rFonts w:ascii="Times New Roman" w:eastAsia="Calibri" w:hAnsi="Times New Roman" w:cs="Times New Roman"/>
          <w:sz w:val="28"/>
          <w:szCs w:val="28"/>
        </w:rPr>
        <w:t xml:space="preserve"> 2025-2027 роки»</w:t>
      </w:r>
      <w:r w:rsidR="00186B4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55875" w:rsidRPr="001C247A" w:rsidRDefault="002A1FBC" w:rsidP="00A3200A">
      <w:pPr>
        <w:spacing w:after="0" w:line="240" w:lineRule="auto"/>
        <w:ind w:right="36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" w:eastAsia="ru-RU"/>
        </w:rPr>
      </w:pPr>
      <w:r w:rsidRPr="001C247A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 xml:space="preserve">Програма є інструментом створення умов для успішного досягнення цілей Стратегії розвитку міста Києва до 2025 року, затвердженої рішенням Київської </w:t>
      </w:r>
      <w:r w:rsidRPr="001C247A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lastRenderedPageBreak/>
        <w:t>міської ради від 15 грудня 2011 року № 824/7060, а</w:t>
      </w:r>
      <w:r w:rsidR="00D202EA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 xml:space="preserve"> саме</w:t>
      </w:r>
      <w:r w:rsidRPr="001C247A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 xml:space="preserve"> </w:t>
      </w:r>
      <w:r w:rsidR="009E6553" w:rsidRPr="001C247A">
        <w:rPr>
          <w:rFonts w:ascii="Times New Roman" w:hAnsi="Times New Roman" w:cs="Times New Roman"/>
          <w:sz w:val="28"/>
          <w:szCs w:val="28"/>
        </w:rPr>
        <w:t xml:space="preserve">створення умов для </w:t>
      </w:r>
      <w:r w:rsidR="009E6553" w:rsidRPr="001C247A">
        <w:rPr>
          <w:rFonts w:ascii="Times New Roman" w:hAnsi="Times New Roman" w:cs="Times New Roman"/>
          <w:sz w:val="28"/>
          <w:szCs w:val="28"/>
          <w:lang w:eastAsia="ru-RU"/>
        </w:rPr>
        <w:t>надання якісних і доступних культурних послуг.</w:t>
      </w:r>
    </w:p>
    <w:p w:rsidR="00055875" w:rsidRDefault="004C6A18" w:rsidP="00A3200A">
      <w:pPr>
        <w:spacing w:after="0" w:line="240" w:lineRule="auto"/>
        <w:ind w:right="36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</w:t>
      </w:r>
      <w:r w:rsidR="00E60DD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</w:t>
      </w:r>
      <w:r w:rsidR="009E6553">
        <w:rPr>
          <w:rFonts w:ascii="Times New Roman" w:eastAsia="Times New Roman" w:hAnsi="Times New Roman" w:cs="Times New Roman"/>
          <w:sz w:val="28"/>
          <w:szCs w:val="28"/>
          <w:lang w:eastAsia="ru-RU"/>
        </w:rPr>
        <w:t>шість пунктів.</w:t>
      </w:r>
    </w:p>
    <w:p w:rsidR="00B82576" w:rsidRPr="00B82576" w:rsidRDefault="00B82576" w:rsidP="00A3200A">
      <w:pPr>
        <w:spacing w:line="240" w:lineRule="auto"/>
        <w:ind w:right="366" w:firstLine="709"/>
        <w:contextualSpacing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  <w:r w:rsidRPr="00B82576">
        <w:rPr>
          <w:rFonts w:ascii="Times New Roman" w:eastAsia="Calibri" w:hAnsi="Times New Roman" w:cs="Times New Roman"/>
          <w:sz w:val="28"/>
          <w:szCs w:val="28"/>
        </w:rPr>
        <w:t>Контроль за виконанням цього рішення покласти на постійну комісію Київської міської ради з питань культури, туризму та суспільних комунікацій та на постійну комісію Київської міської ради з</w:t>
      </w:r>
      <w:r w:rsidR="00E60DDD">
        <w:rPr>
          <w:rFonts w:ascii="Times New Roman" w:eastAsia="Calibri" w:hAnsi="Times New Roman" w:cs="Times New Roman"/>
          <w:sz w:val="28"/>
          <w:szCs w:val="28"/>
        </w:rPr>
        <w:t xml:space="preserve"> питань</w:t>
      </w:r>
      <w:r w:rsidRPr="00B825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2576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бюджету, соціально-економічного розвитку та інвестиційної діяльності</w:t>
      </w:r>
      <w:r w:rsidR="00616456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.</w:t>
      </w:r>
      <w:bookmarkStart w:id="1" w:name="_GoBack"/>
      <w:bookmarkEnd w:id="1"/>
    </w:p>
    <w:p w:rsidR="00D34601" w:rsidRPr="00E017A0" w:rsidRDefault="00D34601" w:rsidP="00A3200A">
      <w:pPr>
        <w:spacing w:after="0" w:line="240" w:lineRule="auto"/>
        <w:ind w:right="36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2AAB" w:rsidRPr="003A2AAB" w:rsidRDefault="003A2AAB" w:rsidP="00A3200A">
      <w:pPr>
        <w:tabs>
          <w:tab w:val="left" w:pos="426"/>
        </w:tabs>
        <w:suppressAutoHyphens/>
        <w:spacing w:after="0" w:line="240" w:lineRule="auto"/>
        <w:ind w:right="366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A2AA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4. Фінансово-економічне обґрунтування та пропозиції щодо джерел покриття цих витрат.</w:t>
      </w:r>
    </w:p>
    <w:p w:rsidR="002A1FBC" w:rsidRDefault="002A1FBC" w:rsidP="00A3200A">
      <w:pPr>
        <w:spacing w:after="0" w:line="240" w:lineRule="auto"/>
        <w:ind w:right="366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  <w:r w:rsidRPr="006557AB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Фінансове забезпечення виконання </w:t>
      </w:r>
      <w:r w:rsidRPr="00930DA3">
        <w:rPr>
          <w:rFonts w:ascii="Times New Roman" w:hAnsi="Times New Roman" w:cs="Times New Roman"/>
          <w:sz w:val="28"/>
          <w:szCs w:val="28"/>
        </w:rPr>
        <w:t>Комплексної</w:t>
      </w:r>
      <w:r w:rsidRPr="00930DA3">
        <w:rPr>
          <w:rFonts w:ascii="Times New Roman" w:hAnsi="Times New Roman" w:cs="Times New Roman"/>
          <w:sz w:val="28"/>
          <w:szCs w:val="28"/>
          <w:lang w:val="uk"/>
        </w:rPr>
        <w:t xml:space="preserve"> міської цільової програми</w:t>
      </w:r>
      <w:r w:rsidRPr="006557AB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здійснюється за рахунок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</w:t>
      </w:r>
      <w:r w:rsidRPr="006557AB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бюджету міста Києва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.</w:t>
      </w:r>
    </w:p>
    <w:p w:rsidR="007C2477" w:rsidRPr="002A1FBC" w:rsidRDefault="007C2477" w:rsidP="00A3200A">
      <w:pPr>
        <w:tabs>
          <w:tab w:val="left" w:pos="426"/>
        </w:tabs>
        <w:suppressAutoHyphens/>
        <w:spacing w:after="0" w:line="240" w:lineRule="auto"/>
        <w:ind w:right="36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" w:eastAsia="ar-SA"/>
        </w:rPr>
      </w:pPr>
    </w:p>
    <w:p w:rsidR="0076249F" w:rsidRPr="0076249F" w:rsidRDefault="0076249F" w:rsidP="00A3200A">
      <w:pPr>
        <w:tabs>
          <w:tab w:val="left" w:pos="426"/>
        </w:tabs>
        <w:suppressAutoHyphens/>
        <w:spacing w:after="0" w:line="240" w:lineRule="auto"/>
        <w:ind w:right="366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6249F">
        <w:rPr>
          <w:rFonts w:ascii="Times New Roman" w:hAnsi="Times New Roman" w:cs="Times New Roman"/>
          <w:b/>
          <w:sz w:val="28"/>
          <w:szCs w:val="28"/>
          <w:lang w:eastAsia="ar-SA"/>
        </w:rPr>
        <w:t>5</w:t>
      </w:r>
      <w:r w:rsidRPr="0076249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r w:rsidRPr="0076249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  <w:t xml:space="preserve">Інформація про те, чи містить </w:t>
      </w:r>
      <w:proofErr w:type="spellStart"/>
      <w:r w:rsidRPr="0076249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проєкт</w:t>
      </w:r>
      <w:proofErr w:type="spellEnd"/>
      <w:r w:rsidRPr="0076249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рішення інформацію з обмеженим доступом.</w:t>
      </w:r>
    </w:p>
    <w:p w:rsidR="0076249F" w:rsidRPr="0076249F" w:rsidRDefault="0076249F" w:rsidP="00A3200A">
      <w:pPr>
        <w:tabs>
          <w:tab w:val="left" w:pos="426"/>
        </w:tabs>
        <w:suppressAutoHyphens/>
        <w:spacing w:after="0" w:line="240" w:lineRule="auto"/>
        <w:ind w:right="366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6249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Зазначений </w:t>
      </w:r>
      <w:proofErr w:type="spellStart"/>
      <w:r w:rsidRPr="0076249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проєкт</w:t>
      </w:r>
      <w:proofErr w:type="spellEnd"/>
      <w:r w:rsidRPr="0076249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рішення Київської міської ради не містить інформації з обмеженим доступом у розумінні статті 6 Закону України «Про доступ до публічної інформації».</w:t>
      </w:r>
    </w:p>
    <w:p w:rsidR="0076249F" w:rsidRPr="0076249F" w:rsidRDefault="0076249F" w:rsidP="00A3200A">
      <w:pPr>
        <w:tabs>
          <w:tab w:val="left" w:pos="426"/>
        </w:tabs>
        <w:suppressAutoHyphens/>
        <w:spacing w:after="0" w:line="240" w:lineRule="auto"/>
        <w:ind w:right="366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6249F" w:rsidRPr="0076249F" w:rsidRDefault="0076249F" w:rsidP="00A3200A">
      <w:pPr>
        <w:tabs>
          <w:tab w:val="left" w:pos="426"/>
        </w:tabs>
        <w:suppressAutoHyphens/>
        <w:spacing w:after="0" w:line="240" w:lineRule="auto"/>
        <w:ind w:right="366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6249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6.</w:t>
      </w:r>
      <w:r w:rsidRPr="0076249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  <w:t xml:space="preserve">Інформація про те, чи стосується </w:t>
      </w:r>
      <w:proofErr w:type="spellStart"/>
      <w:r w:rsidRPr="0076249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проєкт</w:t>
      </w:r>
      <w:proofErr w:type="spellEnd"/>
      <w:r w:rsidRPr="0076249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рішення прав і соціальної захищеності осіб з інвалідністю та який вплив він матиме на життєдіяльність цієї категорії. </w:t>
      </w:r>
    </w:p>
    <w:p w:rsidR="0076249F" w:rsidRPr="0076249F" w:rsidRDefault="0076249F" w:rsidP="00A3200A">
      <w:pPr>
        <w:tabs>
          <w:tab w:val="left" w:pos="426"/>
        </w:tabs>
        <w:suppressAutoHyphens/>
        <w:spacing w:after="0" w:line="240" w:lineRule="auto"/>
        <w:ind w:right="366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6249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Зазначений </w:t>
      </w:r>
      <w:proofErr w:type="spellStart"/>
      <w:r w:rsidRPr="0076249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проєкт</w:t>
      </w:r>
      <w:proofErr w:type="spellEnd"/>
      <w:r w:rsidRPr="0076249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рішення </w:t>
      </w:r>
      <w:r w:rsidR="00AE7A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прямо </w:t>
      </w:r>
      <w:r w:rsidRPr="0076249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не стосується прав і соціальної захищеності осіб з інвалідністю та не має </w:t>
      </w:r>
      <w:r w:rsidR="00AE7A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безпосереднього </w:t>
      </w:r>
      <w:r w:rsidRPr="0076249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впливу на життєдіяльність цієї категорії.</w:t>
      </w:r>
    </w:p>
    <w:p w:rsidR="0076249F" w:rsidRPr="0076249F" w:rsidRDefault="0076249F" w:rsidP="00A3200A">
      <w:pPr>
        <w:tabs>
          <w:tab w:val="left" w:pos="426"/>
        </w:tabs>
        <w:suppressAutoHyphens/>
        <w:spacing w:after="0" w:line="240" w:lineRule="auto"/>
        <w:ind w:right="366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6249F" w:rsidRPr="0076249F" w:rsidRDefault="0076249F" w:rsidP="00A3200A">
      <w:pPr>
        <w:tabs>
          <w:tab w:val="left" w:pos="426"/>
        </w:tabs>
        <w:suppressAutoHyphens/>
        <w:spacing w:after="0" w:line="240" w:lineRule="auto"/>
        <w:ind w:right="366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6249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7. Прізвище або назва суб’єкта подання, прізвище, посада, контактні дані доповідача </w:t>
      </w:r>
      <w:proofErr w:type="spellStart"/>
      <w:r w:rsidRPr="0076249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проєкту</w:t>
      </w:r>
      <w:proofErr w:type="spellEnd"/>
      <w:r w:rsidRPr="0076249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рішення на пленарному засіданні та особи, відповідальної за супроводження </w:t>
      </w:r>
      <w:proofErr w:type="spellStart"/>
      <w:r w:rsidRPr="0076249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проєкту</w:t>
      </w:r>
      <w:proofErr w:type="spellEnd"/>
      <w:r w:rsidRPr="0076249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рішення.</w:t>
      </w:r>
    </w:p>
    <w:p w:rsidR="0076249F" w:rsidRPr="0076249F" w:rsidRDefault="0076249F" w:rsidP="00A3200A">
      <w:pPr>
        <w:tabs>
          <w:tab w:val="left" w:pos="426"/>
        </w:tabs>
        <w:suppressAutoHyphens/>
        <w:spacing w:after="0" w:line="240" w:lineRule="auto"/>
        <w:ind w:right="366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6249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Суб’єктом подання цього </w:t>
      </w:r>
      <w:proofErr w:type="spellStart"/>
      <w:r w:rsidRPr="0076249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проєкту</w:t>
      </w:r>
      <w:proofErr w:type="spellEnd"/>
      <w:r w:rsidRPr="0076249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рішення є </w:t>
      </w:r>
      <w:r w:rsidR="004C6A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76249F" w:rsidRPr="0076249F" w:rsidRDefault="0076249F" w:rsidP="00A3200A">
      <w:pPr>
        <w:tabs>
          <w:tab w:val="left" w:pos="426"/>
        </w:tabs>
        <w:suppressAutoHyphens/>
        <w:spacing w:after="0" w:line="240" w:lineRule="auto"/>
        <w:ind w:right="366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6249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Особою, відповідальною за супроводження </w:t>
      </w:r>
      <w:proofErr w:type="spellStart"/>
      <w:r w:rsidRPr="0076249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проєкту</w:t>
      </w:r>
      <w:proofErr w:type="spellEnd"/>
      <w:r w:rsidRPr="0076249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рішення Київської міської ради та доповідачем на пленарному засіданні Київської міської ради є д</w:t>
      </w:r>
      <w:r w:rsidR="004C6A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иректор Департаменту культури виконавчого органу Київської міської ради (Київської міської державної адміністрації)</w:t>
      </w:r>
      <w:r w:rsidRPr="0076249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4C6A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Сергій АНЖИЯК</w:t>
      </w:r>
      <w:r w:rsidRPr="0076249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76249F" w:rsidRPr="0076249F" w:rsidRDefault="0076249F" w:rsidP="00A3200A">
      <w:pPr>
        <w:tabs>
          <w:tab w:val="left" w:pos="426"/>
        </w:tabs>
        <w:suppressAutoHyphens/>
        <w:spacing w:after="0" w:line="240" w:lineRule="auto"/>
        <w:ind w:right="366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10540" w:rsidRPr="0076249F" w:rsidRDefault="00010540" w:rsidP="00A3200A">
      <w:pPr>
        <w:ind w:left="-284" w:right="366"/>
        <w:rPr>
          <w:rFonts w:ascii="Times New Roman" w:hAnsi="Times New Roman" w:cs="Times New Roman"/>
          <w:color w:val="000000"/>
          <w:sz w:val="28"/>
          <w:szCs w:val="28"/>
        </w:rPr>
      </w:pPr>
    </w:p>
    <w:p w:rsidR="00010540" w:rsidRPr="0076249F" w:rsidRDefault="005A2559" w:rsidP="00A3200A">
      <w:pPr>
        <w:ind w:left="-284" w:right="366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1C247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>Директор Департаменту культури                                                   Сергій АНЖИЯК</w:t>
      </w:r>
    </w:p>
    <w:p w:rsidR="007C2477" w:rsidRPr="00E81C67" w:rsidRDefault="007C2477" w:rsidP="00DC7687">
      <w:pPr>
        <w:pStyle w:val="Style9"/>
        <w:tabs>
          <w:tab w:val="left" w:pos="426"/>
          <w:tab w:val="left" w:pos="7088"/>
        </w:tabs>
        <w:suppressAutoHyphens/>
        <w:spacing w:after="0" w:line="240" w:lineRule="auto"/>
        <w:jc w:val="both"/>
        <w:rPr>
          <w:rStyle w:val="FontStyle22"/>
          <w:sz w:val="28"/>
          <w:szCs w:val="28"/>
          <w:lang w:val="uk-UA" w:eastAsia="uk-UA"/>
        </w:rPr>
      </w:pPr>
    </w:p>
    <w:sectPr w:rsidR="007C2477" w:rsidRPr="00E81C67" w:rsidSect="00ED7B24">
      <w:pgSz w:w="11906" w:h="16838"/>
      <w:pgMar w:top="426" w:right="454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D74F82"/>
    <w:multiLevelType w:val="hybridMultilevel"/>
    <w:tmpl w:val="0A804252"/>
    <w:lvl w:ilvl="0" w:tplc="CBC282A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67"/>
    <w:rsid w:val="00001A40"/>
    <w:rsid w:val="00010540"/>
    <w:rsid w:val="00017112"/>
    <w:rsid w:val="000476B7"/>
    <w:rsid w:val="0005073B"/>
    <w:rsid w:val="00052769"/>
    <w:rsid w:val="00055875"/>
    <w:rsid w:val="000716D8"/>
    <w:rsid w:val="00077D8F"/>
    <w:rsid w:val="0008533E"/>
    <w:rsid w:val="00086A80"/>
    <w:rsid w:val="000A1589"/>
    <w:rsid w:val="000F3777"/>
    <w:rsid w:val="000F6D9F"/>
    <w:rsid w:val="00110655"/>
    <w:rsid w:val="00116A95"/>
    <w:rsid w:val="00122917"/>
    <w:rsid w:val="001508F8"/>
    <w:rsid w:val="001647FB"/>
    <w:rsid w:val="00186B44"/>
    <w:rsid w:val="001B10A4"/>
    <w:rsid w:val="001B2050"/>
    <w:rsid w:val="001C247A"/>
    <w:rsid w:val="001F3F42"/>
    <w:rsid w:val="001F6628"/>
    <w:rsid w:val="0020445B"/>
    <w:rsid w:val="00206FB2"/>
    <w:rsid w:val="00236DCB"/>
    <w:rsid w:val="002648A2"/>
    <w:rsid w:val="00294940"/>
    <w:rsid w:val="002A1FBC"/>
    <w:rsid w:val="002A396D"/>
    <w:rsid w:val="002C1752"/>
    <w:rsid w:val="00300DBA"/>
    <w:rsid w:val="00302784"/>
    <w:rsid w:val="00343C95"/>
    <w:rsid w:val="00354064"/>
    <w:rsid w:val="0037359E"/>
    <w:rsid w:val="00397B1B"/>
    <w:rsid w:val="003A2AAB"/>
    <w:rsid w:val="003B23D4"/>
    <w:rsid w:val="003B3CDB"/>
    <w:rsid w:val="003C217F"/>
    <w:rsid w:val="003F0FAA"/>
    <w:rsid w:val="003F1E5B"/>
    <w:rsid w:val="004256FC"/>
    <w:rsid w:val="00452D8B"/>
    <w:rsid w:val="004619AD"/>
    <w:rsid w:val="00494FFB"/>
    <w:rsid w:val="004C6A18"/>
    <w:rsid w:val="004C7DD7"/>
    <w:rsid w:val="004C7E2B"/>
    <w:rsid w:val="004D2C91"/>
    <w:rsid w:val="004D7388"/>
    <w:rsid w:val="004F797C"/>
    <w:rsid w:val="0051356D"/>
    <w:rsid w:val="00524139"/>
    <w:rsid w:val="00541629"/>
    <w:rsid w:val="00541F85"/>
    <w:rsid w:val="00555DAA"/>
    <w:rsid w:val="0057535F"/>
    <w:rsid w:val="005764AB"/>
    <w:rsid w:val="00577AA8"/>
    <w:rsid w:val="00583207"/>
    <w:rsid w:val="005A2559"/>
    <w:rsid w:val="005A3E62"/>
    <w:rsid w:val="005E3DA8"/>
    <w:rsid w:val="005F00BE"/>
    <w:rsid w:val="005F24E5"/>
    <w:rsid w:val="00616456"/>
    <w:rsid w:val="00650EA1"/>
    <w:rsid w:val="00672919"/>
    <w:rsid w:val="00693022"/>
    <w:rsid w:val="006952BA"/>
    <w:rsid w:val="006A5491"/>
    <w:rsid w:val="006B58C5"/>
    <w:rsid w:val="006C0A8C"/>
    <w:rsid w:val="006D400C"/>
    <w:rsid w:val="0070632D"/>
    <w:rsid w:val="007142F0"/>
    <w:rsid w:val="0072505A"/>
    <w:rsid w:val="00737120"/>
    <w:rsid w:val="007523D0"/>
    <w:rsid w:val="00760B2E"/>
    <w:rsid w:val="0076249F"/>
    <w:rsid w:val="00777ECD"/>
    <w:rsid w:val="00791CD8"/>
    <w:rsid w:val="00795C11"/>
    <w:rsid w:val="007A0D0B"/>
    <w:rsid w:val="007C2477"/>
    <w:rsid w:val="007C620A"/>
    <w:rsid w:val="007E07AF"/>
    <w:rsid w:val="008046F1"/>
    <w:rsid w:val="0083149F"/>
    <w:rsid w:val="00845F71"/>
    <w:rsid w:val="00846386"/>
    <w:rsid w:val="008D4879"/>
    <w:rsid w:val="008F40C0"/>
    <w:rsid w:val="008F795F"/>
    <w:rsid w:val="0091510A"/>
    <w:rsid w:val="00941711"/>
    <w:rsid w:val="009702CE"/>
    <w:rsid w:val="009723EA"/>
    <w:rsid w:val="0099494E"/>
    <w:rsid w:val="009A1299"/>
    <w:rsid w:val="009A2B5D"/>
    <w:rsid w:val="009B66D7"/>
    <w:rsid w:val="009E6553"/>
    <w:rsid w:val="009E66C0"/>
    <w:rsid w:val="009F5862"/>
    <w:rsid w:val="00A07922"/>
    <w:rsid w:val="00A171BC"/>
    <w:rsid w:val="00A2328B"/>
    <w:rsid w:val="00A3134A"/>
    <w:rsid w:val="00A3200A"/>
    <w:rsid w:val="00A34960"/>
    <w:rsid w:val="00A47707"/>
    <w:rsid w:val="00A72B38"/>
    <w:rsid w:val="00A859D6"/>
    <w:rsid w:val="00A939A6"/>
    <w:rsid w:val="00AB5BE9"/>
    <w:rsid w:val="00AB77EF"/>
    <w:rsid w:val="00AC3336"/>
    <w:rsid w:val="00AE1265"/>
    <w:rsid w:val="00AE7AF0"/>
    <w:rsid w:val="00AF0654"/>
    <w:rsid w:val="00B720B6"/>
    <w:rsid w:val="00B74ACB"/>
    <w:rsid w:val="00B82576"/>
    <w:rsid w:val="00B85385"/>
    <w:rsid w:val="00BB4004"/>
    <w:rsid w:val="00BC4173"/>
    <w:rsid w:val="00BD02E5"/>
    <w:rsid w:val="00BD471A"/>
    <w:rsid w:val="00BE7096"/>
    <w:rsid w:val="00C04D30"/>
    <w:rsid w:val="00C11F7B"/>
    <w:rsid w:val="00C16873"/>
    <w:rsid w:val="00C24992"/>
    <w:rsid w:val="00C9527A"/>
    <w:rsid w:val="00CC35EE"/>
    <w:rsid w:val="00CD4D04"/>
    <w:rsid w:val="00CD62A1"/>
    <w:rsid w:val="00CE3ED8"/>
    <w:rsid w:val="00CF3B86"/>
    <w:rsid w:val="00D14432"/>
    <w:rsid w:val="00D202EA"/>
    <w:rsid w:val="00D20D82"/>
    <w:rsid w:val="00D34601"/>
    <w:rsid w:val="00D4054F"/>
    <w:rsid w:val="00D44E92"/>
    <w:rsid w:val="00D50188"/>
    <w:rsid w:val="00D50833"/>
    <w:rsid w:val="00D630FE"/>
    <w:rsid w:val="00D93F54"/>
    <w:rsid w:val="00DC7687"/>
    <w:rsid w:val="00DC7C89"/>
    <w:rsid w:val="00DD451D"/>
    <w:rsid w:val="00DE4549"/>
    <w:rsid w:val="00DF417D"/>
    <w:rsid w:val="00DF4DD7"/>
    <w:rsid w:val="00E017A0"/>
    <w:rsid w:val="00E11282"/>
    <w:rsid w:val="00E2153E"/>
    <w:rsid w:val="00E60DDD"/>
    <w:rsid w:val="00E672AD"/>
    <w:rsid w:val="00E704C0"/>
    <w:rsid w:val="00E924D0"/>
    <w:rsid w:val="00EA00B4"/>
    <w:rsid w:val="00EA4D16"/>
    <w:rsid w:val="00ED7B24"/>
    <w:rsid w:val="00F02967"/>
    <w:rsid w:val="00F22424"/>
    <w:rsid w:val="00F24216"/>
    <w:rsid w:val="00F42BB3"/>
    <w:rsid w:val="00F5418F"/>
    <w:rsid w:val="00F9160C"/>
    <w:rsid w:val="00FD33F6"/>
    <w:rsid w:val="00FF267A"/>
    <w:rsid w:val="00FF40BD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26CD8-CA61-4C5F-BA92-1CA9809A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044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20445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Style9">
    <w:name w:val="Style9"/>
    <w:basedOn w:val="a"/>
    <w:uiPriority w:val="99"/>
    <w:rsid w:val="005F24E5"/>
    <w:rPr>
      <w:rFonts w:ascii="Times New Roman" w:eastAsia="Times New Roman" w:hAnsi="Times New Roman" w:cs="Times New Roman"/>
      <w:lang w:val="en-US" w:bidi="en-US"/>
    </w:rPr>
  </w:style>
  <w:style w:type="character" w:customStyle="1" w:styleId="FontStyle22">
    <w:name w:val="Font Style22"/>
    <w:uiPriority w:val="99"/>
    <w:rsid w:val="005F24E5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5F24E5"/>
    <w:rPr>
      <w:rFonts w:ascii="Times New Roman" w:hAnsi="Times New Roman" w:cs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5F24E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F24E5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5F24E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F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F24E5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BD0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j">
    <w:name w:val="tj"/>
    <w:basedOn w:val="a"/>
    <w:rsid w:val="004D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List Paragraph"/>
    <w:aliases w:val="List Paragraph,1. Абзац списка,List Paragraph1,Абзац списка1,body 2,List Paragraph11,Mummuga loetelu,Loendi lõik,2,List Paragraph à moi,Dot pt,No Spacing1,List Paragraph Char Char Char,Indicator Text,Numbered Para 1,Welt L Char,Welt L,列出段落"/>
    <w:basedOn w:val="a"/>
    <w:link w:val="ab"/>
    <w:uiPriority w:val="34"/>
    <w:qFormat/>
    <w:rsid w:val="00FD33F6"/>
    <w:pPr>
      <w:ind w:left="720"/>
      <w:contextualSpacing/>
    </w:pPr>
  </w:style>
  <w:style w:type="character" w:customStyle="1" w:styleId="ab">
    <w:name w:val="Абзац списку Знак"/>
    <w:aliases w:val="List Paragraph Знак,1. Абзац списка Знак,List Paragraph1 Знак,Абзац списка1 Знак,body 2 Знак,List Paragraph11 Знак,Mummuga loetelu Знак,Loendi lõik Знак,2 Знак,List Paragraph à moi Знак,Dot pt Знак,No Spacing1 Знак,Indicator Text Знак"/>
    <w:link w:val="aa"/>
    <w:uiPriority w:val="34"/>
    <w:qFormat/>
    <w:locked/>
    <w:rsid w:val="00452D8B"/>
  </w:style>
  <w:style w:type="character" w:styleId="ac">
    <w:name w:val="Hyperlink"/>
    <w:uiPriority w:val="99"/>
    <w:semiHidden/>
    <w:unhideWhenUsed/>
    <w:rsid w:val="002A1FBC"/>
    <w:rPr>
      <w:color w:val="0000FF"/>
      <w:u w:val="single"/>
    </w:rPr>
  </w:style>
  <w:style w:type="character" w:customStyle="1" w:styleId="hard-blue-color">
    <w:name w:val="hard-blue-color"/>
    <w:rsid w:val="002A1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9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mr190974?ed=2019_11_12&amp;an=7" TargetMode="External"/><Relationship Id="rId3" Type="http://schemas.openxmlformats.org/officeDocument/2006/relationships/styles" Target="styles.xml"/><Relationship Id="rId7" Type="http://schemas.openxmlformats.org/officeDocument/2006/relationships/hyperlink" Target="https://ips.ligazakon.net/document/view/mr091622?ed=2019_11_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ps.ligazakon.net/document/view/MR11160Z?ed=2017_07_0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ps.ligazakon.net/document/view/mr11160z?ed=2017_07_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CF49A-B15D-4089-A1CF-A3336F40C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3</Pages>
  <Words>5308</Words>
  <Characters>3027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Лендел Лариса Петрівна</dc:creator>
  <cp:lastModifiedBy>Бабенко Алла Олексіївна</cp:lastModifiedBy>
  <cp:revision>33</cp:revision>
  <cp:lastPrinted>2024-05-30T10:18:00Z</cp:lastPrinted>
  <dcterms:created xsi:type="dcterms:W3CDTF">2024-05-13T12:50:00Z</dcterms:created>
  <dcterms:modified xsi:type="dcterms:W3CDTF">2024-05-30T10:41:00Z</dcterms:modified>
</cp:coreProperties>
</file>