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201590726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201590726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26862BE5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4F6204">
        <w:rPr>
          <w:b/>
          <w:bCs/>
          <w:i w:val="0"/>
          <w:iCs w:val="0"/>
          <w:sz w:val="24"/>
          <w:szCs w:val="24"/>
          <w:lang w:val="ru-RU"/>
        </w:rPr>
        <w:t>ПЗН-54071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4F6204">
        <w:rPr>
          <w:b/>
          <w:bCs/>
          <w:i w:val="0"/>
          <w:sz w:val="24"/>
          <w:szCs w:val="24"/>
          <w:lang w:val="ru-RU"/>
        </w:rPr>
        <w:t>04.05.2023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1E1F0471" w:rsidR="00AC22F0" w:rsidRPr="00CF2418" w:rsidRDefault="00A87BF7" w:rsidP="00A87BF7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  <w:r w:rsidRPr="00A87BF7">
        <w:rPr>
          <w:rFonts w:eastAsia="Georgia"/>
          <w:b/>
          <w:i/>
          <w:iCs/>
          <w:sz w:val="24"/>
          <w:szCs w:val="24"/>
        </w:rPr>
        <w:t>Про надання ТОВАРИСТВУ З ОБМЕЖЕНОЮ ВІДПОВІДАЛЬНІСТЮ «СТОЛИЧНА ПРОЕКТНО-БУДІВЕЛЬНА КОМПАНІЯ» дозволу на розроблення проєкту землеустрою щодо відведення земельних ділянок в оренду для будівництва і обслуговування будівель закладів освіти на вул. Академіка Туполєва, 12 у Шевченківському районі міста Києва (зміна цільового призначення)</w:t>
      </w: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«СТОЛИЧНА ПРОЕКТНО-БУДІВЕЛЬНА КОМПАНІЯ»</w:t>
            </w:r>
          </w:p>
        </w:tc>
      </w:tr>
      <w:tr w:rsidR="00E94376" w:rsidRPr="0057685E" w14:paraId="771EC876" w14:textId="77777777" w:rsidTr="00295850">
        <w:trPr>
          <w:cantSplit/>
          <w:trHeight w:val="738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17B18683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5E9519A4" w14:textId="77777777" w:rsidR="00295850" w:rsidRPr="00295850" w:rsidRDefault="00295850" w:rsidP="00295850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295850">
              <w:rPr>
                <w:b w:val="0"/>
                <w:i/>
                <w:sz w:val="24"/>
                <w:szCs w:val="24"/>
              </w:rPr>
              <w:t>ГАББРО ЛІМІТЕД (GABBRO LIMITED) КОМПАНИЯ</w:t>
            </w:r>
          </w:p>
          <w:p w14:paraId="08C13519" w14:textId="19058112" w:rsidR="00E94376" w:rsidRPr="0057685E" w:rsidRDefault="00295850" w:rsidP="00295850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295850">
              <w:rPr>
                <w:b w:val="0"/>
                <w:i/>
                <w:sz w:val="24"/>
                <w:szCs w:val="24"/>
              </w:rPr>
              <w:t>Кіпр, 1060, НІКОСІЯ, ВУЛИЦЯ АННІС КОМНІНІС, БУД. 4, ОФІС 202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1C003E4C" w14:textId="77777777" w:rsidR="00295850" w:rsidRPr="00295850" w:rsidRDefault="00295850" w:rsidP="002958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295850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>СЕРДЮК АРТУР АНДРІЙОВИЧ</w:t>
            </w:r>
          </w:p>
          <w:p w14:paraId="506298E3" w14:textId="77777777" w:rsidR="00295850" w:rsidRPr="00295850" w:rsidRDefault="00295850" w:rsidP="002958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r w:rsidRPr="00295850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  <w:t xml:space="preserve">Україна, 04114, місто Київ, пров.Макіївський </w:t>
            </w:r>
          </w:p>
          <w:p w14:paraId="71902DE7" w14:textId="77777777" w:rsidR="00295850" w:rsidRPr="00295850" w:rsidRDefault="00295850" w:rsidP="002958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29585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БУБКО АЛІНА ВЕНІАМІНІВНА</w:t>
            </w:r>
          </w:p>
          <w:p w14:paraId="7119BDE8" w14:textId="433DF745" w:rsidR="00E94376" w:rsidRPr="0057685E" w:rsidRDefault="00295850" w:rsidP="0029585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95850">
              <w:rPr>
                <w:rFonts w:eastAsia="Courier New"/>
                <w:b w:val="0"/>
                <w:bCs w:val="0"/>
                <w:i/>
                <w:sz w:val="24"/>
                <w:szCs w:val="24"/>
                <w:lang w:val="ru-RU"/>
              </w:rPr>
              <w:t>Україна, 02081, місто Київ, пр.Григоренка Петра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01.05.2023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201590726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706C8A88" w:rsidR="00080D65" w:rsidRPr="0057685E" w:rsidRDefault="00295850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Відомості про земельні</w:t>
      </w:r>
      <w:r w:rsidR="007B72F8" w:rsidRPr="0057685E">
        <w:rPr>
          <w:b w:val="0"/>
          <w:sz w:val="24"/>
          <w:szCs w:val="24"/>
        </w:rPr>
        <w:t xml:space="preserve"> ділянк</w:t>
      </w:r>
      <w:r>
        <w:rPr>
          <w:b w:val="0"/>
          <w:sz w:val="24"/>
          <w:szCs w:val="24"/>
        </w:rPr>
        <w:t>и</w:t>
      </w:r>
      <w:r w:rsidR="007B72F8" w:rsidRPr="0057685E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кадастрові</w:t>
      </w:r>
      <w:r w:rsidR="007B72F8"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8000000000:88:014:030</w:t>
      </w:r>
      <w:r>
        <w:rPr>
          <w:b w:val="0"/>
          <w:sz w:val="24"/>
          <w:szCs w:val="24"/>
        </w:rPr>
        <w:t>4</w:t>
      </w:r>
      <w:r w:rsidR="0027157C" w:rsidRPr="0057685E">
        <w:rPr>
          <w:b w:val="0"/>
          <w:sz w:val="24"/>
          <w:szCs w:val="24"/>
        </w:rPr>
        <w:t>; 8000000000:88:014:030</w:t>
      </w:r>
      <w:r>
        <w:rPr>
          <w:b w:val="0"/>
          <w:sz w:val="24"/>
          <w:szCs w:val="24"/>
        </w:rPr>
        <w:t>5</w:t>
      </w:r>
      <w:r w:rsidR="007B72F8"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5F32E526" w:rsidR="008A338E" w:rsidRPr="0057685E" w:rsidRDefault="007B72F8" w:rsidP="00295850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Шевченківський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Академіка Туполєва, 12 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75515D89" w:rsidR="008A338E" w:rsidRPr="0057685E" w:rsidRDefault="00726D11" w:rsidP="00806E8F">
            <w:pPr>
              <w:pStyle w:val="a4"/>
              <w:shd w:val="clear" w:color="auto" w:fill="auto"/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0,25</w:t>
            </w:r>
            <w:r w:rsidR="00295850">
              <w:rPr>
                <w:i/>
                <w:iCs/>
                <w:sz w:val="24"/>
                <w:szCs w:val="24"/>
              </w:rPr>
              <w:t>19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  <w:r w:rsidR="00806E8F">
              <w:rPr>
                <w:i/>
                <w:iCs/>
                <w:sz w:val="24"/>
                <w:szCs w:val="24"/>
              </w:rPr>
              <w:t>; 1,7116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1C2E20">
        <w:trPr>
          <w:trHeight w:hRule="exact" w:val="2320"/>
        </w:trPr>
        <w:tc>
          <w:tcPr>
            <w:tcW w:w="3293" w:type="dxa"/>
            <w:shd w:val="clear" w:color="auto" w:fill="FFFFFF"/>
          </w:tcPr>
          <w:p w14:paraId="2C9BDBEE" w14:textId="7C9D8A71" w:rsidR="00CF2418" w:rsidRPr="0057685E" w:rsidRDefault="003B3924" w:rsidP="001C2E2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2E20">
              <w:rPr>
                <w:sz w:val="24"/>
                <w:szCs w:val="24"/>
              </w:rPr>
              <w:t>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6AC40867" w14:textId="6D47918C" w:rsidR="001C2E20" w:rsidRDefault="001C2E20" w:rsidP="00295850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C2E20">
              <w:rPr>
                <w:i/>
                <w:sz w:val="24"/>
                <w:szCs w:val="24"/>
              </w:rPr>
              <w:t>Існуюче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C2E2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C2E20">
              <w:rPr>
                <w:i/>
                <w:sz w:val="24"/>
                <w:szCs w:val="24"/>
              </w:rPr>
              <w:t>03.15 для будівництва та обслуговування інших будівель громадської забудови (для будівництва, експлуатації та обслуговування житлово-офісного, торговельного комплексу з наземними і підземними паркінгами та вбудовано-прибудованими приміщеннями громадського, соціального то торговельного призначення</w:t>
            </w:r>
            <w:r>
              <w:rPr>
                <w:i/>
                <w:sz w:val="24"/>
                <w:szCs w:val="24"/>
              </w:rPr>
              <w:t>)</w:t>
            </w:r>
          </w:p>
          <w:p w14:paraId="0974DE50" w14:textId="4714C8FE" w:rsidR="00235FE4" w:rsidRPr="001C2E20" w:rsidRDefault="001C2E20" w:rsidP="00295850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Проєктне - 03.02 для </w:t>
            </w:r>
            <w:r w:rsidR="00F924EE" w:rsidRPr="0057685E">
              <w:rPr>
                <w:i/>
                <w:sz w:val="24"/>
                <w:szCs w:val="24"/>
              </w:rPr>
              <w:t>будівництва і обслуговування будівель закладів освіти</w:t>
            </w:r>
          </w:p>
          <w:p w14:paraId="7250F913" w14:textId="0034ED01" w:rsidR="00CF2418" w:rsidRPr="0057685E" w:rsidRDefault="00F924EE" w:rsidP="00295850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60C40088" w14:textId="5272D019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  <w:r w:rsidRPr="00C7476E">
        <w:rPr>
          <w:i w:val="0"/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</w:t>
      </w:r>
      <w:r w:rsidR="00694E25">
        <w:rPr>
          <w:i w:val="0"/>
          <w:sz w:val="24"/>
          <w:szCs w:val="24"/>
        </w:rPr>
        <w:t>зміну цільового призначення земельних ділянок.</w:t>
      </w:r>
    </w:p>
    <w:p w14:paraId="31C9B3F3" w14:textId="3D0CF7D3" w:rsidR="00694E25" w:rsidRDefault="00694E25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0CC26FBF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1B235B5A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1BCE3E7A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5351D18C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6DF52CDD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63A3081B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083F41E3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6752F906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0D604512" w14:textId="77777777" w:rsidR="00D91C5E" w:rsidRDefault="00D91C5E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49CB8B07" w14:textId="69BCDC67" w:rsidR="00823CCF" w:rsidRPr="00C7476E" w:rsidRDefault="00823CCF" w:rsidP="00D91C5E">
      <w:pPr>
        <w:pStyle w:val="a7"/>
        <w:pBdr>
          <w:bottom w:val="single" w:sz="4" w:space="1" w:color="auto"/>
        </w:pBdr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57685E">
        <w:trPr>
          <w:cantSplit/>
          <w:trHeight w:val="864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45148298" w:rsidR="00622A5B" w:rsidRPr="00F336A8" w:rsidRDefault="00BF6ECA" w:rsidP="00694E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1C14E8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1C14E8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забудован</w:t>
            </w:r>
            <w:r w:rsidR="001C14E8">
              <w:rPr>
                <w:rFonts w:ascii="Times New Roman" w:eastAsia="Times New Roman" w:hAnsi="Times New Roman" w:cs="Times New Roman"/>
                <w:i/>
              </w:rPr>
              <w:t>і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 xml:space="preserve"> Розміщено </w:t>
            </w:r>
            <w:r w:rsidR="001B69EB">
              <w:rPr>
                <w:rFonts w:ascii="Times New Roman" w:eastAsia="Times New Roman" w:hAnsi="Times New Roman" w:cs="Times New Roman"/>
                <w:i/>
              </w:rPr>
              <w:t>незавершене будівництво (реєстраційний номер об’єкта нерухомого майна:</w:t>
            </w:r>
            <w:r w:rsidR="00A256E8">
              <w:rPr>
                <w:rFonts w:ascii="Times New Roman" w:eastAsia="Times New Roman" w:hAnsi="Times New Roman" w:cs="Times New Roman"/>
                <w:i/>
              </w:rPr>
              <w:t xml:space="preserve"> 2726261180000)</w:t>
            </w:r>
            <w:r w:rsidR="00002966">
              <w:rPr>
                <w:rFonts w:ascii="Times New Roman" w:eastAsia="Times New Roman" w:hAnsi="Times New Roman" w:cs="Times New Roman"/>
                <w:i/>
              </w:rPr>
              <w:t xml:space="preserve">, який належить на праві власності ТОВ </w:t>
            </w:r>
            <w:r w:rsidR="00002966" w:rsidRPr="00002966">
              <w:rPr>
                <w:rFonts w:ascii="Times New Roman" w:eastAsia="Times New Roman" w:hAnsi="Times New Roman" w:cs="Times New Roman"/>
                <w:i/>
              </w:rPr>
              <w:t>«СТОЛИЧНА ПРОЕКТНО-БУДІВЕЛЬНА КОМПАНІЯ»</w:t>
            </w:r>
            <w:r w:rsidR="00A256E8">
              <w:rPr>
                <w:rFonts w:ascii="Times New Roman" w:eastAsia="Times New Roman" w:hAnsi="Times New Roman" w:cs="Times New Roman"/>
                <w:i/>
              </w:rPr>
              <w:t>.</w:t>
            </w:r>
            <w:r w:rsidR="0000296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72303">
              <w:rPr>
                <w:rFonts w:ascii="Times New Roman" w:eastAsia="Times New Roman" w:hAnsi="Times New Roman" w:cs="Times New Roman"/>
                <w:i/>
              </w:rPr>
              <w:t>Згідно технічного паспорту, виданого ТОВ «РИМАН БЮРО» на основі проектних даних, загальноосвітня школа на 520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72303">
              <w:rPr>
                <w:rFonts w:ascii="Times New Roman" w:eastAsia="Times New Roman" w:hAnsi="Times New Roman" w:cs="Times New Roman"/>
                <w:i/>
              </w:rPr>
              <w:t>місць із закладом дошкільної освіти на 120 місць (4 черга, 2п.к.), позначена на плані під літ 2Ц, у складі об’єкту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72303">
              <w:rPr>
                <w:rFonts w:ascii="Times New Roman" w:eastAsia="Times New Roman" w:hAnsi="Times New Roman" w:cs="Times New Roman"/>
                <w:i/>
              </w:rPr>
              <w:t xml:space="preserve">«Будівництво житлово-офісного, торговельного комплексу з надземними і підземними паркінгами  та  вбудовано-прибудованими приміщеннями громадського, соціального та торговельного призначення </w:t>
            </w:r>
            <w:r w:rsidR="001B69EB">
              <w:rPr>
                <w:rFonts w:ascii="Times New Roman" w:eastAsia="Times New Roman" w:hAnsi="Times New Roman" w:cs="Times New Roman"/>
                <w:i/>
              </w:rPr>
              <w:t>на вул. Академіка Туполєва, 12 та вул. Салютній, 2-б у Шевченківському районі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B69EB">
              <w:rPr>
                <w:rFonts w:ascii="Times New Roman" w:eastAsia="Times New Roman" w:hAnsi="Times New Roman" w:cs="Times New Roman"/>
                <w:i/>
              </w:rPr>
              <w:t xml:space="preserve">м. Києва». Згідно довідки, наданої </w:t>
            </w:r>
            <w:r w:rsidR="001B69EB" w:rsidRPr="001B69EB">
              <w:rPr>
                <w:rFonts w:ascii="Times New Roman" w:eastAsia="Times New Roman" w:hAnsi="Times New Roman" w:cs="Times New Roman"/>
                <w:i/>
              </w:rPr>
              <w:t>ТОВ «РИМАН БЮРО»</w:t>
            </w:r>
            <w:r w:rsidR="001B69EB">
              <w:rPr>
                <w:rFonts w:ascii="Times New Roman" w:eastAsia="Times New Roman" w:hAnsi="Times New Roman" w:cs="Times New Roman"/>
                <w:i/>
              </w:rPr>
              <w:t xml:space="preserve">  за № 418 від 18.04.2023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>,</w:t>
            </w:r>
            <w:r w:rsidR="001B69EB">
              <w:rPr>
                <w:rFonts w:ascii="Times New Roman" w:eastAsia="Times New Roman" w:hAnsi="Times New Roman" w:cs="Times New Roman"/>
                <w:i/>
              </w:rPr>
              <w:t xml:space="preserve"> готовність об’єкта незавершеного будівництва складає 81% (</w:t>
            </w:r>
            <w:r w:rsidR="00A256E8">
              <w:rPr>
                <w:rFonts w:ascii="Times New Roman" w:eastAsia="Times New Roman" w:hAnsi="Times New Roman" w:cs="Times New Roman"/>
                <w:i/>
              </w:rPr>
              <w:t>номер відомост</w:t>
            </w:r>
            <w:r w:rsidR="001C2E20">
              <w:rPr>
                <w:rFonts w:ascii="Times New Roman" w:eastAsia="Times New Roman" w:hAnsi="Times New Roman" w:cs="Times New Roman"/>
                <w:i/>
              </w:rPr>
              <w:t>ей про речове право: 50073313)</w:t>
            </w:r>
            <w:r w:rsidR="001B69EB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</w:tr>
      <w:tr w:rsidR="00622A5B" w:rsidRPr="0070402C" w14:paraId="1055C217" w14:textId="77777777" w:rsidTr="0057685E">
        <w:trPr>
          <w:cantSplit/>
          <w:trHeight w:val="1728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08CB50EB" w:rsidR="00622A5B" w:rsidRPr="00F336A8" w:rsidRDefault="00622A5B" w:rsidP="00694E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</w:t>
            </w:r>
            <w:r w:rsidR="0057685E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123DF0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 </w:t>
            </w:r>
            <w:r w:rsidR="00694E2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</w:t>
            </w:r>
            <w:r w:rsidR="00123DF0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вул.</w:t>
            </w:r>
            <w:r w:rsidR="0085594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Академіка </w:t>
            </w:r>
            <w:r w:rsidR="00123DF0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Туполєва, 12</w:t>
            </w:r>
            <w:r w:rsidR="0085594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Шевченківському районі міста Ки єва</w:t>
            </w: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123DF0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від 14.07.2016 № 725/725</w:t>
            </w:r>
            <w:r w:rsidR="00026BAD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2E1A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</w:t>
            </w:r>
            <w:r w:rsidR="00694E25"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ділянк</w:t>
            </w:r>
            <w:r w:rsidR="00694E25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функціональним призначенням належ</w:t>
            </w:r>
            <w:r w:rsidR="00694E25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ть до території</w:t>
            </w:r>
            <w:r w:rsidR="00026BAD"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2E1A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громадської забудови (передбачено будівництво </w:t>
            </w:r>
            <w:r w:rsidR="00855947">
              <w:rPr>
                <w:rFonts w:ascii="Times New Roman" w:eastAsia="Times New Roman" w:hAnsi="Times New Roman" w:cs="Times New Roman"/>
                <w:i/>
                <w:color w:val="auto"/>
              </w:rPr>
              <w:t>дитячого садка з початковою школою)</w:t>
            </w:r>
            <w:r w:rsidRPr="00123DF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31E9A1F4" w:rsidR="00622A5B" w:rsidRPr="00F336A8" w:rsidRDefault="00622A5B" w:rsidP="00694E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№ 370/1804, земельн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694E25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ть до </w:t>
            </w:r>
            <w:r w:rsidR="00855947">
              <w:rPr>
                <w:rFonts w:ascii="Times New Roman" w:eastAsia="Times New Roman" w:hAnsi="Times New Roman" w:cs="Times New Roman"/>
                <w:i/>
              </w:rPr>
              <w:t>т</w:t>
            </w:r>
            <w:r w:rsidR="00855947" w:rsidRPr="00855947">
              <w:rPr>
                <w:rFonts w:ascii="Times New Roman" w:eastAsia="Times New Roman" w:hAnsi="Times New Roman" w:cs="Times New Roman"/>
                <w:i/>
              </w:rPr>
              <w:t>ериторії громадських будівель та споруд (на розрахунковий період)</w:t>
            </w:r>
            <w:r w:rsidR="0085594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46384580" w:rsidR="00622A5B" w:rsidRPr="0070402C" w:rsidRDefault="0045666D" w:rsidP="00694E25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694E25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694E25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</w:t>
            </w:r>
            <w:r w:rsidR="00694E25">
              <w:rPr>
                <w:rFonts w:ascii="Times New Roman" w:hAnsi="Times New Roman" w:cs="Times New Roman"/>
                <w:i/>
              </w:rPr>
              <w:t>а</w:t>
            </w:r>
            <w:r w:rsidR="00622A5B"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C36E14">
              <w:rPr>
                <w:rFonts w:ascii="Times New Roman" w:hAnsi="Times New Roman" w:cs="Times New Roman"/>
                <w:i/>
              </w:rPr>
              <w:t xml:space="preserve"> (номери відомостей про речове право: 35358357, 35358177).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546A0443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 w:rsidR="00694E25"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694E25"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694E25"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  <w:r w:rsidR="00694E25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B775BCC" w14:textId="14EF337A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D91C5E">
        <w:trPr>
          <w:cantSplit/>
          <w:trHeight w:val="3482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72D6A744" w14:textId="197A9670" w:rsidR="00A40CFE" w:rsidRPr="00A40CFE" w:rsidRDefault="00002966" w:rsidP="00A40CF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94E25">
              <w:rPr>
                <w:rFonts w:ascii="Times New Roman" w:hAnsi="Times New Roman" w:cs="Times New Roman"/>
                <w:i/>
              </w:rPr>
              <w:t>Земельні ділянки перебувають в оренді</w:t>
            </w:r>
            <w:r w:rsidR="00694E25" w:rsidRPr="00694E25">
              <w:rPr>
                <w:rFonts w:ascii="Times New Roman" w:hAnsi="Times New Roman" w:cs="Times New Roman"/>
                <w:i/>
              </w:rPr>
              <w:t xml:space="preserve">  ТОВ «СТОЛИЧНА ПРОЕКТНО-БУДІВЕЛЬНА КОМПАНІЯ»</w:t>
            </w:r>
            <w:r w:rsidR="00694E25">
              <w:rPr>
                <w:rFonts w:ascii="Times New Roman" w:hAnsi="Times New Roman" w:cs="Times New Roman"/>
                <w:i/>
              </w:rPr>
              <w:t xml:space="preserve"> до 26.01.2027 на підставі договору оренди земельної ділянки від 26.01.2017  </w:t>
            </w:r>
          </w:p>
          <w:p w14:paraId="4FDC9525" w14:textId="794B3284" w:rsidR="004F35D0" w:rsidRPr="00002966" w:rsidRDefault="00A40CFE" w:rsidP="004F35D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0CFE">
              <w:rPr>
                <w:rFonts w:ascii="Times New Roman" w:hAnsi="Times New Roman" w:cs="Times New Roman"/>
                <w:i/>
              </w:rPr>
              <w:t xml:space="preserve">№47 (рішення Київської міської ради від 20.12.2016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Pr="00A40CFE">
              <w:rPr>
                <w:rFonts w:ascii="Times New Roman" w:hAnsi="Times New Roman" w:cs="Times New Roman"/>
                <w:i/>
              </w:rPr>
              <w:t>№ 674/1678), договору про внесення змін до договору оренди земельної ділянки від 18.02.2020 № 81 (рішення Київської міської ради від 12.12.2019 № 436/8009),  договору про внесення змін до договору оренди земельних ділянок від 25.10.2020 № 864 (рішення Київської міської ради від 30.07.2020 № 284/9363), договору про внесення змін до договору оренди земельних ділянок від 15.11.2021 № 1054 (рішення Київської міської ради від 13.05.2021                                       № 1194/1235).</w:t>
            </w:r>
          </w:p>
        </w:tc>
      </w:tr>
      <w:tr w:rsidR="00D91C5E" w:rsidRPr="0070402C" w14:paraId="163BE209" w14:textId="77777777" w:rsidTr="00BD75B1">
        <w:trPr>
          <w:cantSplit/>
          <w:trHeight w:val="5610"/>
        </w:trPr>
        <w:tc>
          <w:tcPr>
            <w:tcW w:w="3285" w:type="dxa"/>
          </w:tcPr>
          <w:p w14:paraId="53CB5B3F" w14:textId="77777777" w:rsidR="00D91C5E" w:rsidRDefault="00D91C5E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5043914D" w14:textId="77777777" w:rsidR="00D91C5E" w:rsidRDefault="00D91C5E" w:rsidP="00D91C5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ТОВ</w:t>
            </w:r>
            <w:r w:rsidRPr="00002966">
              <w:rPr>
                <w:rFonts w:ascii="Times New Roman" w:hAnsi="Times New Roman" w:cs="Times New Roman"/>
                <w:i/>
              </w:rPr>
              <w:t xml:space="preserve"> «СТОЛИЧНА ПРОЕКТНО-БУДІВЕЛЬНА КОМПАНІЯ»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02966">
              <w:rPr>
                <w:rFonts w:ascii="Times New Roman" w:hAnsi="Times New Roman" w:cs="Times New Roman"/>
                <w:i/>
              </w:rPr>
              <w:t xml:space="preserve">надало нотаріальну згоду від </w:t>
            </w:r>
            <w:r>
              <w:rPr>
                <w:rFonts w:ascii="Times New Roman" w:hAnsi="Times New Roman" w:cs="Times New Roman"/>
                <w:i/>
              </w:rPr>
              <w:t xml:space="preserve">11.05.2023                     № 1791, 1792 </w:t>
            </w:r>
            <w:r w:rsidRPr="00002966">
              <w:rPr>
                <w:rFonts w:ascii="Times New Roman" w:hAnsi="Times New Roman" w:cs="Times New Roman"/>
                <w:i/>
              </w:rPr>
              <w:t>на зміну цільового призначення земельн</w:t>
            </w:r>
            <w:r>
              <w:rPr>
                <w:rFonts w:ascii="Times New Roman" w:hAnsi="Times New Roman" w:cs="Times New Roman"/>
                <w:i/>
              </w:rPr>
              <w:t>их</w:t>
            </w:r>
            <w:r w:rsidRPr="00002966">
              <w:rPr>
                <w:rFonts w:ascii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</w:rPr>
              <w:t xml:space="preserve"> о</w:t>
            </w:r>
            <w:r w:rsidRPr="00002966">
              <w:rPr>
                <w:rFonts w:ascii="Times New Roman" w:hAnsi="Times New Roman" w:cs="Times New Roman"/>
                <w:i/>
              </w:rPr>
              <w:t>к.</w:t>
            </w:r>
          </w:p>
          <w:p w14:paraId="4B2A17C8" w14:textId="77777777" w:rsidR="00D91C5E" w:rsidRPr="004F35D0" w:rsidRDefault="00D91C5E" w:rsidP="00D91C5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4F35D0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земельної ділянки відповідно до статей 9,  122 Земельного кодексу України.</w:t>
            </w:r>
          </w:p>
          <w:p w14:paraId="28DF2135" w14:textId="77777777" w:rsidR="00D91C5E" w:rsidRPr="004F35D0" w:rsidRDefault="00D91C5E" w:rsidP="00D91C5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4F35D0">
              <w:rPr>
                <w:rFonts w:ascii="Times New Roman" w:hAnsi="Times New Roman" w:cs="Times New Roman"/>
                <w:i/>
              </w:rPr>
              <w:t>Згідно з пунктом 34 частини першої статті 26 Закону України «Про місцеве самоврядування в Україні» виключно на пленарних засіданнях сільської, селищної, міської ради вирішуються питання регулювання земельних відносин.</w:t>
            </w:r>
          </w:p>
          <w:p w14:paraId="3B786EB5" w14:textId="1309C805" w:rsidR="00D91C5E" w:rsidRDefault="00D91C5E" w:rsidP="00D91C5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4F35D0">
              <w:rPr>
                <w:rFonts w:ascii="Times New Roman" w:hAnsi="Times New Roman" w:cs="Times New Roman"/>
                <w:i/>
              </w:rPr>
              <w:t>Тобто, вирішення питань щодо надання дозволу або відмову у наданні дозволу на розроблення документації із землеустрою щодо відведення земельн</w:t>
            </w:r>
            <w:r>
              <w:rPr>
                <w:rFonts w:ascii="Times New Roman" w:hAnsi="Times New Roman" w:cs="Times New Roman"/>
                <w:i/>
              </w:rPr>
              <w:t>их</w:t>
            </w:r>
            <w:r w:rsidRPr="004F35D0">
              <w:rPr>
                <w:rFonts w:ascii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4F35D0">
              <w:rPr>
                <w:rFonts w:ascii="Times New Roman" w:hAnsi="Times New Roman" w:cs="Times New Roman"/>
                <w:i/>
              </w:rPr>
              <w:t xml:space="preserve">к </w:t>
            </w:r>
            <w:r w:rsidRPr="002618F7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2618F7">
              <w:rPr>
                <w:rFonts w:ascii="Times New Roman" w:hAnsi="Times New Roman" w:cs="Times New Roman"/>
                <w:i/>
              </w:rPr>
              <w:t xml:space="preserve"> З ОБМЕЖЕНОЮ ВІДПОВІДАЛЬНІСТЮ «СТОЛИЧНА ПРОЕКТНО-БУДІВЕЛЬНА КОМПАНІЯ»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F35D0">
              <w:rPr>
                <w:rFonts w:ascii="Times New Roman" w:hAnsi="Times New Roman" w:cs="Times New Roman"/>
                <w:i/>
              </w:rPr>
              <w:t xml:space="preserve">на вул. </w:t>
            </w:r>
            <w:r w:rsidRPr="002618F7">
              <w:rPr>
                <w:rFonts w:ascii="Times New Roman" w:hAnsi="Times New Roman" w:cs="Times New Roman"/>
                <w:i/>
              </w:rPr>
              <w:t xml:space="preserve">Академіка Туполєва, 12 </w:t>
            </w:r>
            <w:r w:rsidRPr="004F35D0">
              <w:rPr>
                <w:rFonts w:ascii="Times New Roman" w:hAnsi="Times New Roman" w:cs="Times New Roman"/>
                <w:i/>
              </w:rPr>
              <w:t>міста Києва є виключно компетенцією Київської міської ради.</w:t>
            </w:r>
          </w:p>
        </w:tc>
      </w:tr>
      <w:tr w:rsidR="00BD75B1" w:rsidRPr="0070402C" w14:paraId="7F3CB589" w14:textId="77777777" w:rsidTr="0057685E">
        <w:trPr>
          <w:cantSplit/>
          <w:trHeight w:val="3086"/>
        </w:trPr>
        <w:tc>
          <w:tcPr>
            <w:tcW w:w="3285" w:type="dxa"/>
          </w:tcPr>
          <w:p w14:paraId="2DB50555" w14:textId="77777777" w:rsidR="00BD75B1" w:rsidRDefault="00BD75B1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4FB2F66B" w14:textId="77777777" w:rsidR="00BD75B1" w:rsidRPr="004F35D0" w:rsidRDefault="00BD75B1" w:rsidP="00BD75B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35D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4F35D0">
              <w:rPr>
                <w:rFonts w:ascii="Times New Roman" w:hAnsi="Times New Roman" w:cs="Times New Roman"/>
                <w:i/>
              </w:rPr>
              <w:t>№ 826/8847/16.</w:t>
            </w:r>
          </w:p>
          <w:p w14:paraId="149A51B1" w14:textId="1FA4577E" w:rsidR="00BD75B1" w:rsidRPr="004F35D0" w:rsidRDefault="00BD75B1" w:rsidP="00BD75B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18F7">
              <w:rPr>
                <w:rFonts w:ascii="Times New Roman" w:hAnsi="Times New Roman" w:cs="Times New Roman"/>
                <w:i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1998C2DE" w:rsid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3F1E8706" w14:textId="08C6FACB" w:rsidR="0053038D" w:rsidRDefault="0053038D" w:rsidP="0053038D">
      <w:pPr>
        <w:pStyle w:val="1"/>
        <w:shd w:val="clear" w:color="auto" w:fill="auto"/>
        <w:tabs>
          <w:tab w:val="left" w:pos="709"/>
          <w:tab w:val="left" w:pos="851"/>
        </w:tabs>
        <w:ind w:left="142"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 xml:space="preserve">Проект рішення </w:t>
      </w:r>
      <w:r w:rsidR="00CA277E">
        <w:rPr>
          <w:i w:val="0"/>
          <w:sz w:val="24"/>
          <w:szCs w:val="24"/>
        </w:rPr>
        <w:t xml:space="preserve">не </w:t>
      </w:r>
      <w:r>
        <w:rPr>
          <w:i w:val="0"/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6D2BEC35" w14:textId="77777777" w:rsidR="00664A3C" w:rsidRPr="00CF2418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23DBF48F" w:rsidR="00823CCF" w:rsidRPr="00CF2418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 xml:space="preserve">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</w:t>
      </w:r>
      <w:r w:rsidR="00CA277E">
        <w:rPr>
          <w:i w:val="0"/>
          <w:sz w:val="24"/>
          <w:szCs w:val="24"/>
        </w:rPr>
        <w:t>их</w:t>
      </w:r>
      <w:r w:rsidRPr="00CF2418">
        <w:rPr>
          <w:i w:val="0"/>
          <w:sz w:val="24"/>
          <w:szCs w:val="24"/>
        </w:rPr>
        <w:t xml:space="preserve"> ділян</w:t>
      </w:r>
      <w:r w:rsidR="00CA277E">
        <w:rPr>
          <w:i w:val="0"/>
          <w:sz w:val="24"/>
          <w:szCs w:val="24"/>
        </w:rPr>
        <w:t>о</w:t>
      </w:r>
      <w:r w:rsidRPr="00CF2418">
        <w:rPr>
          <w:i w:val="0"/>
          <w:sz w:val="24"/>
          <w:szCs w:val="24"/>
        </w:rPr>
        <w:t>к</w:t>
      </w:r>
      <w:r w:rsidR="00D2185A">
        <w:rPr>
          <w:i w:val="0"/>
          <w:sz w:val="24"/>
          <w:szCs w:val="24"/>
        </w:rPr>
        <w:t>.</w:t>
      </w: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4F620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E022" w14:textId="77777777" w:rsidR="00875524" w:rsidRDefault="00875524">
      <w:r>
        <w:separator/>
      </w:r>
    </w:p>
  </w:endnote>
  <w:endnote w:type="continuationSeparator" w:id="0">
    <w:p w14:paraId="28FEB470" w14:textId="77777777" w:rsidR="00875524" w:rsidRDefault="008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4402" w14:textId="77777777" w:rsidR="00875524" w:rsidRDefault="00875524"/>
  </w:footnote>
  <w:footnote w:type="continuationSeparator" w:id="0">
    <w:p w14:paraId="3F33822C" w14:textId="77777777" w:rsidR="00875524" w:rsidRDefault="008755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4F6204">
          <w:rPr>
            <w:i w:val="0"/>
            <w:sz w:val="12"/>
            <w:szCs w:val="12"/>
            <w:lang w:val="ru-RU"/>
          </w:rPr>
          <w:t>ПЗН-54071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4F6204">
          <w:rPr>
            <w:i w:val="0"/>
            <w:sz w:val="12"/>
            <w:szCs w:val="12"/>
            <w:lang w:val="ru-RU"/>
          </w:rPr>
          <w:t>04.05.2023</w:t>
        </w:r>
        <w:r w:rsidR="0070323B" w:rsidRPr="004F6204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201590726</w:t>
        </w:r>
      </w:p>
      <w:p w14:paraId="3796BF5B" w14:textId="290A6ACA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66CC0" w:rsidRPr="00A66CC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2966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3DF0"/>
    <w:rsid w:val="00125B38"/>
    <w:rsid w:val="001304BB"/>
    <w:rsid w:val="00150269"/>
    <w:rsid w:val="00170978"/>
    <w:rsid w:val="00175EDC"/>
    <w:rsid w:val="00177891"/>
    <w:rsid w:val="00181AC0"/>
    <w:rsid w:val="00185691"/>
    <w:rsid w:val="001B69EB"/>
    <w:rsid w:val="001C14E8"/>
    <w:rsid w:val="001C2E20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35FE4"/>
    <w:rsid w:val="00242CCD"/>
    <w:rsid w:val="0025220F"/>
    <w:rsid w:val="002618F7"/>
    <w:rsid w:val="0027157C"/>
    <w:rsid w:val="00283C07"/>
    <w:rsid w:val="00295850"/>
    <w:rsid w:val="002A235E"/>
    <w:rsid w:val="002B136F"/>
    <w:rsid w:val="002B3709"/>
    <w:rsid w:val="002B56C8"/>
    <w:rsid w:val="002D306E"/>
    <w:rsid w:val="002E1A10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43C4F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4F6204"/>
    <w:rsid w:val="0050402A"/>
    <w:rsid w:val="005156AF"/>
    <w:rsid w:val="00515C9E"/>
    <w:rsid w:val="0053038D"/>
    <w:rsid w:val="0053056F"/>
    <w:rsid w:val="00535A83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AA6"/>
    <w:rsid w:val="00635E1E"/>
    <w:rsid w:val="00637319"/>
    <w:rsid w:val="00664A3C"/>
    <w:rsid w:val="00670F38"/>
    <w:rsid w:val="00672303"/>
    <w:rsid w:val="006835BE"/>
    <w:rsid w:val="006841B2"/>
    <w:rsid w:val="006941D6"/>
    <w:rsid w:val="00694E25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06E8F"/>
    <w:rsid w:val="00810671"/>
    <w:rsid w:val="00811F23"/>
    <w:rsid w:val="008146F4"/>
    <w:rsid w:val="00823CCF"/>
    <w:rsid w:val="008524A0"/>
    <w:rsid w:val="00855947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56E8"/>
    <w:rsid w:val="00A276F2"/>
    <w:rsid w:val="00A30924"/>
    <w:rsid w:val="00A3157B"/>
    <w:rsid w:val="00A40CFE"/>
    <w:rsid w:val="00A660AC"/>
    <w:rsid w:val="00A66CC0"/>
    <w:rsid w:val="00A87BF7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D75B1"/>
    <w:rsid w:val="00BF0CF7"/>
    <w:rsid w:val="00BF6ECA"/>
    <w:rsid w:val="00C133A7"/>
    <w:rsid w:val="00C15FC3"/>
    <w:rsid w:val="00C36B69"/>
    <w:rsid w:val="00C36E14"/>
    <w:rsid w:val="00C7476E"/>
    <w:rsid w:val="00C87AA9"/>
    <w:rsid w:val="00C956B5"/>
    <w:rsid w:val="00CA277E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91C5E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yla.lutsy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7156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Корнійчук Олеся Михайлівна</cp:lastModifiedBy>
  <cp:revision>2</cp:revision>
  <cp:lastPrinted>2023-06-05T08:59:00Z</cp:lastPrinted>
  <dcterms:created xsi:type="dcterms:W3CDTF">2023-06-26T07:22:00Z</dcterms:created>
  <dcterms:modified xsi:type="dcterms:W3CDTF">2023-06-26T07:22:00Z</dcterms:modified>
</cp:coreProperties>
</file>