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</w:p>
    <w:p w:rsidR="00974637" w:rsidRPr="00974637" w:rsidRDefault="00974637" w:rsidP="00974637">
      <w:pPr>
        <w:pStyle w:val="3"/>
        <w:spacing w:before="0" w:beforeAutospacing="0" w:after="0" w:afterAutospacing="0"/>
        <w:ind w:left="709" w:right="3401"/>
        <w:jc w:val="both"/>
        <w:rPr>
          <w:color w:val="000000" w:themeColor="text1"/>
          <w:sz w:val="28"/>
          <w:szCs w:val="28"/>
        </w:rPr>
      </w:pPr>
      <w:r w:rsidRPr="00974637">
        <w:rPr>
          <w:color w:val="000000" w:themeColor="text1"/>
          <w:sz w:val="28"/>
          <w:szCs w:val="28"/>
        </w:rPr>
        <w:t>Про внесення змін до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</w:t>
      </w:r>
    </w:p>
    <w:p w:rsidR="00EB5752" w:rsidRDefault="00EB5752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Pr="00974637" w:rsidRDefault="00974637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Pr="00974637" w:rsidRDefault="00974637" w:rsidP="00974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 до вимог Бюджетного та Податкового кодексів України, пункту 22 частини першої статті 26 Закону України "Про місцеве самоврядування в Україні", статті 17 Закону України "Про статус депутатів місцевих рад", </w:t>
      </w:r>
      <w:r w:rsidRPr="0097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Регламенту</w:t>
      </w:r>
      <w:r w:rsidRPr="0097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4637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 міської ради, затвердженого рішенням Київської міської ради від 04.11.2021 року № 3135/3176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метою посилення соціального захисту окремих категорій осіб</w:t>
      </w:r>
      <w:r w:rsidR="00B7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які проживають у місті Києві в умовах запровадженого в Україні правового режиму воєнного стану</w:t>
      </w:r>
      <w:r w:rsidRPr="0097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Київська міська рада</w:t>
      </w:r>
    </w:p>
    <w:p w:rsidR="00974637" w:rsidRPr="00974637" w:rsidRDefault="00974637" w:rsidP="00974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4637" w:rsidRP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46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ВИРІШИЛА</w:t>
      </w:r>
      <w:r w:rsidRPr="0097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74637" w:rsidRP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4637" w:rsidRPr="00CE5090" w:rsidRDefault="00974637" w:rsidP="00CE509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5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Таблицю "Ресурсне забезпечення Програми" пункту 4 додатка 1 до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</w:t>
      </w:r>
      <w:r w:rsidRPr="00CE5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затвердженої рішенням Київської міської ради від 14 грудня 2020 року № 10/10 викласти в такій редакції:</w:t>
      </w:r>
    </w:p>
    <w:p w:rsidR="00974637" w:rsidRPr="00974637" w:rsidRDefault="00974637" w:rsidP="00974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</w:p>
    <w:p w:rsidR="00974637" w:rsidRPr="00974637" w:rsidRDefault="00974637" w:rsidP="00974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9"/>
      <w:bookmarkEnd w:id="0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Ресурсне забезпечення Програми</w:t>
      </w:r>
    </w:p>
    <w:p w:rsidR="00974637" w:rsidRPr="00974637" w:rsidRDefault="00974637" w:rsidP="009746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" w:name="10"/>
      <w:bookmarkEnd w:id="1"/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 грн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309"/>
        <w:gridCol w:w="1309"/>
        <w:gridCol w:w="1309"/>
        <w:gridCol w:w="1309"/>
        <w:gridCol w:w="1331"/>
      </w:tblGrid>
      <w:tr w:rsidR="00974637" w:rsidRPr="00974637" w:rsidTr="00974637">
        <w:trPr>
          <w:tblCellSpacing w:w="22" w:type="dxa"/>
        </w:trPr>
        <w:tc>
          <w:tcPr>
            <w:tcW w:w="1500" w:type="pct"/>
            <w:vMerge w:val="restar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" w:name="11"/>
            <w:bookmarkEnd w:id="2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 коштів на виконання заходів Програми</w:t>
            </w:r>
          </w:p>
        </w:tc>
        <w:tc>
          <w:tcPr>
            <w:tcW w:w="3500" w:type="pct"/>
            <w:gridSpan w:val="5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3" w:name="12"/>
            <w:bookmarkEnd w:id="3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Термін реалізації Програми, роки</w:t>
            </w:r>
          </w:p>
        </w:tc>
      </w:tr>
      <w:tr w:rsidR="00974637" w:rsidRPr="00974637" w:rsidTr="00974637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4" w:name="13"/>
            <w:bookmarkEnd w:id="4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2021 рік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5" w:name="14"/>
            <w:bookmarkEnd w:id="5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2022 рік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6" w:name="15"/>
            <w:bookmarkEnd w:id="6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2023 рік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7" w:name="16"/>
            <w:bookmarkEnd w:id="7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2024 рік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8" w:name="17"/>
            <w:bookmarkEnd w:id="8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2025 рік</w:t>
            </w:r>
          </w:p>
        </w:tc>
      </w:tr>
      <w:tr w:rsidR="00974637" w:rsidRPr="00974637" w:rsidTr="00974637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9" w:name="18"/>
            <w:bookmarkEnd w:id="9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Забезпечення вирішення депутатами Київської міської ради соціально-економічних проблем, </w:t>
            </w: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lastRenderedPageBreak/>
              <w:t>виконання передвиборних програм та доручень виборців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0" w:name="19"/>
            <w:bookmarkEnd w:id="10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lastRenderedPageBreak/>
              <w:t>120000,0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1" w:name="20"/>
            <w:bookmarkEnd w:id="11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180000,0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2" w:name="21"/>
            <w:bookmarkEnd w:id="12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3" w:name="22"/>
            <w:bookmarkEnd w:id="13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4" w:name="23"/>
            <w:bookmarkEnd w:id="14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</w:tr>
      <w:tr w:rsidR="00974637" w:rsidRPr="00974637" w:rsidTr="00974637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5" w:name="24"/>
            <w:bookmarkEnd w:id="15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Забезпечення діяльності громадських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приймалень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депутатів Київської міської ради (утримання)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6" w:name="25"/>
            <w:bookmarkEnd w:id="16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77628,8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7" w:name="26"/>
            <w:bookmarkEnd w:id="17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97550,0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8" w:name="27"/>
            <w:bookmarkEnd w:id="18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102720,1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19" w:name="28"/>
            <w:bookmarkEnd w:id="19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107856,1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0" w:name="29"/>
            <w:bookmarkEnd w:id="20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113248,9</w:t>
            </w:r>
          </w:p>
        </w:tc>
      </w:tr>
      <w:tr w:rsidR="00974637" w:rsidRPr="00974637" w:rsidTr="00974637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1" w:name="30"/>
            <w:bookmarkEnd w:id="21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Всього обсяг ресурсів бюджету м. Києва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2" w:name="31"/>
            <w:bookmarkEnd w:id="22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197628,8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3" w:name="32"/>
            <w:bookmarkEnd w:id="23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277550,0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4" w:name="33"/>
            <w:bookmarkEnd w:id="24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222720,1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5" w:name="34"/>
            <w:bookmarkEnd w:id="25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227856,1</w:t>
            </w:r>
          </w:p>
        </w:tc>
        <w:tc>
          <w:tcPr>
            <w:tcW w:w="7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bookmarkStart w:id="26" w:name="35"/>
            <w:bookmarkEnd w:id="26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233248,9</w:t>
            </w:r>
          </w:p>
        </w:tc>
      </w:tr>
    </w:tbl>
    <w:p w:rsidR="00974637" w:rsidRPr="00974637" w:rsidRDefault="00974637" w:rsidP="0097463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63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74637" w:rsidRPr="00CE5090" w:rsidRDefault="00974637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E5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CE5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Встановити, що кошти бюджету міста Києва, передбачені </w:t>
      </w:r>
      <w:r w:rsidR="00CE5090" w:rsidRPr="00CE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вирішення депутатами Київської міської ради соціально-економічних проблем, виконання передвиборчих програм та доручень виборців</w:t>
      </w:r>
      <w:r w:rsidR="00CE5090" w:rsidRPr="00CE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додатково у 2022 році спрямовуються на </w:t>
      </w:r>
      <w:r w:rsidR="00CE5090" w:rsidRPr="00CE5090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у сфері соціального захисту та соціального забезпечення.</w:t>
      </w:r>
    </w:p>
    <w:p w:rsidR="00974637" w:rsidRPr="00974637" w:rsidRDefault="00CE5090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974637" w:rsidRPr="0097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74637" w:rsidRPr="0097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Офіційно оприлюднити це рішення в установленому порядку.</w:t>
      </w:r>
    </w:p>
    <w:p w:rsidR="00974637" w:rsidRPr="00974637" w:rsidRDefault="00CE5090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71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974637" w:rsidRPr="0097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74637" w:rsidRPr="0097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974637" w:rsidRDefault="00974637" w:rsidP="0097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72"/>
      <w:bookmarkEnd w:id="28"/>
      <w:r w:rsidRPr="0097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74637" w:rsidRPr="00974637" w:rsidRDefault="00974637" w:rsidP="0097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4637" w:rsidRPr="00974637" w:rsidTr="00974637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9" w:name="73"/>
            <w:bookmarkEnd w:id="29"/>
            <w:r w:rsidRPr="0097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974637" w:rsidRPr="00974637" w:rsidRDefault="00974637" w:rsidP="009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0" w:name="74"/>
            <w:bookmarkEnd w:id="30"/>
            <w:r w:rsidRPr="00974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Віталій КЛИЧКО</w:t>
            </w:r>
          </w:p>
        </w:tc>
      </w:tr>
    </w:tbl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ПОДАННЯ:</w:t>
      </w:r>
    </w:p>
    <w:p w:rsidR="00974637" w:rsidRDefault="00974637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Постійна комісія Київської міської ради </w:t>
      </w:r>
    </w:p>
    <w:p w:rsidR="00974637" w:rsidRDefault="00974637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питань бюджету та соціально-</w:t>
      </w:r>
    </w:p>
    <w:p w:rsidR="00974637" w:rsidRDefault="00974637" w:rsidP="009746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економічного розвитку</w:t>
      </w: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Андрій ВІТРЕНКО</w:t>
      </w: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Владислав АНДРОНОВ</w:t>
      </w: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ПОГОДЖЕНО:</w:t>
      </w: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37" w:rsidRDefault="00974637" w:rsidP="00974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управління правового </w:t>
      </w:r>
    </w:p>
    <w:p w:rsidR="00974637" w:rsidRDefault="00974637" w:rsidP="00974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:rsidR="00974637" w:rsidRDefault="00974637" w:rsidP="00974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секретаріату Київської </w:t>
      </w:r>
    </w:p>
    <w:p w:rsidR="00974637" w:rsidRPr="000315F1" w:rsidRDefault="00974637" w:rsidP="00974637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:rsidR="00974637" w:rsidRDefault="00974637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97463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Pr="00396999" w:rsidRDefault="00CE5090" w:rsidP="00CE509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ПОЯСНЮВАЛЬНА ЗАПИСКА</w:t>
      </w:r>
    </w:p>
    <w:p w:rsidR="00CE5090" w:rsidRDefault="00CE5090" w:rsidP="00CE509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рішення Київської міської ради</w:t>
      </w:r>
    </w:p>
    <w:p w:rsidR="00CE5090" w:rsidRPr="00396999" w:rsidRDefault="00CE5090" w:rsidP="00CE509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 до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</w:t>
      </w: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E5090" w:rsidRDefault="00CE5090" w:rsidP="00CE5090">
      <w:pPr>
        <w:tabs>
          <w:tab w:val="left" w:pos="113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CE50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CE5090" w:rsidRPr="003D195E" w:rsidRDefault="00CE5090" w:rsidP="00CE509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умовах введеного в Україні правового режиму воєнного стану все більше набуває </w:t>
      </w:r>
      <w:r w:rsidR="003D195E" w:rsidRPr="003D195E">
        <w:rPr>
          <w:rFonts w:ascii="Times New Roman" w:hAnsi="Times New Roman" w:cs="Times New Roman"/>
          <w:color w:val="000000" w:themeColor="text1"/>
          <w:sz w:val="28"/>
          <w:szCs w:val="28"/>
        </w:rPr>
        <w:t>ваги питання соціального захисту населення. Так, відповідно до даних соціологічних досліджень</w:t>
      </w:r>
      <w:r w:rsidR="003D195E" w:rsidRPr="003D195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3D195E" w:rsidRPr="003D195E">
        <w:rPr>
          <w:rFonts w:ascii="Times New Roman" w:hAnsi="Times New Roman" w:cs="Times New Roman"/>
          <w:color w:val="000000" w:themeColor="text1"/>
          <w:sz w:val="28"/>
          <w:szCs w:val="28"/>
        </w:rPr>
        <w:t>, зміну у роботі та  оплаті праці відчула значна кількість українців. Зокрема, 31% працює не на повну потужність, 28% відчули скорочення оплати праці, по 16% втратили ринки збуту чи клієнтів та вимушені працювати дистанційно.</w:t>
      </w:r>
    </w:p>
    <w:p w:rsidR="003D195E" w:rsidRDefault="003D195E" w:rsidP="00CE509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даними</w:t>
      </w:r>
      <w:r w:rsidRPr="003D195E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організації об'єднаних націй (ООН), в Україні внаслідок повномасштабного нападу </w:t>
      </w:r>
      <w:proofErr w:type="spellStart"/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росії</w:t>
      </w:r>
      <w:proofErr w:type="spellEnd"/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половина підприємств виявилася закритою, друга половина зазнає труднощів.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ООН вважають, що якщо війна затягнеться терміном більше одного року, то економічні досягнення останніх двох десятиліть можуть бути втрачені, а 90% населення опиняться за межею бідності.</w:t>
      </w:r>
    </w:p>
    <w:p w:rsidR="003D195E" w:rsidRPr="003D195E" w:rsidRDefault="003D195E" w:rsidP="003D1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5E">
        <w:rPr>
          <w:rFonts w:ascii="Times New Roman" w:hAnsi="Times New Roman" w:cs="Times New Roman"/>
          <w:sz w:val="28"/>
          <w:szCs w:val="28"/>
        </w:rPr>
        <w:t>Близько 20% опитаних</w:t>
      </w:r>
      <w:r w:rsidR="00B72F5F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3D195E">
        <w:rPr>
          <w:rFonts w:ascii="Times New Roman" w:hAnsi="Times New Roman" w:cs="Times New Roman"/>
          <w:sz w:val="28"/>
          <w:szCs w:val="28"/>
        </w:rPr>
        <w:t xml:space="preserve"> із умовно безпечних регіонів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5E">
        <w:rPr>
          <w:rFonts w:ascii="Times New Roman" w:hAnsi="Times New Roman" w:cs="Times New Roman"/>
          <w:sz w:val="28"/>
          <w:szCs w:val="28"/>
        </w:rPr>
        <w:t>втратили роботу (або дохід від неї) через війну. Проте третина цієї кількості (майже 7%) вже знайшла іншу. 10,5% втратили роботу і поки що не знайшли нову, а 3% формально її не втратили, але зараз не отримують зарплату. Фінансові заощадження мають близько 2/3 респондентів.</w:t>
      </w:r>
      <w:r>
        <w:rPr>
          <w:rFonts w:ascii="Times New Roman" w:hAnsi="Times New Roman" w:cs="Times New Roman"/>
          <w:sz w:val="28"/>
          <w:szCs w:val="28"/>
        </w:rPr>
        <w:t xml:space="preserve"> Лише </w:t>
      </w:r>
      <w:r w:rsidRPr="003D195E">
        <w:rPr>
          <w:rFonts w:ascii="Times New Roman" w:hAnsi="Times New Roman" w:cs="Times New Roman"/>
          <w:sz w:val="28"/>
          <w:szCs w:val="28"/>
        </w:rPr>
        <w:t xml:space="preserve">11% з них зможуть прожити на них понад півроку. Основна частина все ж таки не зможе довго прожити на ці заощадження: 9% </w:t>
      </w:r>
      <w:r w:rsidRPr="003D195E">
        <w:rPr>
          <w:rFonts w:ascii="Times New Roman" w:hAnsi="Times New Roman" w:cs="Times New Roman"/>
          <w:sz w:val="28"/>
          <w:szCs w:val="28"/>
        </w:rPr>
        <w:t>–</w:t>
      </w:r>
      <w:r w:rsidRPr="003D195E">
        <w:rPr>
          <w:rFonts w:ascii="Times New Roman" w:hAnsi="Times New Roman" w:cs="Times New Roman"/>
          <w:sz w:val="28"/>
          <w:szCs w:val="28"/>
        </w:rPr>
        <w:t xml:space="preserve"> до тижня; 21,5% – до місяця, 42,5% – за кілька місяців.</w:t>
      </w:r>
    </w:p>
    <w:p w:rsidR="00CE5090" w:rsidRDefault="00CE5090" w:rsidP="00CE509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цьому, 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айбільше пільг та гарантій від держави, на думку опитаних</w:t>
      </w:r>
      <w:r w:rsidRPr="003D195E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повинні мати ветерани російсько-української війни (50%), особи з інвалідністю (34%) та багатодітні сім’ї (31%). Пільги для пенсіонерів та матерів/батьків одинаків підтримують по 17%, для малозабезпечених і внутрішн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ьо-переселених осіб – по 12-13%</w:t>
      </w:r>
      <w:r w:rsidRPr="003D1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2F5F" w:rsidRPr="003D195E" w:rsidRDefault="00B72F5F" w:rsidP="00CE509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цих умов, </w:t>
      </w:r>
      <w:r w:rsidRPr="00CE5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кошти бюджету міста Києва, передбачені </w:t>
      </w:r>
      <w:r w:rsidRPr="00CE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вирішення депутатами Київської міської ради соціально-економічних проблем, виконання передвиборчих програм та доручень виборців додатково у 2022 році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які </w:t>
      </w:r>
      <w:r w:rsidRPr="00CE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спрямовуються на </w:t>
      </w:r>
      <w:r w:rsidRPr="00CE5090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у сфері соціального захисту та соціального забезпечення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будуть додатковою можливістю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посилення соціального захисту окремих категорій осіб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які проживають у місті Києві в умовах запровадженого в Україні правового режиму воєнного стану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090" w:rsidRDefault="00CE5090" w:rsidP="00CE509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090" w:rsidRDefault="00CE5090" w:rsidP="00CE509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CE5090" w:rsidRPr="00B72F5F" w:rsidRDefault="00CE5090" w:rsidP="00CE5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B72F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B72F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пропонується ухвалити у відповідності до </w:t>
      </w:r>
      <w:r w:rsidR="00B72F5F" w:rsidRPr="00B72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 Бюджетного та Податкового кодексів України, пункту 22 частини першої статті 26 Закону України "Про місцеве самоврядування в Україні", статті 17 Закону України "Про статус депутатів місцевих рад", </w:t>
      </w:r>
      <w:r w:rsidR="00B72F5F" w:rsidRPr="00B72F5F">
        <w:rPr>
          <w:rFonts w:ascii="Times New Roman" w:hAnsi="Times New Roman" w:cs="Times New Roman"/>
          <w:sz w:val="28"/>
          <w:szCs w:val="28"/>
          <w:lang w:eastAsia="uk-UA"/>
        </w:rPr>
        <w:t>Регламенту</w:t>
      </w:r>
      <w:r w:rsidR="00B72F5F" w:rsidRPr="00B7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Київської міської ради, затвердженого рішенням Київської міської ради від 04.11.2021 року № 3135/3176</w:t>
      </w:r>
      <w:r w:rsidRPr="00B72F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090" w:rsidRDefault="00CE5090" w:rsidP="00CE5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E5090" w:rsidRDefault="00CE5090" w:rsidP="00CE509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CE5090" w:rsidRDefault="00CE5090" w:rsidP="00CE5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рішення Київської міської ради підготовлено з метою </w:t>
      </w:r>
      <w:r w:rsidR="00B72F5F">
        <w:rPr>
          <w:rFonts w:ascii="Times New Roman" w:hAnsi="Times New Roman" w:cs="Times New Roman"/>
          <w:color w:val="000000" w:themeColor="text1"/>
          <w:sz w:val="28"/>
          <w:szCs w:val="28"/>
        </w:rPr>
        <w:t>посилення соціального захисту окремих категорій осіб</w:t>
      </w:r>
      <w:r w:rsidR="00B72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2F5F">
        <w:rPr>
          <w:rFonts w:ascii="Times New Roman" w:hAnsi="Times New Roman" w:cs="Times New Roman"/>
          <w:color w:val="000000" w:themeColor="text1"/>
          <w:sz w:val="28"/>
          <w:szCs w:val="28"/>
        </w:rPr>
        <w:t>які проживають у місті Києві в умовах запровадженого в Україні правового режиму воєнного стану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090" w:rsidRDefault="00CE5090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E5090" w:rsidRDefault="00CE5090" w:rsidP="00CE509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90" w:rsidRPr="00B72F5F" w:rsidRDefault="00CE5090" w:rsidP="00CE509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72F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 w:rsidRPr="00B72F5F">
        <w:rPr>
          <w:rFonts w:ascii="Times New Roman" w:hAnsi="Times New Roman" w:cs="Times New Roman"/>
          <w:sz w:val="28"/>
          <w:szCs w:val="28"/>
        </w:rPr>
        <w:t>проекту рішення Київської міської ради потребує додаткових витрат з бюджету міста Києва</w:t>
      </w:r>
      <w:r w:rsidR="00B72F5F" w:rsidRPr="00B72F5F">
        <w:rPr>
          <w:rFonts w:ascii="Times New Roman" w:hAnsi="Times New Roman" w:cs="Times New Roman"/>
          <w:sz w:val="28"/>
          <w:szCs w:val="28"/>
        </w:rPr>
        <w:t xml:space="preserve"> у обсязі 60,0 млн грн, які будуть передбачені головному розпорядникові бюджетний коштів </w:t>
      </w:r>
      <w:r w:rsidR="00B72F5F" w:rsidRPr="00B7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 (Секретаріат)</w:t>
      </w:r>
      <w:r w:rsidR="00B7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рахунок економії коштів бюджету міста Києва у 2022 році</w:t>
      </w:r>
      <w:r w:rsidRPr="00B72F5F">
        <w:rPr>
          <w:rFonts w:ascii="Times New Roman" w:hAnsi="Times New Roman" w:cs="Times New Roman"/>
          <w:sz w:val="28"/>
          <w:szCs w:val="28"/>
        </w:rPr>
        <w:t>.</w:t>
      </w:r>
    </w:p>
    <w:p w:rsidR="00CE5090" w:rsidRDefault="00CE5090" w:rsidP="00CE5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E5090" w:rsidRDefault="00CE5090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CE5090" w:rsidRDefault="00CE5090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Суб’єктом подання проекту рішення є 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 комісія Київської міської ради з питань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090" w:rsidRDefault="00CE5090" w:rsidP="00CE5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Особою, відповідальною за супроводження проекту рішення та доповідачем проекту рішення на пленарному засіданні є 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 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>ої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коміс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>ії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Київської міської ради з питань бюджету та соціально-економічного розвитку</w:t>
      </w:r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 </w:t>
      </w:r>
      <w:proofErr w:type="spellStart"/>
      <w:r w:rsidR="00B72F5F">
        <w:rPr>
          <w:rFonts w:ascii="Times New Roman" w:hAnsi="Times New Roman" w:cs="Times New Roman"/>
          <w:sz w:val="28"/>
          <w:szCs w:val="28"/>
          <w:shd w:val="clear" w:color="auto" w:fill="FFFFFF"/>
        </w:rPr>
        <w:t>Андронов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090" w:rsidRDefault="00CE5090" w:rsidP="00CE509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2F5F" w:rsidRDefault="00B72F5F" w:rsidP="00B72F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Постійна комісія Київської міської ради </w:t>
      </w:r>
    </w:p>
    <w:p w:rsidR="00B72F5F" w:rsidRDefault="00B72F5F" w:rsidP="00B72F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питань бюджету та соціально-</w:t>
      </w:r>
    </w:p>
    <w:p w:rsidR="00B72F5F" w:rsidRDefault="00B72F5F" w:rsidP="00B72F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економічного розвитку</w:t>
      </w:r>
    </w:p>
    <w:p w:rsidR="00B72F5F" w:rsidRDefault="00B72F5F" w:rsidP="00B72F5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Андрій ВІТРЕНКО</w:t>
      </w:r>
    </w:p>
    <w:p w:rsidR="00B72F5F" w:rsidRDefault="00B72F5F" w:rsidP="00B72F5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F5F" w:rsidRDefault="00B72F5F" w:rsidP="00B72F5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Владислав АНДРОНОВ</w:t>
      </w:r>
    </w:p>
    <w:p w:rsidR="00CE5090" w:rsidRDefault="00CE5090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Pr="00396999" w:rsidRDefault="0016578F" w:rsidP="0016578F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ПОРІВНЯЛЬНА ТАБЛИЦЯ</w:t>
      </w:r>
    </w:p>
    <w:p w:rsidR="0016578F" w:rsidRDefault="0016578F" w:rsidP="0016578F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рішення Київської міської ради</w:t>
      </w:r>
    </w:p>
    <w:p w:rsidR="0016578F" w:rsidRPr="00396999" w:rsidRDefault="0016578F" w:rsidP="0016578F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CE5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 до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</w:t>
      </w: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Чинна редакція:</w:t>
      </w:r>
    </w:p>
    <w:p w:rsidR="0016578F" w:rsidRPr="00974637" w:rsidRDefault="0016578F" w:rsidP="00165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Ресурсне забезпечення Програми</w:t>
      </w:r>
    </w:p>
    <w:p w:rsidR="0016578F" w:rsidRPr="00974637" w:rsidRDefault="0016578F" w:rsidP="00165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 грн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309"/>
        <w:gridCol w:w="1309"/>
        <w:gridCol w:w="1309"/>
        <w:gridCol w:w="1309"/>
        <w:gridCol w:w="1331"/>
      </w:tblGrid>
      <w:tr w:rsidR="0016578F" w:rsidRPr="00974637" w:rsidTr="00162981">
        <w:trPr>
          <w:tblCellSpacing w:w="22" w:type="dxa"/>
        </w:trPr>
        <w:tc>
          <w:tcPr>
            <w:tcW w:w="1500" w:type="pct"/>
            <w:vMerge w:val="restar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 коштів на виконання заходів Програми</w:t>
            </w:r>
          </w:p>
        </w:tc>
        <w:tc>
          <w:tcPr>
            <w:tcW w:w="3500" w:type="pct"/>
            <w:gridSpan w:val="5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Термін реалізації Програми, роки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2021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2022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2023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2024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2025 рік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Забезпечення вирішення депутатами Київської міської ради соціально-економічних проблем, виконання передвиборних програм та доручень виборців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1</w:t>
            </w:r>
            <w:r w:rsidRPr="00165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2</w:t>
            </w: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Забезпечення діяльності громадських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приймалень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депутатів Київської міської ради (утримання)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77628,8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97550,0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102720,1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107856,1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113248,9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Всього обсяг ресурсів бюджету м. Києва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197628,8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2</w:t>
            </w:r>
            <w:r w:rsidRPr="00165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1</w:t>
            </w: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7550,0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222720,1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227856,1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233248,9</w:t>
            </w:r>
          </w:p>
        </w:tc>
      </w:tr>
    </w:tbl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78F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Запропонована редакція:</w:t>
      </w:r>
    </w:p>
    <w:p w:rsidR="0016578F" w:rsidRPr="00974637" w:rsidRDefault="0016578F" w:rsidP="00165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Ресурсне забезпечення Програми</w:t>
      </w:r>
    </w:p>
    <w:p w:rsidR="0016578F" w:rsidRPr="00974637" w:rsidRDefault="0016578F" w:rsidP="001657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7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 грн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309"/>
        <w:gridCol w:w="1309"/>
        <w:gridCol w:w="1309"/>
        <w:gridCol w:w="1309"/>
        <w:gridCol w:w="1331"/>
      </w:tblGrid>
      <w:tr w:rsidR="0016578F" w:rsidRPr="00974637" w:rsidTr="00162981">
        <w:trPr>
          <w:tblCellSpacing w:w="22" w:type="dxa"/>
        </w:trPr>
        <w:tc>
          <w:tcPr>
            <w:tcW w:w="1500" w:type="pct"/>
            <w:vMerge w:val="restar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Обсяг коштів на виконання заходів Програми</w:t>
            </w:r>
          </w:p>
        </w:tc>
        <w:tc>
          <w:tcPr>
            <w:tcW w:w="3500" w:type="pct"/>
            <w:gridSpan w:val="5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Термін реалізації Програми, роки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2021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2022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2023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2024 рік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2025 рік</w:t>
            </w:r>
          </w:p>
        </w:tc>
        <w:bookmarkStart w:id="31" w:name="_GoBack"/>
        <w:bookmarkEnd w:id="31"/>
      </w:tr>
      <w:tr w:rsidR="0016578F" w:rsidRPr="00974637" w:rsidTr="00162981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Забезпечення вирішення депутатами Київської міської ради соціально-економічних проблем, виконання передвиборних програм та доручень виборців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1</w:t>
            </w:r>
            <w:r w:rsidRPr="00165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8</w:t>
            </w: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120000,0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Забезпечення діяльності громадських </w:t>
            </w:r>
            <w:proofErr w:type="spellStart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приймалень</w:t>
            </w:r>
            <w:proofErr w:type="spellEnd"/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 xml:space="preserve"> депутатів Київської міської ради (утримання)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77628,8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97550,0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102720,1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107856,1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113248,9</w:t>
            </w:r>
          </w:p>
        </w:tc>
      </w:tr>
      <w:tr w:rsidR="0016578F" w:rsidRPr="00974637" w:rsidTr="00162981">
        <w:trPr>
          <w:tblCellSpacing w:w="22" w:type="dxa"/>
        </w:trPr>
        <w:tc>
          <w:tcPr>
            <w:tcW w:w="15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Всього обсяг ресурсів бюджету м. Києва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197628,8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2</w:t>
            </w:r>
            <w:r w:rsidRPr="00165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7</w:t>
            </w:r>
            <w:r w:rsidRPr="00974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uk-UA"/>
              </w:rPr>
              <w:t>7550,0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222720,1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227856,1</w:t>
            </w:r>
          </w:p>
        </w:tc>
        <w:tc>
          <w:tcPr>
            <w:tcW w:w="700" w:type="pct"/>
            <w:vAlign w:val="center"/>
            <w:hideMark/>
          </w:tcPr>
          <w:p w:rsidR="0016578F" w:rsidRPr="00974637" w:rsidRDefault="0016578F" w:rsidP="0016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</w:pPr>
            <w:r w:rsidRPr="00974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uk-UA"/>
              </w:rPr>
              <w:t>233248,9</w:t>
            </w:r>
          </w:p>
        </w:tc>
      </w:tr>
    </w:tbl>
    <w:p w:rsidR="0016578F" w:rsidRPr="00974637" w:rsidRDefault="0016578F" w:rsidP="00B72F5F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578F" w:rsidRPr="0097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C2" w:rsidRDefault="00C638C2" w:rsidP="00CE5090">
      <w:pPr>
        <w:spacing w:after="0" w:line="240" w:lineRule="auto"/>
      </w:pPr>
      <w:r>
        <w:separator/>
      </w:r>
    </w:p>
  </w:endnote>
  <w:endnote w:type="continuationSeparator" w:id="0">
    <w:p w:rsidR="00C638C2" w:rsidRDefault="00C638C2" w:rsidP="00C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C2" w:rsidRDefault="00C638C2" w:rsidP="00CE5090">
      <w:pPr>
        <w:spacing w:after="0" w:line="240" w:lineRule="auto"/>
      </w:pPr>
      <w:r>
        <w:separator/>
      </w:r>
    </w:p>
  </w:footnote>
  <w:footnote w:type="continuationSeparator" w:id="0">
    <w:p w:rsidR="00C638C2" w:rsidRDefault="00C638C2" w:rsidP="00CE5090">
      <w:pPr>
        <w:spacing w:after="0" w:line="240" w:lineRule="auto"/>
      </w:pPr>
      <w:r>
        <w:continuationSeparator/>
      </w:r>
    </w:p>
  </w:footnote>
  <w:footnote w:id="1">
    <w:p w:rsidR="003D195E" w:rsidRPr="003D195E" w:rsidRDefault="003D195E" w:rsidP="003D195E">
      <w:pPr>
        <w:pStyle w:val="aa"/>
        <w:rPr>
          <w:rFonts w:ascii="Times New Roman" w:hAnsi="Times New Roman" w:cs="Times New Roman"/>
          <w:color w:val="000000" w:themeColor="text1"/>
        </w:rPr>
      </w:pPr>
      <w:r w:rsidRPr="003D195E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3D195E">
        <w:rPr>
          <w:rFonts w:ascii="Times New Roman" w:hAnsi="Times New Roman" w:cs="Times New Roman"/>
          <w:color w:val="000000" w:themeColor="text1"/>
        </w:rPr>
        <w:t xml:space="preserve"> Режим доступу: https://ratinggroup.ua/research/ukraine/opros_iri_obschestvenno-politicheskie_nastroeniya_v_ukraine_iyun_2022.html</w:t>
      </w:r>
    </w:p>
    <w:p w:rsidR="003D195E" w:rsidRPr="003D195E" w:rsidRDefault="003D195E" w:rsidP="003D195E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Опитування Міжнародного республіканського інституту було проведено Соціологічною групою «Рейтинг» по всій Україні (крім окупованих територій Криму, Донецької та Луганської областей) 27-28 червня 2022 року. Метод опитування –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Computer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Assisted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Telephone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Interviewing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(CATI) – телефонні інтерв'ю з використанням комп'ютера, на основі випадкової вибірки мобільних номерів. Всього було опитано n= 2,004 жителів України віком 18 років і старше. Вибірка не включає українців, які зараз не перебувають в Україні. Отримані дані опитування зважено за регіональним та віковим показниками з використанням даних Державної служби статистики України на 1 січня 2020 року.  Помилка репрезентативності дослідження з довірчою імовірністю 0,95 не перевищує 2.0%. Коефіцієнт досяжності респондентів – 16%. Опитування було проведено за фінансової підтримки Агентства США з міжнародного розвитку (USAID).   </w:t>
      </w:r>
    </w:p>
  </w:footnote>
  <w:footnote w:id="2">
    <w:p w:rsidR="003D195E" w:rsidRPr="003D195E" w:rsidRDefault="003D195E">
      <w:pPr>
        <w:pStyle w:val="aa"/>
        <w:rPr>
          <w:rFonts w:ascii="Times New Roman" w:hAnsi="Times New Roman" w:cs="Times New Roman"/>
          <w:color w:val="000000" w:themeColor="text1"/>
        </w:rPr>
      </w:pPr>
      <w:r w:rsidRPr="003D195E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3D195E">
        <w:rPr>
          <w:rFonts w:ascii="Times New Roman" w:hAnsi="Times New Roman" w:cs="Times New Roman"/>
          <w:color w:val="000000" w:themeColor="text1"/>
        </w:rPr>
        <w:t xml:space="preserve"> </w:t>
      </w:r>
      <w:r w:rsidRPr="003D195E">
        <w:rPr>
          <w:rFonts w:ascii="Times New Roman" w:hAnsi="Times New Roman" w:cs="Times New Roman"/>
          <w:color w:val="000000" w:themeColor="text1"/>
        </w:rPr>
        <w:t>Режим доступу: https://feature.undp.org/war-in-ukraine/</w:t>
      </w:r>
    </w:p>
  </w:footnote>
  <w:footnote w:id="3">
    <w:p w:rsidR="00B72F5F" w:rsidRPr="00B72F5F" w:rsidRDefault="00B72F5F" w:rsidP="00B72F5F">
      <w:pPr>
        <w:pStyle w:val="aa"/>
        <w:jc w:val="both"/>
        <w:rPr>
          <w:rFonts w:ascii="Times New Roman" w:hAnsi="Times New Roman" w:cs="Times New Roman"/>
        </w:rPr>
      </w:pPr>
      <w:r w:rsidRPr="00B72F5F">
        <w:rPr>
          <w:rStyle w:val="ac"/>
          <w:rFonts w:ascii="Times New Roman" w:hAnsi="Times New Roman" w:cs="Times New Roman"/>
        </w:rPr>
        <w:footnoteRef/>
      </w:r>
      <w:r w:rsidRPr="00B72F5F">
        <w:rPr>
          <w:rFonts w:ascii="Times New Roman" w:hAnsi="Times New Roman" w:cs="Times New Roman"/>
        </w:rPr>
        <w:t xml:space="preserve"> </w:t>
      </w:r>
      <w:r w:rsidRPr="00B72F5F">
        <w:rPr>
          <w:rFonts w:ascii="Times New Roman" w:hAnsi="Times New Roman" w:cs="Times New Roman"/>
        </w:rPr>
        <w:t>Режим доступу: https://dif.org.ua/article/samopochuttya-ukraintsiv-pid-chas-viyni-emotsii-ochikuvannya-osobistiy-dosvid-opituvannya-u-zakhidnikh-ta-tsentralnikh-regionakh___-</w:t>
      </w:r>
    </w:p>
    <w:p w:rsidR="00B72F5F" w:rsidRPr="00B72F5F" w:rsidRDefault="00B72F5F" w:rsidP="00B72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F5F">
        <w:rPr>
          <w:rFonts w:ascii="Times New Roman" w:hAnsi="Times New Roman" w:cs="Times New Roman"/>
          <w:sz w:val="20"/>
          <w:szCs w:val="20"/>
        </w:rPr>
        <w:t xml:space="preserve">Опитування методом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face-to-face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було проведене Фондом «Демократичні ініціативи» імені Ілька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Кучеріва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спільно з Центром політичної соціології за підтримки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John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Fell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Oxford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F5F">
        <w:rPr>
          <w:rFonts w:ascii="Times New Roman" w:hAnsi="Times New Roman" w:cs="Times New Roman"/>
          <w:sz w:val="20"/>
          <w:szCs w:val="20"/>
        </w:rPr>
        <w:t>Fund</w:t>
      </w:r>
      <w:proofErr w:type="spellEnd"/>
      <w:r w:rsidRPr="00B72F5F">
        <w:rPr>
          <w:rFonts w:ascii="Times New Roman" w:hAnsi="Times New Roman" w:cs="Times New Roman"/>
          <w:sz w:val="20"/>
          <w:szCs w:val="20"/>
        </w:rPr>
        <w:t xml:space="preserve"> впродовж 7–15 травня 2022 р. Загалом було опитано 1000 респондентів за вибіркою, що репрезентує доросле населення Заходу (Волинська, Закарпатська, Івано-Франківська, Львівська, Рівненська, Тернопільська, Чернівецька області) та Центру (Вінницька, Кіровоградська, Хмельницька, Черкаська області) України. Вибірка репрезентативна за такими показниками, як стать, вік, тип поселення та область проживання. Максимальна випадкова похибка вибірки не перевищує 3,1%.</w:t>
      </w:r>
    </w:p>
  </w:footnote>
  <w:footnote w:id="4">
    <w:p w:rsidR="00CE5090" w:rsidRPr="003D195E" w:rsidRDefault="00CE5090" w:rsidP="003D195E">
      <w:pPr>
        <w:pStyle w:val="aa"/>
        <w:rPr>
          <w:rFonts w:ascii="Times New Roman" w:hAnsi="Times New Roman" w:cs="Times New Roman"/>
          <w:color w:val="000000" w:themeColor="text1"/>
        </w:rPr>
      </w:pPr>
      <w:r w:rsidRPr="003D195E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3D195E">
        <w:rPr>
          <w:rFonts w:ascii="Times New Roman" w:hAnsi="Times New Roman" w:cs="Times New Roman"/>
          <w:color w:val="000000" w:themeColor="text1"/>
        </w:rPr>
        <w:t xml:space="preserve"> </w:t>
      </w:r>
      <w:r w:rsidRPr="003D195E">
        <w:rPr>
          <w:rFonts w:ascii="Times New Roman" w:hAnsi="Times New Roman" w:cs="Times New Roman"/>
          <w:color w:val="000000" w:themeColor="text1"/>
        </w:rPr>
        <w:t xml:space="preserve">Режим доступу: https://ratinggroup.ua/research/ukraine/shestnadca_obschenaci_opros_ukraina_vo_vremya_voyny_obraz_veteranov_v_ukrainskom_obschestve_6-7_avgu.html </w:t>
      </w:r>
    </w:p>
    <w:p w:rsidR="00CE5090" w:rsidRPr="00CE5090" w:rsidRDefault="00CE5090" w:rsidP="00CE5090">
      <w:pPr>
        <w:pStyle w:val="aa"/>
        <w:jc w:val="both"/>
        <w:rPr>
          <w:rFonts w:ascii="Times New Roman" w:hAnsi="Times New Roman" w:cs="Times New Roman"/>
        </w:rPr>
      </w:pPr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Опитування проведено з ініціативи «Українського ветеранського фонду» Міністерства у справах ветеранів України. Профінансовано Соціологічною групою «Рейтинг»</w:t>
      </w:r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Аудиторія: населення України віком від 18 років і старші в усіх областях, крім тимчасово окупованих територій Криму та Донбасу, а також територій, де на момент опитування відсутній український мобільний зв'язок. Результати зважені з використанням актуальних даних Державної служби статистики України. Вибірка репрезентативна за віком, статтю і типом поселення. Вибіркова сукупність: 1000 респондентів. Метод опитування: CATI (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Computer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Assisted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Telephone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>Interviews</w:t>
      </w:r>
      <w:proofErr w:type="spellEnd"/>
      <w:r w:rsidRPr="003D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телефонні інтерв'ю з використанням комп'ютера). Помилка репрезентативності дослідження з довірчою імовірністю 0,95: не більше 3.1%. Терміни проведення: 6-7 серпня 2022 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B9A"/>
    <w:multiLevelType w:val="hybridMultilevel"/>
    <w:tmpl w:val="EC0E59DC"/>
    <w:lvl w:ilvl="0" w:tplc="B99657B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20B9E"/>
    <w:multiLevelType w:val="hybridMultilevel"/>
    <w:tmpl w:val="6AD4A2B0"/>
    <w:lvl w:ilvl="0" w:tplc="B6E0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37"/>
    <w:rsid w:val="0016578F"/>
    <w:rsid w:val="003D195E"/>
    <w:rsid w:val="0061107E"/>
    <w:rsid w:val="007B5252"/>
    <w:rsid w:val="007F1FED"/>
    <w:rsid w:val="00974637"/>
    <w:rsid w:val="009819DC"/>
    <w:rsid w:val="00B72F5F"/>
    <w:rsid w:val="00BA4979"/>
    <w:rsid w:val="00C278DB"/>
    <w:rsid w:val="00C638C2"/>
    <w:rsid w:val="00CE5090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72EB"/>
  <w15:chartTrackingRefBased/>
  <w15:docId w15:val="{6BEBD6AB-ACE3-448B-A2C6-AC06CB4C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8F"/>
  </w:style>
  <w:style w:type="paragraph" w:styleId="3">
    <w:name w:val="heading 3"/>
    <w:basedOn w:val="a"/>
    <w:link w:val="30"/>
    <w:uiPriority w:val="9"/>
    <w:qFormat/>
    <w:rsid w:val="00974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46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unhideWhenUsed/>
    <w:rsid w:val="0097463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7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97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463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E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note text"/>
    <w:basedOn w:val="a"/>
    <w:link w:val="ab"/>
    <w:uiPriority w:val="99"/>
    <w:semiHidden/>
    <w:unhideWhenUsed/>
    <w:rsid w:val="00CE5090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E509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5090"/>
    <w:rPr>
      <w:vertAlign w:val="superscript"/>
    </w:rPr>
  </w:style>
  <w:style w:type="paragraph" w:customStyle="1" w:styleId="Default">
    <w:name w:val="Default"/>
    <w:rsid w:val="00CE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B72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BA74-B55C-454B-ABA0-B4F5BDD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5495</Words>
  <Characters>3133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Про внесення змін до Програми вирішення депутатами Київської міської ради соціал</vt:lpstr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1</cp:revision>
  <cp:lastPrinted>2022-09-28T07:21:00Z</cp:lastPrinted>
  <dcterms:created xsi:type="dcterms:W3CDTF">2022-09-28T06:37:00Z</dcterms:created>
  <dcterms:modified xsi:type="dcterms:W3CDTF">2022-09-28T08:57:00Z</dcterms:modified>
</cp:coreProperties>
</file>