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B6376" w:rsidRPr="008329AA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677A001" wp14:editId="264221B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746458416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7A0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746458416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329AA">
        <w:rPr>
          <w:b/>
          <w:bCs/>
          <w:sz w:val="36"/>
          <w:szCs w:val="36"/>
          <w:lang w:val="ru-RU"/>
        </w:rPr>
        <w:t>ПОЯСНЮВАЛЬНА ЗАПИСКА</w:t>
      </w:r>
    </w:p>
    <w:p w:rsidR="00AB6376" w:rsidRPr="008329AA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5213B9FA" wp14:editId="59D27F8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29AA">
        <w:rPr>
          <w:b/>
          <w:bCs/>
          <w:i w:val="0"/>
          <w:iCs w:val="0"/>
          <w:sz w:val="24"/>
          <w:szCs w:val="24"/>
          <w:lang w:val="ru-RU"/>
        </w:rPr>
        <w:t xml:space="preserve">№ ПЗН-43342-2 </w:t>
      </w:r>
      <w:proofErr w:type="spellStart"/>
      <w:r w:rsidRPr="008329AA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329AA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8329AA">
        <w:rPr>
          <w:b/>
          <w:bCs/>
          <w:i w:val="0"/>
          <w:sz w:val="24"/>
          <w:szCs w:val="24"/>
          <w:lang w:val="ru-RU"/>
        </w:rPr>
        <w:t>02.08.2022</w:t>
      </w:r>
    </w:p>
    <w:p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:rsidR="00AB6376" w:rsidRPr="00433810" w:rsidRDefault="00AB6376" w:rsidP="008329AA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УПРАВЛІННЮ ОСВІТИ ГОЛОСІЇВСЬКОЇ РАЙОННОЇ В МІСТІ КИЄВІ ДЕРЖАВНОЇ АДМІНІСТРАЦІЇ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закладу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освіти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8329AA">
        <w:rPr>
          <w:rFonts w:eastAsia="Georgia"/>
          <w:b/>
          <w:i/>
          <w:iCs/>
          <w:sz w:val="24"/>
          <w:szCs w:val="24"/>
          <w:lang w:val="ru-RU"/>
        </w:rPr>
        <w:br/>
      </w:r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Великій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Васильківській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, 128 у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Голосіївському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8329AA" w:rsidRPr="008329AA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:rsidR="00AB6376" w:rsidRPr="008329AA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8329AA">
        <w:rPr>
          <w:sz w:val="24"/>
          <w:szCs w:val="24"/>
          <w:lang w:val="ru-RU"/>
        </w:rPr>
        <w:t>Юридична</w:t>
      </w:r>
      <w:proofErr w:type="spellEnd"/>
      <w:r w:rsidRPr="008329AA">
        <w:rPr>
          <w:sz w:val="24"/>
          <w:szCs w:val="24"/>
          <w:lang w:val="ru-RU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:rsidTr="008329AA">
        <w:trPr>
          <w:cantSplit/>
          <w:trHeight w:val="599"/>
        </w:trPr>
        <w:tc>
          <w:tcPr>
            <w:tcW w:w="3266" w:type="dxa"/>
          </w:tcPr>
          <w:p w:rsidR="00AB6376" w:rsidRPr="008329AA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329A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8329AA">
              <w:rPr>
                <w:b w:val="0"/>
                <w:sz w:val="24"/>
                <w:szCs w:val="24"/>
                <w:lang w:val="ru-RU"/>
              </w:rPr>
              <w:t>Назва</w:t>
            </w:r>
            <w:proofErr w:type="spellEnd"/>
            <w:r w:rsidR="00AB6376" w:rsidRPr="008329AA">
              <w:rPr>
                <w:b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6090" w:type="dxa"/>
          </w:tcPr>
          <w:p w:rsidR="00AB6376" w:rsidRPr="008329AA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329AA">
              <w:rPr>
                <w:b w:val="0"/>
                <w:i/>
                <w:sz w:val="24"/>
                <w:szCs w:val="24"/>
                <w:lang w:val="ru-RU"/>
              </w:rPr>
              <w:t>УПРАВЛІННЯ ОСВІТИ ГОЛОСІЇВСЬКОЇ РАЙОННОЇ В МІСТІ КИЄВІ ДЕРЖАВНОЇ АДМІНІСТРАЦІЇ</w:t>
            </w:r>
          </w:p>
        </w:tc>
      </w:tr>
      <w:tr w:rsidR="00AB6376" w:rsidRPr="00CF2418" w:rsidTr="008329AA">
        <w:trPr>
          <w:cantSplit/>
          <w:trHeight w:val="551"/>
        </w:trPr>
        <w:tc>
          <w:tcPr>
            <w:tcW w:w="3266" w:type="dxa"/>
          </w:tcPr>
          <w:p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329A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:rsidR="00AB6376" w:rsidRPr="00B30291" w:rsidRDefault="00FB5D25" w:rsidP="008329AA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329A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:rsidR="00AB6376" w:rsidRPr="008329AA" w:rsidRDefault="008329AA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8329AA">
              <w:rPr>
                <w:b w:val="0"/>
                <w:sz w:val="24"/>
                <w:szCs w:val="24"/>
                <w:lang w:val="ru-RU"/>
              </w:rPr>
              <w:t>ГОЛОСІЇВСЬКА РАЙОННА В МІСТІ КИЄВІ ДЕРЖАВНА АДМІНІСТРАЦІЯ</w:t>
            </w:r>
          </w:p>
        </w:tc>
      </w:tr>
      <w:tr w:rsidR="00AB6376" w:rsidRPr="00CF2418" w:rsidTr="002E6951">
        <w:trPr>
          <w:cantSplit/>
          <w:trHeight w:val="625"/>
        </w:trPr>
        <w:tc>
          <w:tcPr>
            <w:tcW w:w="3266" w:type="dxa"/>
          </w:tcPr>
          <w:p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8329A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:rsidTr="00741106">
        <w:trPr>
          <w:cantSplit/>
          <w:trHeight w:val="293"/>
        </w:trPr>
        <w:tc>
          <w:tcPr>
            <w:tcW w:w="3266" w:type="dxa"/>
          </w:tcPr>
          <w:p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25.07.2022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746458416</w:t>
            </w:r>
          </w:p>
        </w:tc>
      </w:tr>
    </w:tbl>
    <w:p w:rsidR="00AB6376" w:rsidRPr="0050402A" w:rsidRDefault="00AB6376" w:rsidP="00AB6376">
      <w:pPr>
        <w:spacing w:line="1" w:lineRule="exact"/>
        <w:rPr>
          <w:lang w:val="en-US"/>
        </w:rPr>
      </w:pPr>
    </w:p>
    <w:p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8329AA">
        <w:rPr>
          <w:sz w:val="24"/>
          <w:szCs w:val="24"/>
          <w:lang w:val="ru-RU"/>
        </w:rPr>
        <w:t>8000000000:79:056:0001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8329AA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329AA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329AA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329AA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8329AA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29AA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8329AA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Велика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Васильківська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128 </w:t>
            </w:r>
          </w:p>
        </w:tc>
      </w:tr>
      <w:tr w:rsidR="00AB6376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1,2231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:rsidTr="008329AA">
        <w:trPr>
          <w:trHeight w:hRule="exact" w:val="391"/>
        </w:trPr>
        <w:tc>
          <w:tcPr>
            <w:tcW w:w="3260" w:type="dxa"/>
            <w:shd w:val="clear" w:color="auto" w:fill="FFFFFF"/>
            <w:vAlign w:val="bottom"/>
          </w:tcPr>
          <w:p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:rsidR="00AB6376" w:rsidRPr="00433810" w:rsidRDefault="008329AA" w:rsidP="008329AA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</w:t>
            </w:r>
            <w:proofErr w:type="spellStart"/>
            <w:r w:rsidR="00AB6376" w:rsidRPr="008329AA">
              <w:rPr>
                <w:i/>
                <w:sz w:val="24"/>
                <w:szCs w:val="24"/>
                <w:lang w:val="ru-RU"/>
              </w:rPr>
              <w:t>остійне</w:t>
            </w:r>
            <w:proofErr w:type="spellEnd"/>
            <w:r w:rsidR="00AB6376" w:rsidRPr="008329A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8329AA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</w:p>
        </w:tc>
      </w:tr>
      <w:tr w:rsidR="00AB6376" w:rsidTr="006E0C5F">
        <w:trPr>
          <w:trHeight w:hRule="exact" w:val="426"/>
        </w:trPr>
        <w:tc>
          <w:tcPr>
            <w:tcW w:w="3260" w:type="dxa"/>
            <w:shd w:val="clear" w:color="auto" w:fill="FFFFFF"/>
          </w:tcPr>
          <w:p w:rsidR="00AB6376" w:rsidRPr="00CF2418" w:rsidRDefault="00FB5D25" w:rsidP="006E0C5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0C5F"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 w:rsidR="006E0C5F"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6E0C5F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6E0C5F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AB6376" w:rsidTr="006E0C5F">
        <w:trPr>
          <w:trHeight w:hRule="exact" w:val="845"/>
        </w:trPr>
        <w:tc>
          <w:tcPr>
            <w:tcW w:w="3260" w:type="dxa"/>
            <w:shd w:val="clear" w:color="auto" w:fill="FFFFFF"/>
          </w:tcPr>
          <w:p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8329AA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:rsidR="00AB6376" w:rsidRPr="006E0C5F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6E0C5F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6E0C5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8329AA" w:rsidRPr="006E0C5F">
              <w:rPr>
                <w:rStyle w:val="ac"/>
                <w:sz w:val="24"/>
                <w:szCs w:val="24"/>
                <w:lang w:val="uk-UA"/>
              </w:rPr>
              <w:t xml:space="preserve"> (вид </w:t>
            </w:r>
            <w:r w:rsidR="006E0C5F" w:rsidRPr="006E0C5F">
              <w:rPr>
                <w:rStyle w:val="ac"/>
                <w:sz w:val="24"/>
                <w:szCs w:val="24"/>
                <w:lang w:val="uk-UA"/>
              </w:rPr>
              <w:t xml:space="preserve">використання - </w:t>
            </w:r>
            <w:r w:rsidR="006E0C5F" w:rsidRPr="006E0C5F">
              <w:rPr>
                <w:i/>
                <w:sz w:val="24"/>
                <w:szCs w:val="24"/>
                <w:lang w:val="uk-UA"/>
              </w:rPr>
              <w:t>для експлуатації та обслуговування будівель і споруд закладу освіти</w:t>
            </w:r>
            <w:r w:rsidR="006E0C5F">
              <w:rPr>
                <w:i/>
                <w:sz w:val="24"/>
                <w:szCs w:val="24"/>
                <w:lang w:val="uk-UA"/>
              </w:rPr>
              <w:t>)</w:t>
            </w:r>
          </w:p>
          <w:p w:rsidR="00D83BE9" w:rsidRPr="006E0C5F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:rsidR="00D83BE9" w:rsidRPr="006E0C5F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:rsidR="00D83BE9" w:rsidRPr="006E0C5F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E0C5F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4D2E59" w:rsidRPr="004D2E59">
              <w:rPr>
                <w:rStyle w:val="ac"/>
                <w:sz w:val="24"/>
                <w:szCs w:val="24"/>
                <w:lang w:val="ru-RU"/>
              </w:rPr>
              <w:t>43 066</w:t>
            </w:r>
            <w:r w:rsidR="004D2E59">
              <w:rPr>
                <w:rStyle w:val="ac"/>
                <w:sz w:val="24"/>
                <w:szCs w:val="24"/>
                <w:lang w:val="ru-RU"/>
              </w:rPr>
              <w:t> </w:t>
            </w:r>
            <w:r w:rsidR="004D2E59" w:rsidRPr="004D2E59">
              <w:rPr>
                <w:rStyle w:val="ac"/>
                <w:sz w:val="24"/>
                <w:szCs w:val="24"/>
                <w:lang w:val="ru-RU"/>
              </w:rPr>
              <w:t>407</w:t>
            </w:r>
            <w:r w:rsidR="004D2E59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 w:rsidR="004D2E59" w:rsidRPr="004D2E59">
              <w:rPr>
                <w:rStyle w:val="ac"/>
                <w:sz w:val="24"/>
                <w:szCs w:val="24"/>
              </w:rPr>
              <w:t>61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:rsidR="00AB6376" w:rsidRDefault="00AB6376" w:rsidP="00AB6376">
      <w:pPr>
        <w:spacing w:after="259" w:line="1" w:lineRule="exact"/>
      </w:pPr>
    </w:p>
    <w:p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AB6376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земель,</w:t>
      </w:r>
      <w:r w:rsidR="008D7061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яка</w:t>
      </w:r>
      <w:r w:rsidRPr="00265722">
        <w:rPr>
          <w:i w:val="0"/>
          <w:sz w:val="24"/>
          <w:szCs w:val="24"/>
          <w:lang w:val="uk-UA"/>
        </w:rPr>
        <w:t xml:space="preserve"> </w:t>
      </w:r>
      <w:r w:rsidR="006E0C5F" w:rsidRPr="006E0C5F">
        <w:rPr>
          <w:i w:val="0"/>
          <w:sz w:val="24"/>
          <w:szCs w:val="24"/>
          <w:lang w:val="uk-UA"/>
        </w:rPr>
        <w:t>згідно зі статтею 186</w:t>
      </w:r>
      <w:r w:rsidR="006E0C5F">
        <w:rPr>
          <w:i w:val="0"/>
          <w:sz w:val="24"/>
          <w:szCs w:val="24"/>
          <w:vertAlign w:val="superscript"/>
          <w:lang w:val="uk-UA"/>
        </w:rPr>
        <w:t>1</w:t>
      </w:r>
      <w:r w:rsidR="006E0C5F">
        <w:rPr>
          <w:i w:val="0"/>
          <w:sz w:val="24"/>
          <w:szCs w:val="24"/>
          <w:lang w:val="uk-UA"/>
        </w:rPr>
        <w:t xml:space="preserve"> </w:t>
      </w:r>
      <w:r w:rsidR="006E0C5F" w:rsidRPr="006E0C5F">
        <w:rPr>
          <w:i w:val="0"/>
          <w:sz w:val="24"/>
          <w:szCs w:val="24"/>
          <w:lang w:val="uk-UA"/>
        </w:rPr>
        <w:t>Земельного  кодексу України (в редакції до 27.05.2021)</w:t>
      </w:r>
      <w:r w:rsidR="006E0C5F">
        <w:rPr>
          <w:i w:val="0"/>
          <w:sz w:val="24"/>
          <w:szCs w:val="24"/>
          <w:lang w:val="uk-UA"/>
        </w:rPr>
        <w:t xml:space="preserve"> пог</w:t>
      </w:r>
      <w:r w:rsidR="008D7061">
        <w:rPr>
          <w:i w:val="0"/>
          <w:sz w:val="24"/>
          <w:szCs w:val="24"/>
          <w:lang w:val="uk-UA"/>
        </w:rPr>
        <w:t>оджена</w:t>
      </w:r>
      <w:r w:rsidRPr="00265722">
        <w:rPr>
          <w:i w:val="0"/>
          <w:sz w:val="24"/>
          <w:szCs w:val="24"/>
          <w:lang w:val="uk-UA"/>
        </w:rPr>
        <w:t xml:space="preserve"> з відповідними органами, зокрема:</w:t>
      </w:r>
    </w:p>
    <w:p w:rsidR="006E0C5F" w:rsidRPr="00265722" w:rsidRDefault="006E0C5F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AB6376" w:rsidTr="00741106">
        <w:tc>
          <w:tcPr>
            <w:tcW w:w="5098" w:type="dxa"/>
          </w:tcPr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структурний підрозділ Київської </w:t>
            </w:r>
          </w:p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міської державної адміністрації </w:t>
            </w:r>
          </w:p>
          <w:p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 сфері містобудування та архітектури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:rsidR="00AB6376" w:rsidRDefault="006E0C5F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6E0C5F">
              <w:rPr>
                <w:b/>
                <w:sz w:val="24"/>
                <w:szCs w:val="24"/>
              </w:rPr>
              <w:t>від</w:t>
            </w:r>
            <w:proofErr w:type="spellEnd"/>
            <w:r w:rsidRPr="006E0C5F">
              <w:rPr>
                <w:b/>
                <w:sz w:val="24"/>
                <w:szCs w:val="24"/>
              </w:rPr>
              <w:t xml:space="preserve"> 20.10.2017 № 9120/0/012/19-17</w:t>
            </w:r>
          </w:p>
        </w:tc>
      </w:tr>
      <w:tr w:rsidR="00AB6376" w:rsidTr="00741106">
        <w:tc>
          <w:tcPr>
            <w:tcW w:w="5098" w:type="dxa"/>
          </w:tcPr>
          <w:p w:rsidR="00AB6376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структурний підрозділ Київської </w:t>
            </w:r>
          </w:p>
          <w:p w:rsidR="00AB6376" w:rsidRPr="00A73294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міської державної адміністрації у сфері охорони культурної спадщини</w:t>
            </w:r>
            <w:r w:rsidRPr="00A7329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:rsidR="00AB6376" w:rsidRDefault="00AB6376" w:rsidP="006E0C5F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D57CE8">
              <w:rPr>
                <w:b/>
                <w:sz w:val="24"/>
                <w:szCs w:val="24"/>
              </w:rPr>
              <w:t>від</w:t>
            </w:r>
            <w:proofErr w:type="spellEnd"/>
            <w:r w:rsidR="006E0C5F" w:rsidRPr="006E0C5F">
              <w:rPr>
                <w:b/>
                <w:sz w:val="24"/>
                <w:szCs w:val="24"/>
              </w:rPr>
              <w:t xml:space="preserve"> 25.10.2017 № 060-8013</w:t>
            </w:r>
          </w:p>
        </w:tc>
      </w:tr>
      <w:tr w:rsidR="00AB6376" w:rsidTr="00741106">
        <w:trPr>
          <w:trHeight w:val="698"/>
        </w:trPr>
        <w:tc>
          <w:tcPr>
            <w:tcW w:w="5098" w:type="dxa"/>
          </w:tcPr>
          <w:p w:rsidR="00B83FD3" w:rsidRDefault="00B83FD3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центральний орган виконавчої влади, що </w:t>
            </w:r>
          </w:p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реалізує державну політику у сфері </w:t>
            </w:r>
          </w:p>
          <w:p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охорони культурної спадщини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:rsidR="00AB6376" w:rsidRDefault="006E0C5F" w:rsidP="006E0C5F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</w:rPr>
              <w:t>в</w:t>
            </w:r>
            <w:r w:rsidRPr="006E0C5F">
              <w:rPr>
                <w:b/>
                <w:sz w:val="24"/>
                <w:szCs w:val="24"/>
              </w:rPr>
              <w:t>ід</w:t>
            </w:r>
            <w:proofErr w:type="spellEnd"/>
            <w:r w:rsidRPr="006E0C5F">
              <w:rPr>
                <w:b/>
                <w:sz w:val="24"/>
                <w:szCs w:val="24"/>
              </w:rPr>
              <w:t xml:space="preserve"> 20.07.2022 № 06/18/997-22</w:t>
            </w:r>
          </w:p>
        </w:tc>
      </w:tr>
      <w:tr w:rsidR="00AB6376" w:rsidTr="00741106">
        <w:tc>
          <w:tcPr>
            <w:tcW w:w="5098" w:type="dxa"/>
          </w:tcPr>
          <w:p w:rsidR="00AB6376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територіальний орган центрального органу виконавчої влади, що реалізує державну політику у сфері земельних відносин</w:t>
            </w:r>
          </w:p>
          <w:p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(екстериторіальне погодження)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:rsidR="00AB6376" w:rsidRDefault="006E0C5F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6E0C5F">
              <w:rPr>
                <w:b/>
                <w:sz w:val="24"/>
                <w:szCs w:val="24"/>
              </w:rPr>
              <w:t>від</w:t>
            </w:r>
            <w:proofErr w:type="spellEnd"/>
            <w:r w:rsidRPr="006E0C5F">
              <w:rPr>
                <w:b/>
                <w:sz w:val="24"/>
                <w:szCs w:val="24"/>
              </w:rPr>
              <w:t xml:space="preserve"> 27.10.2017 № 19-26-0.31-1972/35-17</w:t>
            </w:r>
          </w:p>
        </w:tc>
      </w:tr>
    </w:tbl>
    <w:p w:rsidR="00AB6376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</w:t>
      </w:r>
      <w:r w:rsidR="006E0C5F">
        <w:rPr>
          <w:i w:val="0"/>
          <w:sz w:val="24"/>
          <w:szCs w:val="24"/>
          <w:lang w:val="uk-UA"/>
        </w:rPr>
        <w:t>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:rsidTr="00741106">
        <w:trPr>
          <w:cantSplit/>
          <w:trHeight w:val="864"/>
        </w:trPr>
        <w:tc>
          <w:tcPr>
            <w:tcW w:w="3260" w:type="dxa"/>
          </w:tcPr>
          <w:p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:rsidR="00AB6376" w:rsidRPr="00F336A8" w:rsidRDefault="006E0C5F" w:rsidP="006E0C5F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розташовані 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>нежитлов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 спеціалізован</w:t>
            </w:r>
            <w:r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 I-III ступенів з поглибленим вивченням англійської та італійської мов № 130 імені Данте Аліг’єрі м. Києва літ. «А», «Б», загальною площею 11606,1 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6E0C5F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>м, як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перебувають у комунальній власності територіальної громади міста Києва (право власності зареєстровано у Державному реєстрі речових прав на нерухоме майно 08.11.2018, номер запису про право власності 28903349) та з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>акріплен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і 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 xml:space="preserve">на праві оперативного управління за Управлінням освіти Голосіївської районної в місті Києві державної адміністрації відповідно до розпорядження Голосіївської районної в місті Києві державної адміністрації від 06.04.2011 № 261, право оперативного управління зареєстровано в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>9.07.2021, номер запису про інше речове право 43109795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E0C5F">
              <w:rPr>
                <w:rFonts w:ascii="Times New Roman" w:eastAsia="Times New Roman" w:hAnsi="Times New Roman" w:cs="Times New Roman"/>
                <w:i/>
              </w:rPr>
              <w:t>(інформація з Державного реєстру речових прав на нерухоме майно від 27.07.2022 № 305911021).</w:t>
            </w:r>
          </w:p>
        </w:tc>
      </w:tr>
      <w:tr w:rsidR="00AB6376" w:rsidRPr="0070402C" w:rsidTr="00DC1A47">
        <w:trPr>
          <w:cantSplit/>
          <w:trHeight w:val="427"/>
        </w:trPr>
        <w:tc>
          <w:tcPr>
            <w:tcW w:w="3260" w:type="dxa"/>
          </w:tcPr>
          <w:p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6E0C5F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:rsidR="00AB6376" w:rsidRPr="00F336A8" w:rsidRDefault="00AB6376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DC1A47" w:rsidRPr="0070402C" w:rsidTr="00C971A4">
        <w:trPr>
          <w:cantSplit/>
          <w:trHeight w:val="1516"/>
        </w:trPr>
        <w:tc>
          <w:tcPr>
            <w:tcW w:w="3260" w:type="dxa"/>
          </w:tcPr>
          <w:p w:rsidR="00DC1A47" w:rsidRPr="00FB5D25" w:rsidRDefault="00DC1A47" w:rsidP="00DC1A4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C1A47" w:rsidRPr="00433810" w:rsidRDefault="00DC1A47" w:rsidP="00DC1A4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096" w:type="dxa"/>
          </w:tcPr>
          <w:p w:rsidR="00DC1A47" w:rsidRPr="00DC1A47" w:rsidRDefault="00DC1A47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           від 28.03.2002 № 370/1804, земельна ділянка за функціональним призначенням належить частково до 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багатоповерхової </w:t>
            </w:r>
            <w:r w:rsidRPr="00DC1A47">
              <w:rPr>
                <w:rFonts w:ascii="Times New Roman" w:eastAsia="Times New Roman" w:hAnsi="Times New Roman" w:cs="Times New Roman"/>
                <w:i/>
              </w:rPr>
              <w:t>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громадських будівель та споруд (лист Департаменту містобудування та архітектури виконавчого органу Київської міської ради (Київської міської державної адміністрації) від 20.10.2017                         № 9120/012/19-17).</w:t>
            </w:r>
          </w:p>
        </w:tc>
      </w:tr>
      <w:tr w:rsidR="00DC1A47" w:rsidRPr="0070402C" w:rsidTr="00741106">
        <w:trPr>
          <w:cantSplit/>
          <w:trHeight w:val="581"/>
        </w:trPr>
        <w:tc>
          <w:tcPr>
            <w:tcW w:w="3260" w:type="dxa"/>
          </w:tcPr>
          <w:p w:rsidR="00DC1A47" w:rsidRPr="00433810" w:rsidRDefault="00DC1A47" w:rsidP="00DC1A47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:rsidR="00DC1A47" w:rsidRPr="00DC1A47" w:rsidRDefault="00DC1A47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 (право власності зареєстровано у Державному реєстрі речових прав на нерухоме майно 02.02.2018, номер запису про право власності 24684937).</w:t>
            </w:r>
          </w:p>
        </w:tc>
      </w:tr>
      <w:tr w:rsidR="00DC1A47" w:rsidRPr="0070402C" w:rsidTr="00741106">
        <w:trPr>
          <w:cantSplit/>
          <w:trHeight w:val="282"/>
        </w:trPr>
        <w:tc>
          <w:tcPr>
            <w:tcW w:w="3260" w:type="dxa"/>
          </w:tcPr>
          <w:p w:rsidR="00DC1A47" w:rsidRPr="00433810" w:rsidRDefault="00DC1A47" w:rsidP="00DC1A47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:rsidR="00DC1A47" w:rsidRPr="00DC1A47" w:rsidRDefault="00DC1A47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DC1A47" w:rsidRPr="0070402C" w:rsidTr="004F7214">
        <w:trPr>
          <w:cantSplit/>
          <w:trHeight w:val="274"/>
        </w:trPr>
        <w:tc>
          <w:tcPr>
            <w:tcW w:w="3260" w:type="dxa"/>
          </w:tcPr>
          <w:p w:rsidR="00DC1A47" w:rsidRPr="00433810" w:rsidRDefault="00DC1A47" w:rsidP="00DC1A47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:rsidR="00DC1A47" w:rsidRPr="00DC1A47" w:rsidRDefault="00DC1A47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 xml:space="preserve">Згідно з листом Департаменту культури виконавчого органу Київської міської ради (Київської міської державної адміністрації) від 25.10.2017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DC1A47">
              <w:rPr>
                <w:rFonts w:ascii="Times New Roman" w:eastAsia="Times New Roman" w:hAnsi="Times New Roman" w:cs="Times New Roman"/>
                <w:i/>
              </w:rPr>
              <w:t>№ 060-8013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земельна ділянка розташована у Центральному історичному ареалі міста Києва, в зоні регулювання забудови третьої категорії.</w:t>
            </w:r>
          </w:p>
          <w:p w:rsidR="00DC1A47" w:rsidRPr="00DC1A47" w:rsidRDefault="00DC1A47" w:rsidP="00DC1A47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 xml:space="preserve"> Земельна ділянка розташована поза межами червоних ліній.</w:t>
            </w:r>
          </w:p>
          <w:p w:rsidR="00DC1A47" w:rsidRPr="00DC1A47" w:rsidRDefault="00DC1A47" w:rsidP="00DC1A47">
            <w:pPr>
              <w:pStyle w:val="ad"/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C1A47">
              <w:rPr>
                <w:rFonts w:ascii="Times New Roman" w:eastAsia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DC1A47">
              <w:rPr>
                <w:rFonts w:ascii="Times New Roman" w:eastAsia="Times New Roman" w:hAnsi="Times New Roman" w:cs="Times New Roman"/>
                <w:i/>
              </w:rPr>
              <w:t>проєкт</w:t>
            </w:r>
            <w:proofErr w:type="spellEnd"/>
            <w:r w:rsidRPr="00DC1A47">
              <w:rPr>
                <w:rFonts w:ascii="Times New Roman" w:eastAsia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:rsidR="002E6951" w:rsidRPr="00173F07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:rsidR="00AB6376" w:rsidRDefault="00AB6376" w:rsidP="00936C11">
      <w:pPr>
        <w:pStyle w:val="1"/>
        <w:tabs>
          <w:tab w:val="left" w:pos="426"/>
        </w:tabs>
        <w:rPr>
          <w:b/>
          <w:i w:val="0"/>
          <w:sz w:val="24"/>
          <w:szCs w:val="24"/>
          <w:u w:val="single"/>
          <w:lang w:val="ru-RU"/>
        </w:rPr>
      </w:pPr>
    </w:p>
    <w:p w:rsidR="002E6A3D" w:rsidRPr="00CD3A7D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CD3A7D">
        <w:rPr>
          <w:i w:val="0"/>
          <w:sz w:val="24"/>
          <w:szCs w:val="24"/>
          <w:lang w:val="ru-RU"/>
        </w:rPr>
        <w:t>Відповідно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CD3A7D">
        <w:rPr>
          <w:i w:val="0"/>
          <w:sz w:val="24"/>
          <w:szCs w:val="24"/>
          <w:lang w:val="ru-RU"/>
        </w:rPr>
        <w:t>Податкового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CD3A7D">
        <w:rPr>
          <w:i w:val="0"/>
          <w:sz w:val="24"/>
          <w:szCs w:val="24"/>
          <w:lang w:val="ru-RU"/>
        </w:rPr>
        <w:t>України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П</w:t>
      </w:r>
      <w:r>
        <w:rPr>
          <w:i w:val="0"/>
          <w:sz w:val="24"/>
          <w:szCs w:val="24"/>
          <w:lang w:val="ru-RU"/>
        </w:rPr>
        <w:t>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</w:t>
      </w:r>
      <w:r w:rsidRPr="00CD3A7D">
        <w:rPr>
          <w:i w:val="0"/>
          <w:sz w:val="24"/>
          <w:szCs w:val="24"/>
          <w:lang w:val="ru-RU"/>
        </w:rPr>
        <w:t xml:space="preserve">а землю в </w:t>
      </w:r>
      <w:proofErr w:type="spellStart"/>
      <w:r w:rsidRPr="00CD3A7D">
        <w:rPr>
          <w:i w:val="0"/>
          <w:sz w:val="24"/>
          <w:szCs w:val="24"/>
          <w:lang w:val="ru-RU"/>
        </w:rPr>
        <w:t>місті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, </w:t>
      </w:r>
      <w:proofErr w:type="spellStart"/>
      <w:r w:rsidRPr="00CD3A7D">
        <w:rPr>
          <w:i w:val="0"/>
          <w:sz w:val="24"/>
          <w:szCs w:val="24"/>
          <w:lang w:val="ru-RU"/>
        </w:rPr>
        <w:t>затвердженого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рішенням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CD3A7D">
        <w:rPr>
          <w:i w:val="0"/>
          <w:sz w:val="24"/>
          <w:szCs w:val="24"/>
          <w:lang w:val="ru-RU"/>
        </w:rPr>
        <w:t>від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встановлення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місцевих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податків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CD3A7D">
        <w:rPr>
          <w:i w:val="0"/>
          <w:sz w:val="24"/>
          <w:szCs w:val="24"/>
          <w:lang w:val="ru-RU"/>
        </w:rPr>
        <w:t>зборів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у м.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>» (</w:t>
      </w:r>
      <w:proofErr w:type="spellStart"/>
      <w:r w:rsidRPr="00CD3A7D">
        <w:rPr>
          <w:i w:val="0"/>
          <w:sz w:val="24"/>
          <w:szCs w:val="24"/>
          <w:lang w:val="ru-RU"/>
        </w:rPr>
        <w:t>зі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змінами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доп</w:t>
      </w:r>
      <w:r w:rsidR="00DD7B2D">
        <w:rPr>
          <w:i w:val="0"/>
          <w:sz w:val="24"/>
          <w:szCs w:val="24"/>
          <w:lang w:val="ru-RU"/>
        </w:rPr>
        <w:t>овненнями</w:t>
      </w:r>
      <w:proofErr w:type="spellEnd"/>
      <w:r w:rsidR="00DD7B2D">
        <w:rPr>
          <w:i w:val="0"/>
          <w:sz w:val="24"/>
          <w:szCs w:val="24"/>
          <w:lang w:val="ru-RU"/>
        </w:rPr>
        <w:t xml:space="preserve">) </w:t>
      </w:r>
      <w:proofErr w:type="spellStart"/>
      <w:r w:rsidR="00DD7B2D">
        <w:rPr>
          <w:i w:val="0"/>
          <w:sz w:val="24"/>
          <w:szCs w:val="24"/>
          <w:lang w:val="ru-RU"/>
        </w:rPr>
        <w:t>роз</w:t>
      </w:r>
      <w:r w:rsidR="00A635B1">
        <w:rPr>
          <w:i w:val="0"/>
          <w:sz w:val="24"/>
          <w:szCs w:val="24"/>
          <w:lang w:val="ru-RU"/>
        </w:rPr>
        <w:t>рахунковий</w:t>
      </w:r>
      <w:proofErr w:type="spellEnd"/>
      <w:r w:rsidR="00A635B1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розмір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CD3A7D">
        <w:rPr>
          <w:i w:val="0"/>
          <w:sz w:val="24"/>
          <w:szCs w:val="24"/>
          <w:lang w:val="ru-RU"/>
        </w:rPr>
        <w:t>податку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складатиме</w:t>
      </w:r>
      <w:proofErr w:type="spellEnd"/>
      <w:r w:rsidRPr="00CD3A7D">
        <w:rPr>
          <w:i w:val="0"/>
          <w:sz w:val="24"/>
          <w:szCs w:val="24"/>
          <w:lang w:val="ru-RU"/>
        </w:rPr>
        <w:t xml:space="preserve">: </w:t>
      </w:r>
      <w:r w:rsidR="004D2E59" w:rsidRPr="004D2E59">
        <w:rPr>
          <w:i w:val="0"/>
          <w:sz w:val="24"/>
          <w:szCs w:val="24"/>
          <w:lang w:val="ru-RU"/>
        </w:rPr>
        <w:t>4</w:t>
      </w:r>
      <w:r w:rsidR="004D2E59">
        <w:rPr>
          <w:i w:val="0"/>
          <w:sz w:val="24"/>
          <w:szCs w:val="24"/>
          <w:lang w:val="ru-RU"/>
        </w:rPr>
        <w:t> </w:t>
      </w:r>
      <w:r w:rsidR="004D2E59" w:rsidRPr="004D2E59">
        <w:rPr>
          <w:i w:val="0"/>
          <w:sz w:val="24"/>
          <w:szCs w:val="24"/>
          <w:lang w:val="ru-RU"/>
        </w:rPr>
        <w:t xml:space="preserve">306 </w:t>
      </w:r>
      <w:proofErr w:type="spellStart"/>
      <w:r w:rsidRPr="00CD3A7D">
        <w:rPr>
          <w:i w:val="0"/>
          <w:sz w:val="24"/>
          <w:szCs w:val="24"/>
          <w:lang w:val="ru-RU"/>
        </w:rPr>
        <w:t>грн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r w:rsidR="004D2E59" w:rsidRPr="004D2E59">
        <w:rPr>
          <w:i w:val="0"/>
          <w:sz w:val="24"/>
          <w:szCs w:val="24"/>
          <w:lang w:val="ru-RU"/>
        </w:rPr>
        <w:t>64</w:t>
      </w:r>
      <w:r w:rsidRPr="00CD3A7D">
        <w:rPr>
          <w:i w:val="0"/>
          <w:sz w:val="24"/>
          <w:szCs w:val="24"/>
          <w:lang w:val="ru-RU"/>
        </w:rPr>
        <w:t xml:space="preserve"> коп. (</w:t>
      </w:r>
      <w:r w:rsidR="004D2E59" w:rsidRPr="004D2E59">
        <w:rPr>
          <w:i w:val="0"/>
          <w:sz w:val="24"/>
          <w:szCs w:val="24"/>
          <w:lang w:val="ru-RU"/>
        </w:rPr>
        <w:t>0</w:t>
      </w:r>
      <w:r w:rsidR="004D2E59">
        <w:rPr>
          <w:i w:val="0"/>
          <w:sz w:val="24"/>
          <w:szCs w:val="24"/>
          <w:lang w:val="uk-UA"/>
        </w:rPr>
        <w:t>,</w:t>
      </w:r>
      <w:proofErr w:type="gramStart"/>
      <w:r w:rsidR="004D2E59">
        <w:rPr>
          <w:i w:val="0"/>
          <w:sz w:val="24"/>
          <w:szCs w:val="24"/>
        </w:rPr>
        <w:t>01</w:t>
      </w:r>
      <w:r w:rsidRPr="00CD3A7D">
        <w:rPr>
          <w:i w:val="0"/>
          <w:sz w:val="24"/>
          <w:szCs w:val="24"/>
          <w:lang w:val="ru-RU"/>
        </w:rPr>
        <w:t xml:space="preserve">  %)</w:t>
      </w:r>
      <w:proofErr w:type="gramEnd"/>
      <w:r w:rsidRPr="00CD3A7D">
        <w:rPr>
          <w:i w:val="0"/>
          <w:sz w:val="24"/>
          <w:szCs w:val="24"/>
          <w:lang w:val="ru-RU"/>
        </w:rPr>
        <w:t>.</w:t>
      </w:r>
    </w:p>
    <w:p w:rsidR="002E6A3D" w:rsidRPr="00173F07" w:rsidRDefault="002E6A3D" w:rsidP="00AB6376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ru-RU"/>
        </w:rPr>
      </w:pPr>
    </w:p>
    <w:p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:rsidR="00B04F97" w:rsidRDefault="00AB6376" w:rsidP="00DC1A4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стане:</w:t>
      </w:r>
    </w:p>
    <w:p w:rsidR="00AB6376" w:rsidRPr="00173F07" w:rsidRDefault="00AB6376" w:rsidP="00DC1A4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-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329A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Tr="00CA61D7">
        <w:trPr>
          <w:trHeight w:val="663"/>
        </w:trPr>
        <w:tc>
          <w:tcPr>
            <w:tcW w:w="4814" w:type="dxa"/>
            <w:hideMark/>
          </w:tcPr>
          <w:p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:rsidR="008B754D" w:rsidRDefault="008B754D" w:rsidP="00CA61D7">
      <w:pPr>
        <w:pStyle w:val="1"/>
        <w:shd w:val="clear" w:color="auto" w:fill="auto"/>
      </w:pPr>
    </w:p>
    <w:p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7E" w:rsidRDefault="00FD157E">
      <w:r>
        <w:separator/>
      </w:r>
    </w:p>
  </w:endnote>
  <w:endnote w:type="continuationSeparator" w:id="0">
    <w:p w:rsidR="00FD157E" w:rsidRDefault="00FD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B04F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F514AD" wp14:editId="79272176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514A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7E" w:rsidRDefault="00FD157E">
      <w:r>
        <w:separator/>
      </w:r>
    </w:p>
  </w:footnote>
  <w:footnote w:type="continuationSeparator" w:id="0">
    <w:p w:rsidR="00FD157E" w:rsidRDefault="00FD1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8329AA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329A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8329AA">
          <w:rPr>
            <w:i w:val="0"/>
            <w:sz w:val="12"/>
            <w:szCs w:val="12"/>
            <w:lang w:val="ru-RU"/>
          </w:rPr>
          <w:t xml:space="preserve"> записка № ПЗН-43342-2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329AA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8329AA">
          <w:rPr>
            <w:i w:val="0"/>
            <w:sz w:val="12"/>
            <w:szCs w:val="12"/>
            <w:lang w:val="ru-RU"/>
          </w:rPr>
          <w:t xml:space="preserve"> </w:t>
        </w:r>
        <w:r w:rsidR="00C805DB" w:rsidRPr="008329AA">
          <w:rPr>
            <w:i w:val="0"/>
            <w:sz w:val="12"/>
            <w:szCs w:val="12"/>
            <w:lang w:val="ru-RU"/>
          </w:rPr>
          <w:t>02.08.2022</w:t>
        </w:r>
        <w:r w:rsidR="00B04F97" w:rsidRPr="008329AA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8329A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8329AA">
          <w:rPr>
            <w:i w:val="0"/>
            <w:sz w:val="12"/>
            <w:szCs w:val="12"/>
            <w:lang w:val="ru-RU"/>
          </w:rPr>
          <w:t xml:space="preserve"> 746458416</w:t>
        </w:r>
      </w:p>
      <w:p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13662" w:rsidRPr="0011366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11366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13662"/>
    <w:rsid w:val="00160C62"/>
    <w:rsid w:val="0017443C"/>
    <w:rsid w:val="00187816"/>
    <w:rsid w:val="002A1D3E"/>
    <w:rsid w:val="002E6951"/>
    <w:rsid w:val="002E6A3D"/>
    <w:rsid w:val="002F79A1"/>
    <w:rsid w:val="00311227"/>
    <w:rsid w:val="003F1E49"/>
    <w:rsid w:val="00430E3F"/>
    <w:rsid w:val="00433810"/>
    <w:rsid w:val="004B0A5A"/>
    <w:rsid w:val="004C27C5"/>
    <w:rsid w:val="004D2E59"/>
    <w:rsid w:val="004F7214"/>
    <w:rsid w:val="005056C4"/>
    <w:rsid w:val="0062039C"/>
    <w:rsid w:val="00626FEC"/>
    <w:rsid w:val="00627A9F"/>
    <w:rsid w:val="006617B7"/>
    <w:rsid w:val="00672119"/>
    <w:rsid w:val="006E0C5F"/>
    <w:rsid w:val="0071136B"/>
    <w:rsid w:val="00713399"/>
    <w:rsid w:val="00765AE4"/>
    <w:rsid w:val="007A32FB"/>
    <w:rsid w:val="007F0D94"/>
    <w:rsid w:val="007F0DF4"/>
    <w:rsid w:val="00804D06"/>
    <w:rsid w:val="00820C6D"/>
    <w:rsid w:val="008329AA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36C11"/>
    <w:rsid w:val="009574C2"/>
    <w:rsid w:val="00A42D6D"/>
    <w:rsid w:val="00A635B1"/>
    <w:rsid w:val="00A90D7B"/>
    <w:rsid w:val="00AB6376"/>
    <w:rsid w:val="00AB7F46"/>
    <w:rsid w:val="00B04F97"/>
    <w:rsid w:val="00B83FD3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C1A47"/>
    <w:rsid w:val="00DD7B2D"/>
    <w:rsid w:val="00E457DD"/>
    <w:rsid w:val="00E679AD"/>
    <w:rsid w:val="00E875D7"/>
    <w:rsid w:val="00EF695A"/>
    <w:rsid w:val="00F27DAD"/>
    <w:rsid w:val="00F804BF"/>
    <w:rsid w:val="00FB5D25"/>
    <w:rsid w:val="00FD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3A96-D119-4681-A367-C25F07C2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4363</Words>
  <Characters>2488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6838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Denisenko Yuliya</cp:lastModifiedBy>
  <cp:revision>2</cp:revision>
  <cp:lastPrinted>2022-08-02T13:52:00Z</cp:lastPrinted>
  <dcterms:created xsi:type="dcterms:W3CDTF">2022-08-11T12:15:00Z</dcterms:created>
  <dcterms:modified xsi:type="dcterms:W3CDTF">2022-08-11T12:15:00Z</dcterms:modified>
</cp:coreProperties>
</file>