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19.xml" ContentType="application/vnd.openxmlformats-officedocument.wordprocessingml.header+xml"/>
  <Override PartName="/word/document.xml" ContentType="application/vnd.openxmlformats-officedocument.wordprocessingml.document.main+xml"/>
  <Override PartName="/word/header6.xml" ContentType="application/vnd.openxmlformats-officedocument.wordprocessingml.header+xml"/>
  <Override PartName="/word/styles.xml" ContentType="application/vnd.openxmlformats-officedocument.wordprocessingml.styles+xml"/>
  <Override PartName="/word/header4.xml" ContentType="application/vnd.openxmlformats-officedocument.wordprocessingml.header+xml"/>
  <Override PartName="/word/header2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_rels/chart4.xml.rels" ContentType="application/vnd.openxmlformats-package.relationship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media/image9.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0.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theme/theme1.xml" ContentType="application/vnd.openxmlformats-officedocument.theme+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embeddings/Microsoft_Excel_Worksheet1.xlsx" ContentType="application/vnd.openxmlformats-officedocument.spreadsheetml.sheet"/>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0" w:after="0"/>
        <w:rPr>
          <w:rFonts w:ascii="Times New Roman" w:hAnsi="Times New Roman" w:cs="Times New Roman"/>
          <w:sz w:val="32"/>
          <w:szCs w:val="32"/>
        </w:rPr>
      </w:pPr>
      <w:r>
        <w:rPr>
          <w:rFonts w:cs="Times New Roman" w:ascii="Times New Roman" w:hAnsi="Times New Roman"/>
          <w:sz w:val="32"/>
          <w:szCs w:val="32"/>
        </w:rPr>
        <w:t xml:space="preserve">                                                               </w:t>
      </w:r>
      <w:r>
        <w:rPr>
          <w:rFonts w:cs="Times New Roman" w:ascii="Times New Roman" w:hAnsi="Times New Roman"/>
          <w:sz w:val="32"/>
          <w:szCs w:val="32"/>
        </w:rPr>
        <w:t>Додаток</w:t>
      </w:r>
    </w:p>
    <w:p>
      <w:pPr>
        <w:pStyle w:val="NoSpacing"/>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до розпорядження виконавчого органу </w:t>
      </w:r>
    </w:p>
    <w:p>
      <w:pPr>
        <w:pStyle w:val="NoSpacing"/>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 xml:space="preserve">Київської міської ради </w:t>
      </w:r>
    </w:p>
    <w:p>
      <w:pPr>
        <w:pStyle w:val="NoSpacing"/>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(Київської міської державної адміністрації)</w:t>
      </w:r>
    </w:p>
    <w:p>
      <w:pPr>
        <w:pStyle w:val="NoSpacing"/>
        <w:rPr>
          <w:rFonts w:ascii="Times New Roman" w:hAnsi="Times New Roman" w:cs="Times New Roman"/>
          <w:sz w:val="28"/>
          <w:szCs w:val="28"/>
        </w:rPr>
      </w:pPr>
      <w:r>
        <w:rPr>
          <w:rFonts w:cs="Times New Roman" w:ascii="Times New Roman" w:hAnsi="Times New Roman"/>
          <w:sz w:val="28"/>
          <w:szCs w:val="28"/>
        </w:rPr>
        <w:t xml:space="preserve">                                                                       </w:t>
      </w:r>
    </w:p>
    <w:p>
      <w:pPr>
        <w:pStyle w:val="NoSpacing"/>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____________2015 р.  № _____________</w:t>
      </w:r>
    </w:p>
    <w:p>
      <w:pPr>
        <w:pStyle w:val="Normal"/>
        <w:spacing w:before="0" w:after="0"/>
        <w:jc w:val="center"/>
        <w:rPr>
          <w:rFonts w:ascii="Times New Roman" w:hAnsi="Times New Roman" w:cs="Times New Roman"/>
          <w:bCs/>
          <w:sz w:val="48"/>
          <w:szCs w:val="48"/>
        </w:rPr>
      </w:pPr>
      <w:r>
        <w:rPr>
          <w:rFonts w:cs="Times New Roman" w:ascii="Times New Roman" w:hAnsi="Times New Roman"/>
          <w:bCs/>
          <w:sz w:val="48"/>
          <w:szCs w:val="48"/>
        </w:rPr>
      </w:r>
    </w:p>
    <w:p>
      <w:pPr>
        <w:pStyle w:val="Normal"/>
        <w:jc w:val="center"/>
        <w:rPr>
          <w:rFonts w:ascii="Times New Roman" w:hAnsi="Times New Roman" w:cs="Times New Roman"/>
          <w:bCs/>
          <w:sz w:val="48"/>
          <w:szCs w:val="48"/>
        </w:rPr>
      </w:pPr>
      <w:r>
        <w:rPr>
          <w:rFonts w:cs="Times New Roman" w:ascii="Times New Roman" w:hAnsi="Times New Roman"/>
          <w:bCs/>
          <w:sz w:val="48"/>
          <w:szCs w:val="48"/>
        </w:rPr>
      </w:r>
    </w:p>
    <w:p>
      <w:pPr>
        <w:pStyle w:val="Normal"/>
        <w:jc w:val="center"/>
        <w:rPr>
          <w:rFonts w:ascii="Times New Roman" w:hAnsi="Times New Roman" w:cs="Times New Roman"/>
          <w:bCs/>
          <w:sz w:val="48"/>
          <w:szCs w:val="48"/>
        </w:rPr>
      </w:pPr>
      <w:r>
        <w:rPr>
          <w:rFonts w:cs="Times New Roman" w:ascii="Times New Roman" w:hAnsi="Times New Roman"/>
          <w:bCs/>
          <w:sz w:val="48"/>
          <w:szCs w:val="48"/>
        </w:rPr>
      </w:r>
    </w:p>
    <w:p>
      <w:pPr>
        <w:pStyle w:val="Normal"/>
        <w:jc w:val="center"/>
        <w:rPr>
          <w:rFonts w:ascii="Times New Roman" w:hAnsi="Times New Roman" w:cs="Times New Roman"/>
          <w:bCs/>
          <w:sz w:val="44"/>
          <w:szCs w:val="44"/>
        </w:rPr>
      </w:pPr>
      <w:r>
        <w:rPr>
          <w:rFonts w:cs="Times New Roman" w:ascii="Times New Roman" w:hAnsi="Times New Roman"/>
          <w:bCs/>
          <w:sz w:val="44"/>
          <w:szCs w:val="44"/>
        </w:rPr>
        <w:t>МІСЬКА КОМПЛЕКСНА ЦІЛЬОВА  ПРОГРАМА</w:t>
      </w:r>
    </w:p>
    <w:p>
      <w:pPr>
        <w:pStyle w:val="Normal"/>
        <w:jc w:val="center"/>
        <w:rPr>
          <w:rFonts w:ascii="Times New Roman" w:hAnsi="Times New Roman" w:cs="Times New Roman"/>
          <w:bCs/>
          <w:sz w:val="48"/>
          <w:szCs w:val="48"/>
        </w:rPr>
      </w:pPr>
      <w:r>
        <w:rPr>
          <w:rFonts w:cs="Times New Roman" w:ascii="Times New Roman" w:hAnsi="Times New Roman"/>
          <w:bCs/>
          <w:sz w:val="48"/>
          <w:szCs w:val="48"/>
        </w:rPr>
        <w:t>«ОСВІТА КИЄВА. 2016 – 2018 роки»</w:t>
      </w:r>
    </w:p>
    <w:p>
      <w:pPr>
        <w:pStyle w:val="Normal"/>
        <w:rPr>
          <w:rFonts w:ascii="Times New Roman" w:hAnsi="Times New Roman" w:cs="Times New Roman"/>
          <w:sz w:val="48"/>
          <w:szCs w:val="48"/>
        </w:rPr>
      </w:pPr>
      <w:r>
        <w:rPr>
          <w:rFonts w:cs="Times New Roman" w:ascii="Times New Roman" w:hAnsi="Times New Roman"/>
          <w:sz w:val="48"/>
          <w:szCs w:val="48"/>
        </w:rPr>
      </w:r>
    </w:p>
    <w:p>
      <w:pPr>
        <w:pStyle w:val="Normal"/>
        <w:rPr>
          <w:rFonts w:ascii="Times New Roman" w:hAnsi="Times New Roman" w:cs="Times New Roman"/>
          <w:sz w:val="48"/>
          <w:szCs w:val="48"/>
        </w:rPr>
      </w:pPr>
      <w:r>
        <w:rPr>
          <w:rFonts w:cs="Times New Roman" w:ascii="Times New Roman" w:hAnsi="Times New Roman"/>
          <w:sz w:val="48"/>
          <w:szCs w:val="48"/>
        </w:rPr>
      </w:r>
    </w:p>
    <w:p>
      <w:pPr>
        <w:pStyle w:val="Normal"/>
        <w:rPr>
          <w:rFonts w:ascii="Times New Roman" w:hAnsi="Times New Roman" w:cs="Times New Roman"/>
          <w:sz w:val="48"/>
          <w:szCs w:val="48"/>
        </w:rPr>
      </w:pPr>
      <w:r>
        <w:rPr>
          <w:rFonts w:cs="Times New Roman" w:ascii="Times New Roman" w:hAnsi="Times New Roman"/>
          <w:sz w:val="48"/>
          <w:szCs w:val="48"/>
        </w:rPr>
      </w:r>
    </w:p>
    <w:p>
      <w:pPr>
        <w:pStyle w:val="Normal"/>
        <w:rPr>
          <w:rFonts w:ascii="Times New Roman" w:hAnsi="Times New Roman" w:cs="Times New Roman"/>
          <w:sz w:val="48"/>
          <w:szCs w:val="48"/>
        </w:rPr>
      </w:pPr>
      <w:r>
        <w:rPr>
          <w:rFonts w:cs="Times New Roman" w:ascii="Times New Roman" w:hAnsi="Times New Roman"/>
          <w:sz w:val="48"/>
          <w:szCs w:val="48"/>
        </w:rPr>
      </w:r>
    </w:p>
    <w:p>
      <w:pPr>
        <w:pStyle w:val="Normal"/>
        <w:rPr>
          <w:rFonts w:ascii="Times New Roman" w:hAnsi="Times New Roman" w:cs="Times New Roman"/>
          <w:sz w:val="48"/>
          <w:szCs w:val="48"/>
        </w:rPr>
      </w:pPr>
      <w:r>
        <w:rPr>
          <w:rFonts w:cs="Times New Roman" w:ascii="Times New Roman" w:hAnsi="Times New Roman"/>
          <w:sz w:val="48"/>
          <w:szCs w:val="48"/>
        </w:rPr>
      </w:r>
    </w:p>
    <w:p>
      <w:pPr>
        <w:pStyle w:val="Normal"/>
        <w:rPr>
          <w:rFonts w:ascii="Times New Roman" w:hAnsi="Times New Roman" w:cs="Times New Roman"/>
          <w:sz w:val="48"/>
          <w:szCs w:val="48"/>
        </w:rPr>
      </w:pPr>
      <w:r>
        <w:rPr>
          <w:rFonts w:cs="Times New Roman" w:ascii="Times New Roman" w:hAnsi="Times New Roman"/>
          <w:sz w:val="48"/>
          <w:szCs w:val="48"/>
        </w:rPr>
      </w:r>
    </w:p>
    <w:p>
      <w:pPr>
        <w:pStyle w:val="Normal"/>
        <w:rPr>
          <w:rFonts w:ascii="Times New Roman" w:hAnsi="Times New Roman" w:cs="Times New Roman"/>
          <w:sz w:val="48"/>
          <w:szCs w:val="48"/>
        </w:rPr>
      </w:pPr>
      <w:r>
        <w:rPr>
          <w:rFonts w:cs="Times New Roman" w:ascii="Times New Roman" w:hAnsi="Times New Roman"/>
          <w:sz w:val="48"/>
          <w:szCs w:val="48"/>
        </w:rPr>
      </w:r>
    </w:p>
    <w:p>
      <w:pPr>
        <w:pStyle w:val="Normal"/>
        <w:rPr>
          <w:rFonts w:ascii="Times New Roman" w:hAnsi="Times New Roman" w:cs="Times New Roman"/>
          <w:sz w:val="48"/>
          <w:szCs w:val="48"/>
        </w:rPr>
      </w:pPr>
      <w:r>
        <w:rPr>
          <w:rFonts w:cs="Times New Roman" w:ascii="Times New Roman" w:hAnsi="Times New Roman"/>
          <w:sz w:val="48"/>
          <w:szCs w:val="48"/>
        </w:rPr>
      </w:r>
    </w:p>
    <w:p>
      <w:pPr>
        <w:pStyle w:val="Normal"/>
        <w:rPr>
          <w:rFonts w:ascii="Times New Roman" w:hAnsi="Times New Roman" w:cs="Times New Roman"/>
          <w:sz w:val="48"/>
          <w:szCs w:val="48"/>
        </w:rPr>
      </w:pPr>
      <w:r>
        <w:rPr>
          <w:rFonts w:cs="Times New Roman" w:ascii="Times New Roman" w:hAnsi="Times New Roman"/>
          <w:sz w:val="48"/>
          <w:szCs w:val="48"/>
        </w:rPr>
      </w:r>
    </w:p>
    <w:p>
      <w:pPr>
        <w:pStyle w:val="Normal"/>
        <w:rPr>
          <w:rFonts w:ascii="Times New Roman" w:hAnsi="Times New Roman" w:cs="Times New Roman"/>
          <w:sz w:val="48"/>
          <w:szCs w:val="48"/>
        </w:rPr>
      </w:pPr>
      <w:r>
        <w:rPr>
          <w:rFonts w:cs="Times New Roman" w:ascii="Times New Roman" w:hAnsi="Times New Roman"/>
          <w:sz w:val="48"/>
          <w:szCs w:val="48"/>
        </w:rPr>
      </w:r>
    </w:p>
    <w:p>
      <w:pPr>
        <w:pStyle w:val="Normal"/>
        <w:jc w:val="center"/>
        <w:rPr>
          <w:rFonts w:ascii="Times New Roman" w:hAnsi="Times New Roman" w:cs="Times New Roman"/>
          <w:sz w:val="28"/>
          <w:szCs w:val="28"/>
        </w:rPr>
      </w:pPr>
      <w:r>
        <w:rPr>
          <w:rFonts w:cs="Times New Roman" w:ascii="Times New Roman" w:hAnsi="Times New Roman"/>
          <w:sz w:val="28"/>
          <w:szCs w:val="28"/>
        </w:rPr>
        <w:t>КИЇВ – 2015</w:t>
      </w:r>
    </w:p>
    <w:sdt>
      <w:sdtPr>
        <w:docPartObj>
          <w:docPartGallery w:val="Table of Contents"/>
          <w:docPartUnique w:val="true"/>
        </w:docPartObj>
        <w:id w:val="1651886065"/>
      </w:sdtPr>
      <w:sdtContent>
        <w:p>
          <w:pPr>
            <w:pStyle w:val="Style24"/>
            <w:jc w:val="center"/>
            <w:rPr>
              <w:rFonts w:ascii="Times New Roman" w:hAnsi="Times New Roman" w:asciiTheme="majorBidi" w:hAnsiTheme="majorBidi"/>
              <w:b w:val="false"/>
              <w:b w:val="false"/>
              <w:color w:val="00000A"/>
            </w:rPr>
          </w:pPr>
          <w:r>
            <w:rPr>
              <w:rFonts w:ascii="Times New Roman" w:hAnsi="Times New Roman" w:asciiTheme="majorBidi" w:hAnsiTheme="majorBidi"/>
              <w:b w:val="false"/>
              <w:color w:val="00000A"/>
            </w:rPr>
            <w:t>ЗМІСТ</w:t>
          </w:r>
        </w:p>
        <w:p>
          <w:pPr>
            <w:pStyle w:val="Normal"/>
            <w:rPr/>
          </w:pPr>
          <w:r>
            <w:rPr>
              <w:rFonts w:eastAsia="Times New Roman" w:cs="Times New Roman" w:ascii="Times New Roman" w:hAnsi="Times New Roman"/>
              <w:color w:val="000000"/>
              <w:sz w:val="28"/>
              <w:szCs w:val="28"/>
              <w:lang w:eastAsia="uk-UA"/>
            </w:rPr>
            <w:t>Перелік умовних позначень, скорочень і термінів……………………………………...4</w:t>
          </w:r>
        </w:p>
        <w:p>
          <w:pPr>
            <w:pStyle w:val="16"/>
            <w:rPr>
              <w:rFonts w:ascii="Times New Roman" w:hAnsi="Times New Roman" w:eastAsia="ＭＳ 明朝" w:cs="Times New Roman" w:asciiTheme="majorBidi" w:cstheme="majorBidi" w:eastAsiaTheme="minorEastAsia" w:hAnsiTheme="majorBidi"/>
              <w:lang w:eastAsia="uk-UA" w:bidi="he-IL"/>
            </w:rPr>
          </w:pPr>
          <w:r>
            <w:fldChar w:fldCharType="begin"/>
          </w:r>
          <w:r>
            <w:instrText> TOC \z \o "1-3" \u \h</w:instrText>
          </w:r>
          <w:r>
            <w:fldChar w:fldCharType="separate"/>
          </w:r>
          <w:hyperlink w:anchor="_Toc431397854">
            <w:r>
              <w:rPr>
                <w:webHidden/>
                <w:rStyle w:val="Style16"/>
                <w:rFonts w:cs="Times New Roman" w:cstheme="majorBidi"/>
              </w:rPr>
              <w:t>ПАСПОРТ</w:t>
            </w:r>
            <w:r>
              <w:rPr>
                <w:webHidden/>
              </w:rPr>
              <w:fldChar w:fldCharType="begin"/>
            </w:r>
            <w:r>
              <w:rPr>
                <w:webHidden/>
              </w:rPr>
              <w:instrText>PAGEREF _Toc431397854 \h</w:instrText>
            </w:r>
            <w:r>
              <w:rPr>
                <w:webHidden/>
              </w:rPr>
              <w:fldChar w:fldCharType="separate"/>
            </w:r>
            <w:r>
              <w:rPr>
                <w:rStyle w:val="Style16"/>
                <w:rFonts w:cs="Times New Roman" w:cstheme="majorBidi"/>
                <w:vanish w:val="false"/>
              </w:rPr>
              <w:tab/>
              <w:t>5</w:t>
            </w:r>
            <w:r>
              <w:rPr>
                <w:webHidden/>
              </w:rPr>
              <w:fldChar w:fldCharType="end"/>
            </w:r>
          </w:hyperlink>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55">
            <w:r>
              <w:rPr>
                <w:webHidden/>
                <w:rStyle w:val="Style16"/>
                <w:rFonts w:cs="Times New Roman" w:cstheme="majorBidi"/>
              </w:rPr>
              <w:t>Визначення проблеми, на розв’язання якої спрямовано Програму</w:t>
            </w:r>
            <w:r>
              <w:rPr>
                <w:webHidden/>
              </w:rPr>
              <w:fldChar w:fldCharType="begin"/>
            </w:r>
            <w:r>
              <w:rPr>
                <w:webHidden/>
              </w:rPr>
              <w:instrText>PAGEREF _Toc431397855 \h</w:instrText>
            </w:r>
            <w:r>
              <w:rPr>
                <w:webHidden/>
              </w:rPr>
              <w:fldChar w:fldCharType="separate"/>
            </w:r>
            <w:r>
              <w:rPr>
                <w:rStyle w:val="Style16"/>
                <w:rFonts w:cs="Times New Roman" w:cstheme="majorBidi"/>
                <w:vanish w:val="false"/>
              </w:rPr>
              <w:tab/>
              <w:t>7</w:t>
            </w:r>
            <w:r>
              <w:rPr>
                <w:webHidden/>
              </w:rPr>
              <w:fldChar w:fldCharType="end"/>
            </w:r>
          </w:hyperlink>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57">
            <w:r>
              <w:rPr>
                <w:webHidden/>
                <w:rStyle w:val="Style16"/>
                <w:rFonts w:cs="Times New Roman" w:cstheme="majorBidi"/>
              </w:rPr>
              <w:t>Обґрунтування шляхів і засобів розв’язання проблеми</w:t>
            </w:r>
          </w:hyperlink>
          <w:r>
            <w:rPr>
              <w:rFonts w:cs="Times New Roman" w:cstheme="majorBidi"/>
            </w:rPr>
            <w:t xml:space="preserve"> та строків виконання             </w:t>
          </w:r>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58">
            <w:r>
              <w:rPr>
                <w:webHidden/>
                <w:rStyle w:val="Style16"/>
                <w:rFonts w:cs="Times New Roman" w:cstheme="majorBidi"/>
              </w:rPr>
              <w:t xml:space="preserve"> </w:t>
            </w:r>
            <w:r>
              <w:rPr>
                <w:rStyle w:val="Style16"/>
                <w:rFonts w:cs="Times New Roman" w:cstheme="majorBidi"/>
              </w:rPr>
              <w:t>Програми</w:t>
            </w:r>
            <w:r>
              <w:rPr>
                <w:webHidden/>
              </w:rPr>
              <w:fldChar w:fldCharType="begin"/>
            </w:r>
            <w:r>
              <w:rPr>
                <w:webHidden/>
              </w:rPr>
              <w:instrText>PAGEREF _Toc431397858 \h</w:instrText>
            </w:r>
            <w:r>
              <w:rPr>
                <w:webHidden/>
              </w:rPr>
              <w:fldChar w:fldCharType="separate"/>
            </w:r>
            <w:r>
              <w:rPr>
                <w:rStyle w:val="Style16"/>
                <w:rFonts w:cs="Times New Roman" w:cstheme="majorBidi"/>
                <w:vanish w:val="false"/>
              </w:rPr>
              <w:tab/>
              <w:t>8</w:t>
            </w:r>
            <w:r>
              <w:rPr>
                <w:webHidden/>
              </w:rPr>
              <w:fldChar w:fldCharType="end"/>
            </w:r>
          </w:hyperlink>
        </w:p>
        <w:p>
          <w:pPr>
            <w:pStyle w:val="16"/>
            <w:rPr>
              <w:rFonts w:ascii="Times New Roman" w:hAnsi="Times New Roman" w:cs="Times New Roman" w:asciiTheme="majorBidi" w:cstheme="majorBidi" w:hAnsiTheme="majorBidi"/>
            </w:rPr>
          </w:pPr>
          <w:hyperlink w:anchor="_Toc431397859">
            <w:r>
              <w:rPr>
                <w:webHidden/>
                <w:rStyle w:val="Style16"/>
                <w:rFonts w:cs="Times New Roman" w:cstheme="majorBidi"/>
              </w:rPr>
              <w:t>Визначення мети Програми</w:t>
            </w:r>
            <w:r>
              <w:rPr>
                <w:rStyle w:val="Style16"/>
                <w:rFonts w:cs="Times New Roman" w:cstheme="majorBidi"/>
                <w:vanish w:val="false"/>
              </w:rPr>
              <w:tab/>
              <w:t>……..</w:t>
            </w:r>
            <w:r>
              <w:rPr>
                <w:webHidden/>
              </w:rPr>
              <w:fldChar w:fldCharType="begin"/>
            </w:r>
            <w:r>
              <w:rPr>
                <w:webHidden/>
              </w:rPr>
              <w:instrText>PAGEREF _Toc431397859 \h</w:instrText>
            </w:r>
            <w:r>
              <w:rPr>
                <w:webHidden/>
              </w:rPr>
              <w:fldChar w:fldCharType="separate"/>
            </w:r>
            <w:r>
              <w:rPr>
                <w:rStyle w:val="Style16"/>
                <w:rFonts w:cs="Times New Roman" w:cstheme="majorBidi"/>
                <w:bCs/>
                <w:vanish w:val="false"/>
                <w:lang w:val="ru-RU"/>
              </w:rPr>
              <w:t>9</w:t>
            </w:r>
            <w:r>
              <w:rPr>
                <w:webHidden/>
              </w:rPr>
              <w:fldChar w:fldCharType="end"/>
            </w:r>
          </w:hyperlink>
        </w:p>
        <w:p>
          <w:pPr>
            <w:pStyle w:val="Normal"/>
            <w:rPr/>
          </w:pPr>
          <w:r>
            <w:rPr>
              <w:rFonts w:eastAsia="Times New Roman" w:cs="Times New Roman" w:ascii="Times New Roman" w:hAnsi="Times New Roman"/>
              <w:bCs/>
              <w:sz w:val="28"/>
              <w:szCs w:val="28"/>
            </w:rPr>
            <w:t>Напрями діяльності, перелік завдань і заходів Програми та результативні показники ……………………………………………………………………………………………...9</w:t>
          </w:r>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60">
            <w:r>
              <w:rPr>
                <w:webHidden/>
                <w:rStyle w:val="Style16"/>
                <w:rFonts w:cs="Times New Roman" w:cstheme="majorBidi"/>
              </w:rPr>
              <w:t>Координація Програми та контроль за її виконанням</w:t>
            </w:r>
            <w:r>
              <w:rPr>
                <w:rStyle w:val="Style16"/>
                <w:rFonts w:cs="Times New Roman" w:cstheme="majorBidi"/>
                <w:vanish w:val="false"/>
              </w:rPr>
              <w:tab/>
            </w:r>
          </w:hyperlink>
          <w:r>
            <w:rPr>
              <w:rFonts w:cs="Times New Roman" w:cstheme="majorBidi"/>
            </w:rPr>
            <w:t>10</w:t>
          </w:r>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61">
            <w:r>
              <w:rPr>
                <w:webHidden/>
                <w:rStyle w:val="Style16"/>
                <w:rFonts w:cs="Times New Roman" w:cstheme="majorBidi"/>
              </w:rPr>
              <w:t>Ресурсне забезпечення виконання Програми: обсяги та джерела фінансування</w:t>
            </w:r>
            <w:r>
              <w:rPr>
                <w:rStyle w:val="Style16"/>
                <w:rFonts w:cs="Times New Roman" w:cstheme="majorBidi"/>
                <w:vanish w:val="false"/>
              </w:rPr>
              <w:tab/>
              <w:t>1</w:t>
            </w:r>
          </w:hyperlink>
          <w:r>
            <w:rPr>
              <w:rFonts w:cs="Times New Roman" w:cstheme="majorBidi"/>
            </w:rPr>
            <w:t>1</w:t>
          </w:r>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62">
            <w:r>
              <w:rPr>
                <w:webHidden/>
                <w:rStyle w:val="Style16"/>
                <w:rFonts w:cs="Times New Roman" w:cstheme="majorBidi"/>
              </w:rPr>
              <w:t>Підпрограма «Дошкільна освіта»</w:t>
            </w:r>
            <w:r>
              <w:rPr>
                <w:webHidden/>
              </w:rPr>
              <w:fldChar w:fldCharType="begin"/>
            </w:r>
            <w:r>
              <w:rPr>
                <w:webHidden/>
              </w:rPr>
              <w:instrText>PAGEREF _Toc431397862 \h</w:instrText>
            </w:r>
            <w:r>
              <w:rPr>
                <w:webHidden/>
              </w:rPr>
              <w:fldChar w:fldCharType="separate"/>
            </w:r>
            <w:r>
              <w:rPr>
                <w:rStyle w:val="Style16"/>
                <w:rFonts w:cs="Times New Roman" w:cstheme="majorBidi"/>
                <w:vanish w:val="false"/>
              </w:rPr>
              <w:tab/>
              <w:t>12</w:t>
            </w:r>
            <w:r>
              <w:rPr>
                <w:webHidden/>
              </w:rPr>
              <w:fldChar w:fldCharType="end"/>
            </w:r>
          </w:hyperlink>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63">
            <w:r>
              <w:rPr>
                <w:webHidden/>
                <w:rStyle w:val="Style16"/>
                <w:rFonts w:cs="Times New Roman" w:ascii="Times New Roman" w:hAnsi="Times New Roman" w:asciiTheme="majorBidi" w:cstheme="majorBidi" w:hAnsiTheme="majorBidi"/>
                <w:sz w:val="28"/>
                <w:szCs w:val="28"/>
              </w:rPr>
              <w:t>Напрями діяльності, завдання та заходи підпрограми «Дошкільна освіта»</w:t>
            </w:r>
            <w:r>
              <w:rPr>
                <w:webHidden/>
              </w:rPr>
              <w:fldChar w:fldCharType="begin"/>
            </w:r>
            <w:r>
              <w:rPr>
                <w:webHidden/>
              </w:rPr>
              <w:instrText>PAGEREF _Toc431397863 \h</w:instrText>
            </w:r>
            <w:r>
              <w:rPr>
                <w:webHidden/>
              </w:rPr>
              <w:fldChar w:fldCharType="separate"/>
            </w:r>
            <w:r>
              <w:rPr>
                <w:rStyle w:val="Style16"/>
                <w:rFonts w:cs="Times New Roman" w:ascii="Times New Roman" w:hAnsi="Times New Roman" w:asciiTheme="majorBidi" w:cstheme="majorBidi" w:hAnsiTheme="majorBidi"/>
                <w:vanish w:val="false"/>
                <w:sz w:val="28"/>
                <w:szCs w:val="28"/>
              </w:rPr>
              <w:tab/>
              <w:t>18</w:t>
            </w:r>
            <w:r>
              <w:rPr>
                <w:webHidden/>
              </w:rPr>
              <w:fldChar w:fldCharType="end"/>
            </w:r>
          </w:hyperlink>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64">
            <w:r>
              <w:rPr>
                <w:webHidden/>
                <w:rStyle w:val="Style16"/>
                <w:rFonts w:cs="Times New Roman" w:ascii="Times New Roman" w:hAnsi="Times New Roman" w:asciiTheme="majorBidi" w:cstheme="majorBidi" w:hAnsiTheme="majorBidi"/>
                <w:sz w:val="28"/>
                <w:szCs w:val="28"/>
              </w:rPr>
              <w:t>Очікувані показники виконання підпрограми «Дошкільна освіта»</w:t>
            </w:r>
            <w:r>
              <w:rPr>
                <w:webHidden/>
              </w:rPr>
              <w:fldChar w:fldCharType="begin"/>
            </w:r>
            <w:r>
              <w:rPr>
                <w:webHidden/>
              </w:rPr>
              <w:instrText>PAGEREF _Toc431397864 \h</w:instrText>
            </w:r>
            <w:r>
              <w:rPr>
                <w:webHidden/>
              </w:rPr>
              <w:fldChar w:fldCharType="separate"/>
            </w:r>
            <w:r>
              <w:rPr>
                <w:rStyle w:val="Style16"/>
                <w:rFonts w:cs="Times New Roman" w:ascii="Times New Roman" w:hAnsi="Times New Roman" w:asciiTheme="majorBidi" w:cstheme="majorBidi" w:hAnsiTheme="majorBidi"/>
                <w:vanish w:val="false"/>
                <w:sz w:val="28"/>
                <w:szCs w:val="28"/>
              </w:rPr>
              <w:tab/>
              <w:t>22</w:t>
            </w:r>
            <w:r>
              <w:rPr>
                <w:webHidden/>
              </w:rPr>
              <w:fldChar w:fldCharType="end"/>
            </w:r>
          </w:hyperlink>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65">
            <w:r>
              <w:rPr>
                <w:webHidden/>
                <w:rStyle w:val="Style16"/>
                <w:rFonts w:cs="Times New Roman" w:cstheme="majorBidi"/>
              </w:rPr>
              <w:t>Підпрограма «Загальна середня освіта»</w:t>
            </w:r>
            <w:r>
              <w:rPr>
                <w:webHidden/>
              </w:rPr>
              <w:fldChar w:fldCharType="begin"/>
            </w:r>
            <w:r>
              <w:rPr>
                <w:webHidden/>
              </w:rPr>
              <w:instrText>PAGEREF _Toc431397865 \h</w:instrText>
            </w:r>
            <w:r>
              <w:rPr>
                <w:webHidden/>
              </w:rPr>
              <w:fldChar w:fldCharType="separate"/>
            </w:r>
            <w:r>
              <w:rPr>
                <w:rStyle w:val="Style16"/>
                <w:rFonts w:cs="Times New Roman" w:cstheme="majorBidi"/>
                <w:vanish w:val="false"/>
              </w:rPr>
              <w:tab/>
              <w:t>24</w:t>
            </w:r>
            <w:r>
              <w:rPr>
                <w:webHidden/>
              </w:rPr>
              <w:fldChar w:fldCharType="end"/>
            </w:r>
          </w:hyperlink>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66">
            <w:r>
              <w:rPr>
                <w:webHidden/>
                <w:rStyle w:val="Style16"/>
                <w:rFonts w:cs="Times New Roman" w:ascii="Times New Roman" w:hAnsi="Times New Roman" w:asciiTheme="majorBidi" w:cstheme="majorBidi" w:hAnsiTheme="majorBidi"/>
                <w:sz w:val="28"/>
                <w:szCs w:val="28"/>
              </w:rPr>
              <w:t>Напрями діяльності, завдання та заходи підпрограми «Загальна середня освіта»</w:t>
            </w:r>
            <w:r>
              <w:rPr>
                <w:webHidden/>
              </w:rPr>
              <w:fldChar w:fldCharType="begin"/>
            </w:r>
            <w:r>
              <w:rPr>
                <w:webHidden/>
              </w:rPr>
              <w:instrText>PAGEREF _Toc431397866 \h</w:instrText>
            </w:r>
            <w:r>
              <w:rPr>
                <w:webHidden/>
              </w:rPr>
              <w:fldChar w:fldCharType="separate"/>
            </w:r>
            <w:r>
              <w:rPr>
                <w:rStyle w:val="Style16"/>
                <w:rFonts w:cs="Times New Roman" w:ascii="Times New Roman" w:hAnsi="Times New Roman" w:asciiTheme="majorBidi" w:cstheme="majorBidi" w:hAnsiTheme="majorBidi"/>
                <w:vanish w:val="false"/>
                <w:sz w:val="28"/>
                <w:szCs w:val="28"/>
              </w:rPr>
              <w:tab/>
              <w:t>27</w:t>
            </w:r>
            <w:r>
              <w:rPr>
                <w:webHidden/>
              </w:rPr>
              <w:fldChar w:fldCharType="end"/>
            </w:r>
          </w:hyperlink>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67">
            <w:r>
              <w:rPr>
                <w:webHidden/>
                <w:rStyle w:val="Style16"/>
                <w:rFonts w:cs="Times New Roman" w:ascii="Times New Roman" w:hAnsi="Times New Roman" w:asciiTheme="majorBidi" w:cstheme="majorBidi" w:hAnsiTheme="majorBidi"/>
                <w:sz w:val="28"/>
                <w:szCs w:val="28"/>
              </w:rPr>
              <w:t>Очікувані показники виконання підпрограми «Загальна середня освіта»</w:t>
            </w:r>
            <w:r>
              <w:rPr>
                <w:webHidden/>
              </w:rPr>
              <w:fldChar w:fldCharType="begin"/>
            </w:r>
            <w:r>
              <w:rPr>
                <w:webHidden/>
              </w:rPr>
              <w:instrText>PAGEREF _Toc431397867 \h</w:instrText>
            </w:r>
            <w:r>
              <w:rPr>
                <w:webHidden/>
              </w:rPr>
              <w:fldChar w:fldCharType="separate"/>
            </w:r>
            <w:r>
              <w:rPr>
                <w:rStyle w:val="Style16"/>
                <w:rFonts w:cs="Times New Roman" w:ascii="Times New Roman" w:hAnsi="Times New Roman" w:asciiTheme="majorBidi" w:cstheme="majorBidi" w:hAnsiTheme="majorBidi"/>
                <w:vanish w:val="false"/>
                <w:sz w:val="28"/>
                <w:szCs w:val="28"/>
              </w:rPr>
              <w:tab/>
              <w:t>31</w:t>
            </w:r>
            <w:r>
              <w:rPr>
                <w:webHidden/>
              </w:rPr>
              <w:fldChar w:fldCharType="end"/>
            </w:r>
          </w:hyperlink>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68">
            <w:r>
              <w:rPr>
                <w:webHidden/>
                <w:rStyle w:val="Style16"/>
                <w:rFonts w:cs="Times New Roman" w:cstheme="majorBidi"/>
              </w:rPr>
              <w:t>Підпрограма «</w:t>
            </w:r>
            <w:r>
              <w:rPr>
                <w:rStyle w:val="Style16"/>
                <w:rFonts w:eastAsia="Times New Roman" w:cs="Times New Roman" w:cstheme="majorBidi"/>
                <w:lang w:eastAsia="ru-RU"/>
              </w:rPr>
              <w:t>Особлива школа»</w:t>
            </w:r>
            <w:r>
              <w:rPr>
                <w:webHidden/>
              </w:rPr>
              <w:fldChar w:fldCharType="begin"/>
            </w:r>
            <w:r>
              <w:rPr>
                <w:webHidden/>
              </w:rPr>
              <w:instrText>PAGEREF _Toc431397868 \h</w:instrText>
            </w:r>
            <w:r>
              <w:rPr>
                <w:webHidden/>
              </w:rPr>
              <w:fldChar w:fldCharType="separate"/>
            </w:r>
            <w:r>
              <w:rPr>
                <w:rStyle w:val="Style16"/>
                <w:rFonts w:cs="Times New Roman" w:cstheme="majorBidi"/>
                <w:vanish w:val="false"/>
              </w:rPr>
              <w:tab/>
              <w:t>32</w:t>
            </w:r>
            <w:r>
              <w:rPr>
                <w:webHidden/>
              </w:rPr>
              <w:fldChar w:fldCharType="end"/>
            </w:r>
          </w:hyperlink>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69">
            <w:r>
              <w:rPr>
                <w:webHidden/>
                <w:rStyle w:val="Style16"/>
                <w:rFonts w:cs="Times New Roman" w:ascii="Times New Roman" w:hAnsi="Times New Roman" w:asciiTheme="majorBidi" w:cstheme="majorBidi" w:hAnsiTheme="majorBidi"/>
                <w:sz w:val="28"/>
                <w:szCs w:val="28"/>
              </w:rPr>
              <w:t>Напрями діяльності, завдання та заходи підпрограми «Особлива школа»</w:t>
            </w:r>
            <w:r>
              <w:rPr>
                <w:webHidden/>
              </w:rPr>
              <w:fldChar w:fldCharType="begin"/>
            </w:r>
            <w:r>
              <w:rPr>
                <w:webHidden/>
              </w:rPr>
              <w:instrText>PAGEREF _Toc431397869 \h</w:instrText>
            </w:r>
            <w:r>
              <w:rPr>
                <w:webHidden/>
              </w:rPr>
              <w:fldChar w:fldCharType="separate"/>
            </w:r>
            <w:r>
              <w:rPr>
                <w:rStyle w:val="Style16"/>
                <w:rFonts w:cs="Times New Roman" w:ascii="Times New Roman" w:hAnsi="Times New Roman" w:asciiTheme="majorBidi" w:cstheme="majorBidi" w:hAnsiTheme="majorBidi"/>
                <w:vanish w:val="false"/>
                <w:sz w:val="28"/>
                <w:szCs w:val="28"/>
              </w:rPr>
              <w:tab/>
              <w:t>35</w:t>
            </w:r>
            <w:r>
              <w:rPr>
                <w:webHidden/>
              </w:rPr>
              <w:fldChar w:fldCharType="end"/>
            </w:r>
          </w:hyperlink>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70">
            <w:r>
              <w:rPr>
                <w:webHidden/>
                <w:rStyle w:val="Style16"/>
                <w:rFonts w:cs="Times New Roman" w:ascii="Times New Roman" w:hAnsi="Times New Roman" w:asciiTheme="majorBidi" w:cstheme="majorBidi" w:hAnsiTheme="majorBidi"/>
                <w:sz w:val="28"/>
                <w:szCs w:val="28"/>
              </w:rPr>
              <w:t>Очікувані показники виконання підпрограми «Особлива школа»</w:t>
            </w:r>
            <w:r>
              <w:rPr>
                <w:rStyle w:val="Style16"/>
                <w:rFonts w:cs="Times New Roman" w:ascii="Times New Roman" w:hAnsi="Times New Roman" w:asciiTheme="majorBidi" w:cstheme="majorBidi" w:hAnsiTheme="majorBidi"/>
                <w:vanish w:val="false"/>
                <w:sz w:val="28"/>
                <w:szCs w:val="28"/>
              </w:rPr>
              <w:tab/>
              <w:t>3</w:t>
            </w:r>
          </w:hyperlink>
          <w:r>
            <w:rPr>
              <w:rFonts w:cs="Times New Roman" w:ascii="Times New Roman" w:hAnsi="Times New Roman" w:asciiTheme="majorBidi" w:cstheme="majorBidi" w:hAnsiTheme="majorBidi"/>
              <w:sz w:val="28"/>
              <w:szCs w:val="28"/>
            </w:rPr>
            <w:t>7</w:t>
          </w:r>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71">
            <w:r>
              <w:rPr>
                <w:webHidden/>
                <w:rStyle w:val="Style16"/>
                <w:rFonts w:cs="Times New Roman" w:cstheme="majorBidi"/>
              </w:rPr>
              <w:t>Підпрограма «</w:t>
            </w:r>
            <w:r>
              <w:rPr>
                <w:rStyle w:val="Style16"/>
                <w:rFonts w:eastAsia="Times New Roman" w:cs="Times New Roman" w:cstheme="majorBidi"/>
                <w:lang w:eastAsia="ru-RU"/>
              </w:rPr>
              <w:t>Виховання та позашкільна освіта»</w:t>
            </w:r>
            <w:r>
              <w:rPr>
                <w:rStyle w:val="Style16"/>
                <w:rFonts w:cs="Times New Roman" w:cstheme="majorBidi"/>
                <w:vanish w:val="false"/>
              </w:rPr>
              <w:tab/>
            </w:r>
          </w:hyperlink>
          <w:r>
            <w:rPr>
              <w:rFonts w:cs="Times New Roman" w:cstheme="majorBidi"/>
            </w:rPr>
            <w:t>38</w:t>
          </w:r>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72">
            <w:r>
              <w:rPr>
                <w:webHidden/>
                <w:rStyle w:val="Style16"/>
                <w:rFonts w:cs="Times New Roman" w:ascii="Times New Roman" w:hAnsi="Times New Roman" w:asciiTheme="majorBidi" w:cstheme="majorBidi" w:hAnsiTheme="majorBidi"/>
                <w:sz w:val="28"/>
                <w:szCs w:val="28"/>
              </w:rPr>
              <w:t>Напрями діяльності, завдання та заходи підпрограми «</w:t>
            </w:r>
            <w:r>
              <w:rPr>
                <w:rStyle w:val="Style16"/>
                <w:rFonts w:eastAsia="Times New Roman" w:cs="Times New Roman" w:ascii="Times New Roman" w:hAnsi="Times New Roman" w:asciiTheme="majorBidi" w:cstheme="majorBidi" w:hAnsiTheme="majorBidi"/>
                <w:sz w:val="28"/>
                <w:szCs w:val="28"/>
                <w:lang w:eastAsia="ru-RU"/>
              </w:rPr>
              <w:t>Виховання та позашкільна освіта»</w:t>
            </w:r>
            <w:r>
              <w:rPr>
                <w:rStyle w:val="Style16"/>
                <w:rFonts w:cs="Times New Roman" w:ascii="Times New Roman" w:hAnsi="Times New Roman" w:asciiTheme="majorBidi" w:cstheme="majorBidi" w:hAnsiTheme="majorBidi"/>
                <w:vanish w:val="false"/>
                <w:sz w:val="28"/>
                <w:szCs w:val="28"/>
              </w:rPr>
              <w:tab/>
            </w:r>
          </w:hyperlink>
          <w:r>
            <w:rPr>
              <w:rFonts w:cs="Times New Roman" w:ascii="Times New Roman" w:hAnsi="Times New Roman" w:asciiTheme="majorBidi" w:cstheme="majorBidi" w:hAnsiTheme="majorBidi"/>
              <w:sz w:val="28"/>
              <w:szCs w:val="28"/>
            </w:rPr>
            <w:t>39</w:t>
          </w:r>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73">
            <w:r>
              <w:rPr>
                <w:webHidden/>
                <w:rStyle w:val="Style16"/>
                <w:rFonts w:cs="Times New Roman" w:ascii="Times New Roman" w:hAnsi="Times New Roman" w:asciiTheme="majorBidi" w:cstheme="majorBidi" w:hAnsiTheme="majorBidi"/>
                <w:sz w:val="28"/>
                <w:szCs w:val="28"/>
              </w:rPr>
              <w:t>Очікувані показники виконання підпрограми «Виховання та позашкільна освіта»</w:t>
            </w:r>
            <w:r>
              <w:rPr>
                <w:rStyle w:val="Style16"/>
                <w:rFonts w:cs="Times New Roman" w:ascii="Times New Roman" w:hAnsi="Times New Roman" w:asciiTheme="majorBidi" w:cstheme="majorBidi" w:hAnsiTheme="majorBidi"/>
                <w:vanish w:val="false"/>
                <w:sz w:val="28"/>
                <w:szCs w:val="28"/>
              </w:rPr>
              <w:tab/>
              <w:t>4</w:t>
            </w:r>
          </w:hyperlink>
          <w:r>
            <w:rPr>
              <w:rFonts w:cs="Times New Roman" w:ascii="Times New Roman" w:hAnsi="Times New Roman" w:asciiTheme="majorBidi" w:cstheme="majorBidi" w:hAnsiTheme="majorBidi"/>
              <w:sz w:val="28"/>
              <w:szCs w:val="28"/>
            </w:rPr>
            <w:t>7</w:t>
          </w:r>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74">
            <w:r>
              <w:rPr>
                <w:webHidden/>
                <w:rStyle w:val="Style16"/>
                <w:rFonts w:cs="Times New Roman" w:cstheme="majorBidi"/>
              </w:rPr>
              <w:t>Підпрограма «Професійно-технічна освіта»</w:t>
            </w:r>
            <w:r>
              <w:rPr>
                <w:rStyle w:val="Style16"/>
                <w:rFonts w:cs="Times New Roman" w:cstheme="majorBidi"/>
                <w:vanish w:val="false"/>
              </w:rPr>
              <w:tab/>
            </w:r>
          </w:hyperlink>
          <w:r>
            <w:rPr>
              <w:rFonts w:cs="Times New Roman" w:cstheme="majorBidi"/>
            </w:rPr>
            <w:t>48</w:t>
          </w:r>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75">
            <w:r>
              <w:rPr>
                <w:webHidden/>
                <w:rStyle w:val="Style16"/>
                <w:rFonts w:cs="Times New Roman" w:ascii="Times New Roman" w:hAnsi="Times New Roman" w:asciiTheme="majorBidi" w:cstheme="majorBidi" w:hAnsiTheme="majorBidi"/>
                <w:sz w:val="28"/>
                <w:szCs w:val="28"/>
              </w:rPr>
              <w:t>Напрями діяльності, завдання та заходи підпрограми «Професійно-технічна освіта»</w:t>
            </w:r>
            <w:r>
              <w:rPr>
                <w:rStyle w:val="Style16"/>
                <w:rFonts w:cs="Times New Roman" w:ascii="Times New Roman" w:hAnsi="Times New Roman" w:asciiTheme="majorBidi" w:cstheme="majorBidi" w:hAnsiTheme="majorBidi"/>
                <w:vanish w:val="false"/>
                <w:sz w:val="28"/>
                <w:szCs w:val="28"/>
              </w:rPr>
              <w:tab/>
            </w:r>
          </w:hyperlink>
          <w:r>
            <w:rPr>
              <w:rFonts w:cs="Times New Roman" w:ascii="Times New Roman" w:hAnsi="Times New Roman" w:asciiTheme="majorBidi" w:cstheme="majorBidi" w:hAnsiTheme="majorBidi"/>
              <w:sz w:val="28"/>
              <w:szCs w:val="28"/>
            </w:rPr>
            <w:t>57</w:t>
          </w:r>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76">
            <w:r>
              <w:rPr>
                <w:webHidden/>
                <w:rStyle w:val="Style16"/>
                <w:rFonts w:cs="Times New Roman" w:ascii="Times New Roman" w:hAnsi="Times New Roman" w:asciiTheme="majorBidi" w:cstheme="majorBidi" w:hAnsiTheme="majorBidi"/>
                <w:sz w:val="28"/>
                <w:szCs w:val="28"/>
              </w:rPr>
              <w:t>Очікувані показники виконання підпрограми «Професійно-технічна освіта»</w:t>
            </w:r>
            <w:r>
              <w:rPr>
                <w:rStyle w:val="Style16"/>
                <w:rFonts w:cs="Times New Roman" w:ascii="Times New Roman" w:hAnsi="Times New Roman" w:asciiTheme="majorBidi" w:cstheme="majorBidi" w:hAnsiTheme="majorBidi"/>
                <w:vanish w:val="false"/>
                <w:sz w:val="28"/>
                <w:szCs w:val="28"/>
              </w:rPr>
              <w:tab/>
              <w:t>6</w:t>
            </w:r>
          </w:hyperlink>
          <w:r>
            <w:rPr>
              <w:rFonts w:cs="Times New Roman" w:ascii="Times New Roman" w:hAnsi="Times New Roman" w:asciiTheme="majorBidi" w:cstheme="majorBidi" w:hAnsiTheme="majorBidi"/>
              <w:sz w:val="28"/>
              <w:szCs w:val="28"/>
            </w:rPr>
            <w:t>0</w:t>
          </w:r>
        </w:p>
        <w:p>
          <w:pPr>
            <w:pStyle w:val="16"/>
            <w:rPr>
              <w:rFonts w:ascii="Times New Roman" w:hAnsi="Times New Roman" w:cs="Times New Roman" w:asciiTheme="majorBidi" w:cstheme="majorBidi" w:hAnsiTheme="majorBidi"/>
            </w:rPr>
          </w:pPr>
          <w:hyperlink w:anchor="_Toc431397877">
            <w:r>
              <w:rPr>
                <w:webHidden/>
                <w:rStyle w:val="Style16"/>
                <w:rFonts w:cs="Times New Roman" w:cstheme="majorBidi"/>
              </w:rPr>
              <w:t>Підпрограма «Вища освіта і наука»</w:t>
            </w:r>
            <w:r>
              <w:rPr>
                <w:rStyle w:val="Style16"/>
                <w:rFonts w:cs="Times New Roman" w:cstheme="majorBidi"/>
                <w:vanish w:val="false"/>
              </w:rPr>
              <w:tab/>
              <w:t>6</w:t>
            </w:r>
          </w:hyperlink>
          <w:r>
            <w:rPr>
              <w:rFonts w:cs="Times New Roman" w:cstheme="majorBidi"/>
            </w:rPr>
            <w:t>1</w:t>
          </w:r>
        </w:p>
        <w:p>
          <w:pPr>
            <w:pStyle w:val="Normal"/>
            <w:rPr>
              <w:rFonts w:ascii="Times New Roman" w:hAnsi="Times New Roman" w:cs="Times New Roman"/>
              <w:sz w:val="28"/>
              <w:szCs w:val="28"/>
            </w:rPr>
          </w:pPr>
          <w:r>
            <w:rPr>
              <w:rFonts w:cs="Times New Roman" w:ascii="Times New Roman" w:hAnsi="Times New Roman"/>
              <w:sz w:val="28"/>
              <w:szCs w:val="28"/>
            </w:rPr>
            <w:t>Напрями діяльності, завдання та заходи підпрограми "Вища освіта і наука"……….62</w:t>
          </w:r>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78">
            <w:r>
              <w:rPr>
                <w:webHidden/>
                <w:rStyle w:val="Style16"/>
                <w:rFonts w:cs="Times New Roman" w:ascii="Times New Roman" w:hAnsi="Times New Roman" w:asciiTheme="majorBidi" w:cstheme="majorBidi" w:hAnsiTheme="majorBidi"/>
                <w:sz w:val="28"/>
                <w:szCs w:val="28"/>
              </w:rPr>
              <w:t>Очікувані показники виконання підпрограми «Вища освіта і наука»………….……</w:t>
            </w:r>
            <w:r>
              <w:rPr>
                <w:webHidden/>
              </w:rPr>
              <w:fldChar w:fldCharType="begin"/>
            </w:r>
            <w:r>
              <w:rPr>
                <w:webHidden/>
              </w:rPr>
              <w:instrText>PAGEREF _Toc431397878 \h</w:instrText>
            </w:r>
            <w:r>
              <w:rPr>
                <w:webHidden/>
              </w:rPr>
              <w:fldChar w:fldCharType="separate"/>
            </w:r>
            <w:r>
              <w:rPr>
                <w:rStyle w:val="Style16"/>
                <w:rFonts w:cs="Times New Roman" w:ascii="Times New Roman" w:hAnsi="Times New Roman" w:asciiTheme="majorBidi" w:cstheme="majorBidi" w:hAnsiTheme="majorBidi"/>
                <w:vanish w:val="false"/>
                <w:sz w:val="28"/>
                <w:szCs w:val="28"/>
              </w:rPr>
              <w:t>69</w:t>
            </w:r>
            <w:r>
              <w:rPr>
                <w:webHidden/>
              </w:rPr>
              <w:fldChar w:fldCharType="end"/>
            </w:r>
          </w:hyperlink>
        </w:p>
        <w:p>
          <w:pPr>
            <w:pStyle w:val="16"/>
            <w:rPr>
              <w:rFonts w:ascii="Times New Roman" w:hAnsi="Times New Roman" w:cs="Times New Roman" w:asciiTheme="majorBidi" w:cstheme="majorBidi" w:hAnsiTheme="majorBidi"/>
            </w:rPr>
          </w:pPr>
          <w:hyperlink w:anchor="_Toc431397880">
            <w:r>
              <w:rPr>
                <w:webHidden/>
                <w:rStyle w:val="Style16"/>
                <w:rFonts w:cs="Times New Roman" w:cstheme="majorBidi"/>
              </w:rPr>
              <w:t>Підпрограма «Гранти Київського міського голови»</w:t>
            </w:r>
            <w:r>
              <w:rPr>
                <w:rStyle w:val="Style16"/>
                <w:rFonts w:cs="Times New Roman" w:cstheme="majorBidi"/>
                <w:vanish w:val="false"/>
              </w:rPr>
              <w:tab/>
              <w:t>7</w:t>
            </w:r>
          </w:hyperlink>
          <w:r>
            <w:rPr>
              <w:rFonts w:cs="Times New Roman" w:cstheme="majorBidi"/>
            </w:rPr>
            <w:t>1</w:t>
          </w:r>
        </w:p>
        <w:p>
          <w:pPr>
            <w:pStyle w:val="16"/>
            <w:rPr/>
          </w:pPr>
          <w:r>
            <w:rPr/>
            <w:t>Напрями діяльності, завдання та заходи підпрограми «Гранди Київського міського голови»……………………………………………………………………………………73</w:t>
          </w:r>
        </w:p>
        <w:p>
          <w:pPr>
            <w:pStyle w:val="NoSpacing"/>
            <w:rPr>
              <w:rFonts w:ascii="Times New Roman" w:hAnsi="Times New Roman" w:cs="Times New Roman"/>
              <w:sz w:val="28"/>
              <w:szCs w:val="28"/>
            </w:rPr>
          </w:pPr>
          <w:hyperlink w:anchor="_Toc431397881">
            <w:r>
              <w:rPr>
                <w:webHidden/>
                <w:rStyle w:val="Style16"/>
                <w:rFonts w:cs="Times New Roman" w:ascii="Times New Roman" w:hAnsi="Times New Roman"/>
                <w:sz w:val="28"/>
                <w:szCs w:val="28"/>
              </w:rPr>
              <w:t>Підпрограма «Єдиний інформаційно-освітній простір навчальних закладів комунальної форми власності»………………………………………………………....</w:t>
            </w:r>
          </w:hyperlink>
          <w:r>
            <w:rPr>
              <w:rFonts w:cs="Times New Roman" w:ascii="Times New Roman" w:hAnsi="Times New Roman" w:asciiTheme="majorBidi" w:cstheme="majorBidi" w:hAnsiTheme="majorBidi"/>
              <w:sz w:val="28"/>
              <w:szCs w:val="28"/>
            </w:rPr>
            <w:t>75</w:t>
          </w:r>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82">
            <w:r>
              <w:rPr>
                <w:webHidden/>
                <w:rStyle w:val="Style16"/>
                <w:rFonts w:cs="Times New Roman" w:cstheme="majorBidi"/>
              </w:rPr>
              <w:t>Напрями діяльності, завдання та заходи підпрограми «Єдиний інформаційно-освітній простір навчальних закладів комунальної форми власності»</w:t>
            </w:r>
            <w:r>
              <w:rPr>
                <w:rStyle w:val="Style16"/>
                <w:rFonts w:cs="Times New Roman" w:cstheme="majorBidi"/>
                <w:vanish w:val="false"/>
              </w:rPr>
              <w:t>………………8</w:t>
            </w:r>
          </w:hyperlink>
          <w:r>
            <w:rPr>
              <w:rFonts w:cs="Times New Roman" w:cstheme="majorBidi"/>
            </w:rPr>
            <w:t>1</w:t>
          </w:r>
        </w:p>
        <w:p>
          <w:pPr>
            <w:pStyle w:val="16"/>
            <w:rPr>
              <w:rFonts w:ascii="Times New Roman" w:hAnsi="Times New Roman" w:cs="Times New Roman" w:asciiTheme="majorBidi" w:cstheme="majorBidi" w:hAnsiTheme="majorBidi"/>
            </w:rPr>
          </w:pPr>
          <w:r>
            <w:rPr>
              <w:rFonts w:cs="Times New Roman" w:cstheme="majorBidi"/>
            </w:rPr>
            <w:t>Очікувані показники виконання підпрограми «Єдиний інформаційно-освітній простір навчальних закладів комунальної форми власності»</w:t>
            <w:tab/>
            <w:t>85</w:t>
          </w:r>
        </w:p>
        <w:p>
          <w:pPr>
            <w:pStyle w:val="16"/>
            <w:rPr>
              <w:rFonts w:ascii="Times New Roman" w:hAnsi="Times New Roman" w:eastAsia="ＭＳ 明朝" w:cs="Times New Roman" w:asciiTheme="majorBidi" w:cstheme="majorBidi" w:eastAsiaTheme="minorEastAsia" w:hAnsiTheme="majorBidi"/>
              <w:lang w:eastAsia="uk-UA" w:bidi="he-IL"/>
            </w:rPr>
          </w:pPr>
          <w:hyperlink w:anchor="_Toc431397883">
            <w:r>
              <w:rPr>
                <w:webHidden/>
                <w:rStyle w:val="Style16"/>
                <w:rFonts w:cs="Times New Roman" w:cstheme="majorBidi"/>
              </w:rPr>
              <w:t>Підпрограма «Методична, технічна підтримка закладів освіти»</w:t>
            </w:r>
            <w:r>
              <w:rPr>
                <w:rStyle w:val="Style16"/>
                <w:rFonts w:cs="Times New Roman" w:cstheme="majorBidi"/>
                <w:vanish w:val="false"/>
              </w:rPr>
              <w:tab/>
            </w:r>
          </w:hyperlink>
          <w:r>
            <w:rPr>
              <w:rFonts w:cs="Times New Roman" w:cstheme="majorBidi"/>
            </w:rPr>
            <w:t>86</w:t>
          </w:r>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84">
            <w:r>
              <w:rPr>
                <w:webHidden/>
                <w:rStyle w:val="Style16"/>
                <w:rFonts w:cs="Times New Roman" w:ascii="Times New Roman" w:hAnsi="Times New Roman" w:asciiTheme="majorBidi" w:cstheme="majorBidi" w:hAnsiTheme="majorBidi"/>
                <w:sz w:val="28"/>
                <w:szCs w:val="28"/>
              </w:rPr>
              <w:t>Напрями діяльності, завдання та заходи підпрограми «Методична, технічна підтримка закладів освіти»</w:t>
            </w:r>
            <w:r>
              <w:rPr>
                <w:rStyle w:val="Style16"/>
                <w:rFonts w:cs="Times New Roman" w:ascii="Times New Roman" w:hAnsi="Times New Roman" w:asciiTheme="majorBidi" w:cstheme="majorBidi" w:hAnsiTheme="majorBidi"/>
                <w:vanish w:val="false"/>
                <w:sz w:val="28"/>
                <w:szCs w:val="28"/>
              </w:rPr>
              <w:tab/>
            </w:r>
          </w:hyperlink>
          <w:r>
            <w:rPr>
              <w:rFonts w:cs="Times New Roman" w:ascii="Times New Roman" w:hAnsi="Times New Roman" w:asciiTheme="majorBidi" w:cstheme="majorBidi" w:hAnsiTheme="majorBidi"/>
              <w:sz w:val="28"/>
              <w:szCs w:val="28"/>
            </w:rPr>
            <w:t>88</w:t>
          </w:r>
        </w:p>
        <w:p>
          <w:pPr>
            <w:pStyle w:val="24"/>
            <w:tabs>
              <w:tab w:val="right" w:pos="10195" w:leader="dot"/>
            </w:tabs>
            <w:ind w:left="0" w:hanging="0"/>
            <w:rPr>
              <w:rFonts w:ascii="Times New Roman" w:hAnsi="Times New Roman" w:cs="Times New Roman" w:asciiTheme="majorBidi" w:cstheme="majorBidi" w:hAnsiTheme="majorBidi"/>
              <w:sz w:val="28"/>
              <w:szCs w:val="28"/>
              <w:lang w:bidi="he-IL"/>
            </w:rPr>
          </w:pPr>
          <w:hyperlink w:anchor="_Toc431397885">
            <w:r>
              <w:rPr>
                <w:webHidden/>
                <w:rStyle w:val="Style16"/>
                <w:rFonts w:cs="Times New Roman" w:ascii="Times New Roman" w:hAnsi="Times New Roman" w:asciiTheme="majorBidi" w:cstheme="majorBidi" w:hAnsiTheme="majorBidi"/>
                <w:sz w:val="28"/>
                <w:szCs w:val="28"/>
              </w:rPr>
              <w:t>Очікувані показники виконання підпрограми «Методична, технічна підтримка закладів освіти»</w:t>
            </w:r>
            <w:r>
              <w:rPr>
                <w:rStyle w:val="Style16"/>
                <w:rFonts w:cs="Times New Roman" w:ascii="Times New Roman" w:hAnsi="Times New Roman" w:asciiTheme="majorBidi" w:cstheme="majorBidi" w:hAnsiTheme="majorBidi"/>
                <w:vanish w:val="false"/>
                <w:sz w:val="28"/>
                <w:szCs w:val="28"/>
              </w:rPr>
              <w:tab/>
              <w:t>9</w:t>
            </w:r>
          </w:hyperlink>
          <w:r>
            <w:rPr>
              <w:rFonts w:cs="Times New Roman" w:ascii="Times New Roman" w:hAnsi="Times New Roman" w:asciiTheme="majorBidi" w:cstheme="majorBidi" w:hAnsiTheme="majorBidi"/>
              <w:sz w:val="28"/>
              <w:szCs w:val="28"/>
            </w:rPr>
            <w:t>1</w:t>
          </w:r>
        </w:p>
        <w:p>
          <w:pPr>
            <w:pStyle w:val="16"/>
            <w:rPr>
              <w:rFonts w:ascii="Times New Roman" w:hAnsi="Times New Roman" w:cs="Times New Roman" w:asciiTheme="majorBidi" w:cstheme="majorBidi" w:hAnsiTheme="majorBidi"/>
            </w:rPr>
          </w:pPr>
          <w:hyperlink w:anchor="_Toc431397888">
            <w:r>
              <w:rPr>
                <w:webHidden/>
                <w:rStyle w:val="Style16"/>
                <w:rFonts w:cs="Times New Roman" w:cstheme="majorBidi"/>
              </w:rPr>
              <w:t>Підпрограма «Будівництво, реконструкція та капітальний ремонт закладів освіти»</w:t>
            </w:r>
            <w:r>
              <w:rPr>
                <w:rStyle w:val="Style16"/>
                <w:rFonts w:cs="Times New Roman" w:cstheme="majorBidi"/>
                <w:vanish w:val="false"/>
              </w:rPr>
              <w:tab/>
              <w:t>9</w:t>
            </w:r>
          </w:hyperlink>
          <w:r>
            <w:rPr>
              <w:rFonts w:cs="Times New Roman" w:cstheme="majorBidi"/>
            </w:rPr>
            <w:t xml:space="preserve">2 </w:t>
          </w:r>
        </w:p>
        <w:p>
          <w:pPr>
            <w:pStyle w:val="Normal"/>
            <w:rPr>
              <w:rFonts w:ascii="Times New Roman" w:hAnsi="Times New Roman" w:cs="Times New Roman" w:asciiTheme="majorBidi" w:cstheme="majorBidi" w:hAnsiTheme="majorBidi"/>
              <w:sz w:val="28"/>
              <w:szCs w:val="28"/>
            </w:rPr>
          </w:pPr>
          <w:r>
            <w:rPr>
              <w:rFonts w:cs="Times New Roman" w:ascii="Times New Roman" w:hAnsi="Times New Roman" w:asciiTheme="majorBidi" w:cstheme="majorBidi" w:hAnsiTheme="majorBidi"/>
              <w:sz w:val="28"/>
              <w:szCs w:val="28"/>
            </w:rPr>
            <w:t xml:space="preserve"> </w:t>
          </w:r>
          <w:r>
            <w:rPr>
              <w:rFonts w:cs="Times New Roman" w:ascii="Times New Roman" w:hAnsi="Times New Roman" w:asciiTheme="majorBidi" w:cstheme="majorBidi" w:hAnsiTheme="majorBidi"/>
              <w:sz w:val="28"/>
              <w:szCs w:val="28"/>
            </w:rPr>
            <w:t>Напрями діяльності, завдання та заходи підпрограми  «Будівництво, реконструкція та капітальний ремонт закладів освіти»……………………………………………….93</w:t>
          </w:r>
        </w:p>
        <w:p>
          <w:pPr>
            <w:pStyle w:val="Normal"/>
            <w:rPr>
              <w:rFonts w:ascii="Times New Roman" w:hAnsi="Times New Roman" w:cs="Times New Roman" w:asciiTheme="majorBidi" w:cstheme="majorBidi" w:hAnsiTheme="majorBidi"/>
              <w:sz w:val="28"/>
              <w:szCs w:val="28"/>
            </w:rPr>
          </w:pPr>
          <w:r>
            <w:rPr>
              <w:rFonts w:cs="Times New Roman" w:ascii="Times New Roman" w:hAnsi="Times New Roman" w:asciiTheme="majorBidi" w:cstheme="majorBidi" w:hAnsiTheme="majorBidi"/>
              <w:sz w:val="28"/>
              <w:szCs w:val="28"/>
            </w:rPr>
            <w:t>Очікувані показники виконання підпрограми «Будівництво, реконструкція та капітальний ремонт закладів освіти» …………………………..................................  114</w:t>
          </w:r>
        </w:p>
        <w:p>
          <w:pPr>
            <w:pStyle w:val="Normal"/>
            <w:rPr>
              <w:rFonts w:ascii="Times New Roman" w:hAnsi="Times New Roman" w:cs="Times New Roman" w:asciiTheme="majorBidi" w:cstheme="majorBidi" w:hAnsiTheme="majorBidi"/>
              <w:sz w:val="28"/>
              <w:szCs w:val="28"/>
            </w:rPr>
          </w:pPr>
          <w:r>
            <w:rPr>
              <w:rFonts w:cs="Times New Roman" w:ascii="Times New Roman" w:hAnsi="Times New Roman" w:asciiTheme="majorBidi" w:cstheme="majorBidi" w:hAnsiTheme="majorBidi"/>
              <w:sz w:val="28"/>
              <w:szCs w:val="28"/>
            </w:rPr>
            <w:t xml:space="preserve">Підпрограма «Оновлення матеріально-технічної бази закладів освіти»….….…….116  </w:t>
          </w:r>
        </w:p>
        <w:p>
          <w:pPr>
            <w:pStyle w:val="Normal"/>
            <w:rPr>
              <w:rFonts w:ascii="Times New Roman" w:hAnsi="Times New Roman" w:cs="Times New Roman" w:asciiTheme="majorBidi" w:cstheme="majorBidi" w:hAnsiTheme="majorBidi"/>
              <w:sz w:val="28"/>
              <w:szCs w:val="28"/>
            </w:rPr>
          </w:pPr>
          <w:r>
            <w:rPr>
              <w:rFonts w:cs="Times New Roman" w:ascii="Times New Roman" w:hAnsi="Times New Roman"/>
              <w:sz w:val="28"/>
              <w:szCs w:val="28"/>
            </w:rPr>
            <w:t xml:space="preserve">Напрями діяльності, завдання та заходи підпрограми </w:t>
          </w:r>
          <w:r>
            <w:rPr>
              <w:rFonts w:cs="Times New Roman" w:ascii="Times New Roman" w:hAnsi="Times New Roman" w:asciiTheme="majorBidi" w:cstheme="majorBidi" w:hAnsiTheme="majorBidi"/>
              <w:sz w:val="28"/>
              <w:szCs w:val="28"/>
            </w:rPr>
            <w:t>«Оновлення матеріально-технічної бази закладів освіти» ……………………………………………………….117</w:t>
          </w:r>
        </w:p>
        <w:p>
          <w:pPr>
            <w:pStyle w:val="Normal"/>
            <w:rPr>
              <w:rFonts w:ascii="Times New Roman" w:hAnsi="Times New Roman" w:cs="Times New Roman" w:asciiTheme="majorBidi" w:cstheme="majorBidi" w:hAnsiTheme="majorBidi"/>
              <w:sz w:val="28"/>
              <w:szCs w:val="28"/>
            </w:rPr>
          </w:pPr>
          <w:r>
            <w:rPr>
              <w:rFonts w:cs="Times New Roman" w:ascii="Times New Roman" w:hAnsi="Times New Roman" w:asciiTheme="majorBidi" w:cstheme="majorBidi" w:hAnsiTheme="majorBidi"/>
              <w:sz w:val="28"/>
              <w:szCs w:val="28"/>
              <w:lang w:val="ru-RU" w:bidi="he-IL"/>
            </w:rPr>
            <w:t>Очікувані показники виконання підпрограми «Оновлення матеріально-технічної бази закладів освіти»……………………………………………………………...</w:t>
            <w:tab/>
            <w:t xml:space="preserve">       122</w:t>
          </w:r>
        </w:p>
        <w:p>
          <w:pPr>
            <w:pStyle w:val="Normal"/>
            <w:rPr>
              <w:rStyle w:val="13"/>
              <w:rFonts w:eastAsia="Calibri" w:cs="Times New Roman" w:eastAsiaTheme="minorHAnsi"/>
              <w:b w:val="false"/>
              <w:b w:val="false"/>
              <w:bCs w:val="false"/>
              <w:color w:val="00000A"/>
              <w:sz w:val="22"/>
              <w:szCs w:val="22"/>
            </w:rPr>
          </w:pPr>
          <w:r>
            <w:rPr>
              <w:rFonts w:eastAsia="Calibri" w:cs="Times New Roman" w:eastAsiaTheme="minorHAnsi"/>
              <w:b w:val="false"/>
              <w:bCs w:val="false"/>
              <w:color w:val="00000A"/>
              <w:sz w:val="22"/>
              <w:szCs w:val="22"/>
            </w:rPr>
          </w:r>
          <w:r>
            <w:fldChar w:fldCharType="end"/>
          </w:r>
        </w:p>
      </w:sdtContent>
    </w:sdt>
    <w:p>
      <w:pPr>
        <w:pStyle w:val="Normal"/>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jc w:val="center"/>
        <w:rPr>
          <w:rFonts w:ascii="Times New Roman" w:hAnsi="Times New Roman" w:eastAsia="Times New Roman" w:cs="Times New Roman"/>
          <w:b/>
          <w:b/>
          <w:color w:val="000000"/>
          <w:sz w:val="28"/>
          <w:szCs w:val="28"/>
          <w:lang w:eastAsia="uk-UA"/>
        </w:rPr>
      </w:pPr>
      <w:r>
        <w:rPr>
          <w:rFonts w:eastAsia="Times New Roman" w:cs="Times New Roman" w:ascii="Times New Roman" w:hAnsi="Times New Roman"/>
          <w:b/>
          <w:color w:val="000000"/>
          <w:sz w:val="28"/>
          <w:szCs w:val="28"/>
          <w:lang w:eastAsia="uk-UA"/>
        </w:rPr>
        <w:t>Перелік умовних позначень, скорочень і термінів</w:t>
      </w:r>
    </w:p>
    <w:p>
      <w:pPr>
        <w:pStyle w:val="Normal"/>
        <w:rPr>
          <w:rStyle w:val="11"/>
          <w:rFonts w:ascii="Times New Roman" w:hAnsi="Times New Roman" w:cs="Times New Roman"/>
          <w:b w:val="false"/>
          <w:b w:val="false"/>
          <w:color w:val="00000A"/>
        </w:rPr>
      </w:pPr>
      <w:r>
        <w:rPr>
          <w:rStyle w:val="11"/>
          <w:rFonts w:cs="Times New Roman" w:ascii="Times New Roman" w:hAnsi="Times New Roman"/>
          <w:b w:val="false"/>
          <w:color w:val="00000A"/>
        </w:rPr>
        <w:t xml:space="preserve">АПН – Академія педагогічних наук </w:t>
      </w:r>
    </w:p>
    <w:p>
      <w:pPr>
        <w:pStyle w:val="Normal"/>
        <w:rPr>
          <w:rFonts w:ascii="Times New Roman" w:hAnsi="Times New Roman" w:eastAsia="Times New Roman" w:cs="Times New Roman"/>
          <w:color w:val="000000"/>
          <w:sz w:val="28"/>
          <w:szCs w:val="28"/>
          <w:lang w:eastAsia="uk-UA"/>
        </w:rPr>
      </w:pPr>
      <w:r>
        <w:rPr>
          <w:rStyle w:val="11"/>
          <w:rFonts w:cs="Times New Roman" w:ascii="Times New Roman" w:hAnsi="Times New Roman"/>
          <w:b w:val="false"/>
          <w:color w:val="00000A"/>
        </w:rPr>
        <w:t>АТО – антитерористична операція</w:t>
      </w:r>
      <w:r>
        <w:rPr>
          <w:rFonts w:eastAsia="Times New Roman" w:cs="Times New Roman" w:ascii="Times New Roman" w:hAnsi="Times New Roman"/>
          <w:color w:val="000000"/>
          <w:sz w:val="28"/>
          <w:szCs w:val="28"/>
          <w:lang w:eastAsia="uk-UA"/>
        </w:rPr>
        <w:t xml:space="preserve"> </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ВМНЗ – вищі мистецькі навчальні заклади</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ВНЗ – вищий навчальний заклад</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ГО – громадська організація</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ДНЗ – дошкільний навчальний заклад</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ЗНЗ – загальноосвітній навчальний заклад</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ЗНО – зовнішнє незалежне оцінювання</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ІКТ –  інформаційно-комунікаційні технології</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ІППО – інститут післядипломної педагогічної освіти</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КП – комунальне підприємство</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МОН – Міністерство освіти і науки України</w:t>
      </w:r>
    </w:p>
    <w:p>
      <w:pPr>
        <w:pStyle w:val="Normal"/>
        <w:rPr>
          <w:rStyle w:val="11"/>
          <w:rFonts w:ascii="Times New Roman" w:hAnsi="Times New Roman" w:cs="Times New Roman"/>
          <w:b w:val="false"/>
          <w:b w:val="false"/>
          <w:color w:val="00000A"/>
        </w:rPr>
      </w:pPr>
      <w:r>
        <w:rPr>
          <w:rStyle w:val="11"/>
          <w:rFonts w:cs="Times New Roman" w:ascii="Times New Roman" w:hAnsi="Times New Roman"/>
          <w:b w:val="false"/>
          <w:color w:val="00000A"/>
        </w:rPr>
        <w:t>НАН – Національна академія наук</w:t>
      </w:r>
    </w:p>
    <w:p>
      <w:pPr>
        <w:pStyle w:val="Normal"/>
        <w:rPr>
          <w:rFonts w:ascii="Times New Roman" w:hAnsi="Times New Roman" w:eastAsia="ＭＳ ゴシック" w:cs="Times New Roman" w:eastAsiaTheme="majorEastAsia"/>
          <w:bCs/>
          <w:sz w:val="28"/>
          <w:szCs w:val="28"/>
        </w:rPr>
      </w:pPr>
      <w:r>
        <w:rPr>
          <w:rStyle w:val="11"/>
          <w:rFonts w:cs="Times New Roman" w:ascii="Times New Roman" w:hAnsi="Times New Roman"/>
          <w:b w:val="false"/>
          <w:color w:val="00000A"/>
        </w:rPr>
        <w:t>НВК – навчально-виховний комплекс</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ПНЗ – позашкільний навчальний заклад</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ПТНЗ – професійно-технічний навчальний заклад</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СШ – спеціалізована школа</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Управління освіти – управління освіти районних в місті Києві державних адміністрацій</w:t>
      </w:r>
    </w:p>
    <w:p>
      <w:pPr>
        <w:pStyle w:val="Normal"/>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ШДС – школа-дитячий садок</w:t>
      </w:r>
    </w:p>
    <w:p>
      <w:pPr>
        <w:pStyle w:val="Normal"/>
        <w:rPr>
          <w:rStyle w:val="11"/>
          <w:rFonts w:ascii="Times New Roman" w:hAnsi="Times New Roman" w:cs="Times New Roman"/>
          <w:b w:val="false"/>
          <w:b w:val="false"/>
          <w:color w:val="00000A"/>
        </w:rPr>
      </w:pPr>
      <w:r>
        <w:rPr>
          <w:rFonts w:eastAsia="Times New Roman" w:cs="Times New Roman" w:ascii="Times New Roman" w:hAnsi="Times New Roman"/>
          <w:color w:val="000000"/>
          <w:sz w:val="28"/>
          <w:szCs w:val="28"/>
          <w:lang w:val="en-US" w:eastAsia="uk-UA"/>
        </w:rPr>
        <w:t>STEM</w:t>
      </w:r>
      <w:r>
        <w:rPr>
          <w:rFonts w:eastAsia="Times New Roman" w:cs="Times New Roman" w:ascii="Times New Roman" w:hAnsi="Times New Roman"/>
          <w:color w:val="000000"/>
          <w:sz w:val="28"/>
          <w:szCs w:val="28"/>
          <w:lang w:eastAsia="uk-UA"/>
        </w:rPr>
        <w:t xml:space="preserve"> – Science, Technology, Engineering, Maths</w:t>
      </w:r>
      <w:r>
        <w:rPr>
          <w:rStyle w:val="11"/>
          <w:rFonts w:cs="Times New Roman" w:ascii="Times New Roman" w:hAnsi="Times New Roman"/>
          <w:b w:val="false"/>
          <w:color w:val="00000A"/>
        </w:rPr>
        <w:t xml:space="preserve"> (Наука, Технологія, Інженерія, Математика)</w:t>
      </w:r>
    </w:p>
    <w:p>
      <w:pPr>
        <w:pStyle w:val="Normal"/>
        <w:rPr>
          <w:rStyle w:val="11"/>
          <w:rFonts w:ascii="Times New Roman" w:hAnsi="Times New Roman" w:cs="Times New Roman"/>
          <w:b w:val="false"/>
          <w:b w:val="false"/>
          <w:color w:val="00000A"/>
        </w:rPr>
      </w:pPr>
      <w:r>
        <w:rPr>
          <w:rFonts w:eastAsia="Times New Roman" w:cs="Times New Roman" w:ascii="Times New Roman" w:hAnsi="Times New Roman"/>
          <w:color w:val="000000"/>
          <w:sz w:val="28"/>
          <w:szCs w:val="28"/>
          <w:lang w:eastAsia="uk-UA"/>
        </w:rPr>
        <w:t>STEAM – Science, Technology, Engineering, Arts,  Maths</w:t>
      </w:r>
      <w:r>
        <w:rPr>
          <w:rStyle w:val="11"/>
          <w:rFonts w:cs="Times New Roman" w:ascii="Times New Roman" w:hAnsi="Times New Roman"/>
          <w:b w:val="false"/>
          <w:color w:val="00000A"/>
          <w:lang w:val="en-US"/>
        </w:rPr>
        <w:t xml:space="preserve"> </w:t>
      </w:r>
      <w:r>
        <w:rPr>
          <w:rStyle w:val="11"/>
          <w:rFonts w:cs="Times New Roman" w:ascii="Times New Roman" w:hAnsi="Times New Roman"/>
          <w:b w:val="false"/>
          <w:color w:val="00000A"/>
        </w:rPr>
        <w:t xml:space="preserve"> (Наука, Технологія, Інженерія, Мистецтво, Математика)</w:t>
      </w:r>
    </w:p>
    <w:p>
      <w:pPr>
        <w:pStyle w:val="Normal"/>
        <w:rPr>
          <w:rStyle w:val="11"/>
          <w:rFonts w:ascii="Times New Roman" w:hAnsi="Times New Roman" w:cs="Times New Roman"/>
          <w:b w:val="false"/>
          <w:b w:val="false"/>
          <w:color w:val="00000A"/>
        </w:rPr>
      </w:pPr>
      <w:r>
        <w:rPr>
          <w:rFonts w:cs="Times New Roman" w:ascii="Times New Roman" w:hAnsi="Times New Roman"/>
          <w:b w:val="false"/>
          <w:color w:val="00000A"/>
        </w:rPr>
      </w:r>
    </w:p>
    <w:p>
      <w:pPr>
        <w:pStyle w:val="Normal"/>
        <w:rPr>
          <w:rStyle w:val="11"/>
          <w:rFonts w:ascii="Times New Roman" w:hAnsi="Times New Roman" w:cs="Times New Roman"/>
          <w:b w:val="false"/>
          <w:b w:val="false"/>
          <w:color w:val="00000A"/>
          <w:lang w:val="en-US"/>
        </w:rPr>
      </w:pPr>
      <w:r>
        <w:rPr>
          <w:rFonts w:cs="Times New Roman" w:ascii="Times New Roman" w:hAnsi="Times New Roman"/>
          <w:b w:val="false"/>
          <w:color w:val="00000A"/>
          <w:lang w:val="en-US"/>
        </w:rPr>
      </w:r>
    </w:p>
    <w:p>
      <w:pPr>
        <w:pStyle w:val="Normal"/>
        <w:jc w:val="center"/>
        <w:rPr>
          <w:rFonts w:ascii="Times New Roman" w:hAnsi="Times New Roman" w:cs="Times New Roman"/>
          <w:caps/>
          <w:sz w:val="28"/>
          <w:szCs w:val="28"/>
        </w:rPr>
      </w:pPr>
      <w:bookmarkStart w:id="0" w:name="_Toc431397854"/>
      <w:r>
        <w:rPr>
          <w:rStyle w:val="11"/>
          <w:rFonts w:cs="Times New Roman" w:ascii="Times New Roman" w:hAnsi="Times New Roman"/>
          <w:b w:val="false"/>
          <w:color w:val="00000A"/>
        </w:rPr>
        <w:t>ПАСПОРТ</w:t>
      </w:r>
      <w:bookmarkEnd w:id="0"/>
      <w:r>
        <w:rPr>
          <w:rStyle w:val="11"/>
          <w:rFonts w:cs="Times New Roman" w:ascii="Times New Roman" w:hAnsi="Times New Roman"/>
          <w:b w:val="false"/>
        </w:rPr>
        <w:t xml:space="preserve"> </w:t>
        <w:br/>
      </w:r>
      <w:r>
        <w:rPr>
          <w:rFonts w:cs="Times New Roman" w:ascii="Times New Roman" w:hAnsi="Times New Roman"/>
          <w:caps/>
          <w:sz w:val="28"/>
          <w:szCs w:val="28"/>
        </w:rPr>
        <w:t xml:space="preserve">МІСЬКОЇ Комплексної ЦІЛЬОВОЇ  програми </w:t>
        <w:br/>
        <w:t>«ОСВІТА КИЄВА. 2016 – 2018 роки»</w:t>
      </w:r>
    </w:p>
    <w:tbl>
      <w:tblPr>
        <w:tblStyle w:val="a9"/>
        <w:tblW w:w="10206" w:type="dxa"/>
        <w:jc w:val="left"/>
        <w:tblInd w:w="0" w:type="dxa"/>
        <w:tblCellMar>
          <w:top w:w="0" w:type="dxa"/>
          <w:left w:w="108" w:type="dxa"/>
          <w:bottom w:w="0" w:type="dxa"/>
          <w:right w:w="108" w:type="dxa"/>
        </w:tblCellMar>
        <w:tblLook w:firstRow="0" w:noVBand="0" w:lastRow="0" w:firstColumn="0" w:lastColumn="0" w:noHBand="0" w:val="0000"/>
      </w:tblPr>
      <w:tblGrid>
        <w:gridCol w:w="709"/>
        <w:gridCol w:w="3119"/>
        <w:gridCol w:w="1808"/>
        <w:gridCol w:w="1593"/>
        <w:gridCol w:w="1417"/>
        <w:gridCol w:w="1559"/>
      </w:tblGrid>
      <w:tr>
        <w:trPr>
          <w:trHeight w:val="173" w:hRule="atLeast"/>
        </w:trPr>
        <w:tc>
          <w:tcPr>
            <w:tcW w:w="709" w:type="dxa"/>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1.</w:t>
            </w:r>
          </w:p>
        </w:tc>
        <w:tc>
          <w:tcPr>
            <w:tcW w:w="3119" w:type="dxa"/>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Ініціатор розроблення Програми</w:t>
            </w:r>
          </w:p>
        </w:tc>
        <w:tc>
          <w:tcPr>
            <w:tcW w:w="6377" w:type="dxa"/>
            <w:gridSpan w:val="4"/>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Департамент освіти і науки, молоді та спорту виконавчого органу Київської міської ради (Київської міської державної адміністрації)</w:t>
            </w:r>
          </w:p>
          <w:p>
            <w:pPr>
              <w:pStyle w:val="Normal"/>
              <w:spacing w:lineRule="auto" w:line="276" w:before="0" w:after="0"/>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r>
      <w:tr>
        <w:trPr>
          <w:trHeight w:val="173" w:hRule="atLeast"/>
        </w:trPr>
        <w:tc>
          <w:tcPr>
            <w:tcW w:w="709" w:type="dxa"/>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2.</w:t>
            </w:r>
          </w:p>
        </w:tc>
        <w:tc>
          <w:tcPr>
            <w:tcW w:w="3119" w:type="dxa"/>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Дата, номер і назва документа про розроблення Програми</w:t>
            </w:r>
          </w:p>
        </w:tc>
        <w:tc>
          <w:tcPr>
            <w:tcW w:w="6377" w:type="dxa"/>
            <w:gridSpan w:val="4"/>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 xml:space="preserve">Доручення Київського міського голови від 19.03.2015 № 14978/230, накази Департаменту освіти і науки, молоді та спорту від 05.03.2015 </w:t>
            </w:r>
          </w:p>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 xml:space="preserve">№ </w:t>
            </w:r>
            <w:r>
              <w:rPr>
                <w:rFonts w:eastAsia="ＭＳ 明朝" w:cs="Times New Roman" w:eastAsiaTheme="minorEastAsia" w:ascii="Times New Roman" w:hAnsi="Times New Roman"/>
                <w:sz w:val="28"/>
                <w:szCs w:val="28"/>
                <w:lang w:eastAsia="uk-UA"/>
              </w:rPr>
              <w:t>66, від 29.04.2015 № 256 </w:t>
            </w:r>
          </w:p>
          <w:p>
            <w:pPr>
              <w:pStyle w:val="Normal"/>
              <w:spacing w:lineRule="auto" w:line="276" w:before="0" w:after="0"/>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r>
      <w:tr>
        <w:trPr>
          <w:trHeight w:val="173" w:hRule="atLeast"/>
        </w:trPr>
        <w:tc>
          <w:tcPr>
            <w:tcW w:w="709" w:type="dxa"/>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3.</w:t>
            </w:r>
          </w:p>
        </w:tc>
        <w:tc>
          <w:tcPr>
            <w:tcW w:w="3119" w:type="dxa"/>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Розробник Програми</w:t>
            </w:r>
          </w:p>
        </w:tc>
        <w:tc>
          <w:tcPr>
            <w:tcW w:w="6377" w:type="dxa"/>
            <w:gridSpan w:val="4"/>
            <w:tcBorders/>
            <w:shd w:fill="auto" w:val="clear"/>
            <w:tcMar>
              <w:left w:w="108" w:type="dxa"/>
            </w:tcMar>
          </w:tcPr>
          <w:p>
            <w:pPr>
              <w:pStyle w:val="Normal"/>
              <w:spacing w:lineRule="auto" w:line="276" w:before="0" w:after="0"/>
              <w:jc w:val="both"/>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Київський університет імені Бориса Грінченка</w:t>
            </w:r>
          </w:p>
          <w:p>
            <w:pPr>
              <w:pStyle w:val="Normal"/>
              <w:spacing w:lineRule="auto" w:line="276" w:before="0" w:after="0"/>
              <w:jc w:val="both"/>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r>
      <w:tr>
        <w:trPr>
          <w:trHeight w:val="173" w:hRule="atLeast"/>
        </w:trPr>
        <w:tc>
          <w:tcPr>
            <w:tcW w:w="709" w:type="dxa"/>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4.</w:t>
            </w:r>
          </w:p>
        </w:tc>
        <w:tc>
          <w:tcPr>
            <w:tcW w:w="3119" w:type="dxa"/>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Співрозробники Програми</w:t>
            </w:r>
          </w:p>
        </w:tc>
        <w:tc>
          <w:tcPr>
            <w:tcW w:w="6377" w:type="dxa"/>
            <w:gridSpan w:val="4"/>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 xml:space="preserve">ГО «Батьківська рада», ГО «Батьківський контроль», ГО «Батьки </w:t>
            </w:r>
            <w:r>
              <w:rPr>
                <w:rFonts w:eastAsia="ＭＳ 明朝" w:cs="Times New Roman" w:eastAsiaTheme="minorEastAsia" w:ascii="Times New Roman" w:hAnsi="Times New Roman"/>
                <w:sz w:val="28"/>
                <w:szCs w:val="28"/>
                <w:lang w:val="en-US" w:eastAsia="uk-UA"/>
              </w:rPr>
              <w:t>SOS</w:t>
            </w:r>
            <w:r>
              <w:rPr>
                <w:rFonts w:eastAsia="ＭＳ 明朝" w:cs="Times New Roman" w:eastAsiaTheme="minorEastAsia" w:ascii="Times New Roman" w:hAnsi="Times New Roman"/>
                <w:sz w:val="28"/>
                <w:szCs w:val="28"/>
                <w:lang w:eastAsia="uk-UA"/>
              </w:rPr>
              <w:t>», Асоціація директорів загальноосвітніх навчальних закладів міста Києва, Асоціація директорів приватних навчальних закладів міста Києва, Асоціація директорів дошкільних навчальних закладів міста Києва, Асоціація директорів позашкільних навчальних закладів міста Києва, Асоціація директорів професійно-технічних навчальних закладів міста Києва, навчальні заклади міста Києва</w:t>
            </w:r>
          </w:p>
        </w:tc>
      </w:tr>
      <w:tr>
        <w:trPr>
          <w:trHeight w:val="173" w:hRule="atLeast"/>
        </w:trPr>
        <w:tc>
          <w:tcPr>
            <w:tcW w:w="709" w:type="dxa"/>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5.</w:t>
            </w:r>
          </w:p>
        </w:tc>
        <w:tc>
          <w:tcPr>
            <w:tcW w:w="3119" w:type="dxa"/>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Замовник (відповідальний виконавець) Програми</w:t>
            </w:r>
          </w:p>
        </w:tc>
        <w:tc>
          <w:tcPr>
            <w:tcW w:w="6377" w:type="dxa"/>
            <w:gridSpan w:val="4"/>
            <w:tcBorders/>
            <w:shd w:fill="auto" w:val="clear"/>
            <w:tcMar>
              <w:left w:w="108" w:type="dxa"/>
            </w:tcMar>
          </w:tcPr>
          <w:p>
            <w:pPr>
              <w:pStyle w:val="Normal"/>
              <w:spacing w:lineRule="auto" w:line="276" w:before="0" w:after="0"/>
              <w:jc w:val="both"/>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Департамент освіти і науки, молоді та спорту виконавчого органу Київської міської ради (Київської міської державної адміністрації)</w:t>
            </w:r>
          </w:p>
        </w:tc>
      </w:tr>
      <w:tr>
        <w:trPr>
          <w:trHeight w:val="173" w:hRule="atLeast"/>
        </w:trPr>
        <w:tc>
          <w:tcPr>
            <w:tcW w:w="709" w:type="dxa"/>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6.</w:t>
            </w:r>
          </w:p>
        </w:tc>
        <w:tc>
          <w:tcPr>
            <w:tcW w:w="3119" w:type="dxa"/>
            <w:tcBorders/>
            <w:shd w:fill="auto" w:val="clear"/>
            <w:tcMar>
              <w:left w:w="108" w:type="dxa"/>
            </w:tcMar>
          </w:tcPr>
          <w:p>
            <w:pPr>
              <w:pStyle w:val="Normal"/>
              <w:spacing w:lineRule="auto" w:line="276" w:before="0" w:after="0"/>
              <w:rPr>
                <w:rFonts w:ascii="Times New Roman" w:hAnsi="Times New Roman" w:cs="Times New Roman"/>
                <w:iCs/>
                <w:sz w:val="28"/>
                <w:szCs w:val="28"/>
              </w:rPr>
            </w:pPr>
            <w:r>
              <w:rPr>
                <w:rFonts w:eastAsia="ＭＳ 明朝" w:cs="Times New Roman" w:eastAsiaTheme="minorEastAsia" w:ascii="Times New Roman" w:hAnsi="Times New Roman"/>
                <w:iCs/>
                <w:sz w:val="28"/>
                <w:szCs w:val="28"/>
                <w:lang w:eastAsia="uk-UA"/>
              </w:rPr>
              <w:t>Учасники (співвиконавці) Програми</w:t>
            </w:r>
          </w:p>
        </w:tc>
        <w:tc>
          <w:tcPr>
            <w:tcW w:w="6377" w:type="dxa"/>
            <w:gridSpan w:val="4"/>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Департамент культури виконавчого органу Київської міської ради (Київської міської державної адміністрації), Департамент охорони здоров’я виконавчого органу Київської міської ради (Київської міської державної адміністрації), районні в місті Києві державні адміністрації, управління освіти районних в місті Києві державних адміністрацій, міські установи, навчальні заклади міста Києва</w:t>
            </w:r>
          </w:p>
        </w:tc>
      </w:tr>
      <w:tr>
        <w:trPr>
          <w:trHeight w:val="173" w:hRule="atLeast"/>
        </w:trPr>
        <w:tc>
          <w:tcPr>
            <w:tcW w:w="709" w:type="dxa"/>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7.</w:t>
            </w:r>
          </w:p>
        </w:tc>
        <w:tc>
          <w:tcPr>
            <w:tcW w:w="3119" w:type="dxa"/>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Строк виконання Програми</w:t>
            </w:r>
          </w:p>
          <w:p>
            <w:pPr>
              <w:pStyle w:val="Normal"/>
              <w:spacing w:lineRule="auto" w:line="276" w:before="0" w:after="0"/>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6377" w:type="dxa"/>
            <w:gridSpan w:val="4"/>
            <w:tcBorders/>
            <w:shd w:fill="auto" w:val="clear"/>
            <w:tcMar>
              <w:left w:w="108" w:type="dxa"/>
            </w:tcMar>
          </w:tcPr>
          <w:p>
            <w:pPr>
              <w:pStyle w:val="Normal"/>
              <w:spacing w:lineRule="auto" w:line="276" w:before="0" w:after="0"/>
              <w:jc w:val="both"/>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2016 - 2018 роки</w:t>
            </w:r>
          </w:p>
        </w:tc>
      </w:tr>
      <w:tr>
        <w:trPr>
          <w:trHeight w:val="460" w:hRule="atLeast"/>
        </w:trPr>
        <w:tc>
          <w:tcPr>
            <w:tcW w:w="709"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8.</w:t>
            </w:r>
          </w:p>
        </w:tc>
        <w:tc>
          <w:tcPr>
            <w:tcW w:w="3119" w:type="dxa"/>
            <w:vMerge w:val="restart"/>
            <w:tcBorders/>
            <w:shd w:fill="auto" w:val="clear"/>
            <w:tcMar>
              <w:left w:w="108" w:type="dxa"/>
            </w:tcMar>
          </w:tcPr>
          <w:p>
            <w:pPr>
              <w:pStyle w:val="Normal"/>
              <w:spacing w:lineRule="auto" w:line="276" w:before="0" w:after="0"/>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Загальний обсяг фінансових ресурсів, необхідних для реалізації Програми</w:t>
            </w:r>
          </w:p>
        </w:tc>
        <w:tc>
          <w:tcPr>
            <w:tcW w:w="1808"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Усього</w:t>
            </w:r>
          </w:p>
        </w:tc>
        <w:tc>
          <w:tcPr>
            <w:tcW w:w="4569" w:type="dxa"/>
            <w:gridSpan w:val="3"/>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У тому числі за роками</w:t>
            </w:r>
          </w:p>
        </w:tc>
      </w:tr>
      <w:tr>
        <w:trPr>
          <w:trHeight w:val="173" w:hRule="atLeast"/>
        </w:trPr>
        <w:tc>
          <w:tcPr>
            <w:tcW w:w="709"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3119" w:type="dxa"/>
            <w:vMerge w:val="continue"/>
            <w:tcBorders/>
            <w:shd w:fill="auto" w:val="clear"/>
            <w:tcMar>
              <w:left w:w="108" w:type="dxa"/>
            </w:tcMar>
          </w:tcPr>
          <w:p>
            <w:pPr>
              <w:pStyle w:val="Normal"/>
              <w:spacing w:lineRule="auto" w:line="276" w:before="0" w:after="0"/>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1808"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1593" w:type="dxa"/>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2016 рік</w:t>
            </w:r>
          </w:p>
        </w:tc>
        <w:tc>
          <w:tcPr>
            <w:tcW w:w="1417" w:type="dxa"/>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2017 рік</w:t>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2018 рік</w:t>
            </w:r>
          </w:p>
        </w:tc>
      </w:tr>
      <w:tr>
        <w:trPr>
          <w:trHeight w:val="1526" w:hRule="atLeast"/>
        </w:trPr>
        <w:tc>
          <w:tcPr>
            <w:tcW w:w="709"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3119" w:type="dxa"/>
            <w:tcBorders/>
            <w:shd w:fill="auto" w:val="clear"/>
            <w:tcMar>
              <w:left w:w="108" w:type="dxa"/>
            </w:tcMar>
          </w:tcPr>
          <w:p>
            <w:pPr>
              <w:pStyle w:val="Normal"/>
              <w:spacing w:lineRule="auto" w:line="276" w:before="0" w:after="0"/>
              <w:rPr>
                <w:rFonts w:ascii="Times New Roman" w:hAnsi="Times New Roman" w:eastAsia="Times New Roman" w:cs="Times New Roman"/>
                <w:bCs/>
                <w:color w:val="000000"/>
                <w:sz w:val="28"/>
                <w:szCs w:val="28"/>
              </w:rPr>
            </w:pPr>
            <w:r>
              <w:rPr>
                <w:rFonts w:eastAsia="Times New Roman" w:cs="Times New Roman" w:ascii="Times New Roman" w:hAnsi="Times New Roman"/>
                <w:bCs/>
                <w:color w:val="000000"/>
                <w:sz w:val="28"/>
                <w:szCs w:val="28"/>
                <w:lang w:eastAsia="uk-UA"/>
              </w:rPr>
              <w:t>Загальний обсяг фінансових ресурсів, необхідних для реалізації Програми,</w:t>
            </w:r>
            <w:r>
              <w:rPr>
                <w:rFonts w:eastAsia="Times New Roman" w:cs="Times New Roman" w:ascii="Times New Roman" w:hAnsi="Times New Roman"/>
                <w:color w:val="000000"/>
                <w:sz w:val="28"/>
                <w:szCs w:val="28"/>
                <w:lang w:eastAsia="uk-UA"/>
              </w:rPr>
              <w:t xml:space="preserve"> </w:t>
            </w:r>
            <w:r>
              <w:rPr>
                <w:rFonts w:eastAsia="Times New Roman" w:cs="Times New Roman" w:ascii="Times New Roman" w:hAnsi="Times New Roman"/>
                <w:bCs/>
                <w:color w:val="000000"/>
                <w:sz w:val="28"/>
                <w:szCs w:val="28"/>
                <w:lang w:eastAsia="uk-UA"/>
              </w:rPr>
              <w:t>усього:</w:t>
            </w:r>
          </w:p>
          <w:p>
            <w:pPr>
              <w:pStyle w:val="Normal"/>
              <w:spacing w:lineRule="auto" w:line="276" w:before="0" w:after="0"/>
              <w:rPr>
                <w:rFonts w:ascii="Times New Roman" w:hAnsi="Times New Roman" w:cs="Times New Roman"/>
                <w:sz w:val="28"/>
                <w:szCs w:val="28"/>
              </w:rPr>
            </w:pPr>
            <w:r>
              <w:rPr>
                <w:rFonts w:eastAsia="Times New Roman" w:cs="Times New Roman" w:ascii="Times New Roman" w:hAnsi="Times New Roman"/>
                <w:color w:val="000000"/>
                <w:sz w:val="28"/>
                <w:szCs w:val="28"/>
                <w:lang w:eastAsia="uk-UA"/>
              </w:rPr>
              <w:t>у тому числі</w:t>
            </w:r>
          </w:p>
        </w:tc>
        <w:tc>
          <w:tcPr>
            <w:tcW w:w="1808" w:type="dxa"/>
            <w:tcBorders/>
            <w:shd w:fill="auto" w:val="clear"/>
            <w:tcMar>
              <w:left w:w="108" w:type="dxa"/>
            </w:tcMar>
          </w:tcPr>
          <w:p>
            <w:pPr>
              <w:pStyle w:val="Normal"/>
              <w:spacing w:lineRule="auto" w:line="240" w:before="0" w:after="0"/>
              <w:jc w:val="center"/>
              <w:rPr>
                <w:rFonts w:ascii="Times New Roman" w:hAnsi="Times New Roman" w:eastAsia="ＭＳ 明朝" w:cs="Times New Roman" w:asciiTheme="majorBidi" w:cstheme="majorBidi" w:hAnsiTheme="majorBidi"/>
                <w:sz w:val="24"/>
                <w:szCs w:val="24"/>
                <w:lang w:eastAsia="uk-UA"/>
              </w:rPr>
            </w:pPr>
            <w:r>
              <w:rPr>
                <w:rFonts w:eastAsia="ＭＳ 明朝" w:cs="Times New Roman" w:cstheme="majorBidi" w:ascii="Times New Roman" w:hAnsi="Times New Roman"/>
                <w:sz w:val="24"/>
                <w:szCs w:val="24"/>
                <w:lang w:eastAsia="uk-UA"/>
              </w:rPr>
            </w:r>
          </w:p>
          <w:p>
            <w:pPr>
              <w:pStyle w:val="Normal"/>
              <w:spacing w:lineRule="auto" w:line="240" w:before="0" w:after="0"/>
              <w:rPr>
                <w:rFonts w:ascii="Times New Roman" w:hAnsi="Times New Roman" w:eastAsia="Times New Roman" w:cs="Times New Roman" w:asciiTheme="majorBidi" w:cstheme="majorBidi" w:hAnsiTheme="majorBidi"/>
                <w:bCs/>
                <w:color w:val="000000"/>
                <w:sz w:val="24"/>
                <w:szCs w:val="24"/>
                <w:highlight w:val="yellow"/>
              </w:rPr>
            </w:pPr>
            <w:r>
              <w:rPr>
                <w:rFonts w:eastAsia="ＭＳ 明朝" w:cs="Times New Roman" w:ascii="Times New Roman" w:hAnsi="Times New Roman" w:asciiTheme="majorBidi" w:cstheme="majorBidi" w:hAnsiTheme="majorBidi"/>
                <w:sz w:val="24"/>
                <w:szCs w:val="24"/>
                <w:lang w:eastAsia="uk-UA"/>
              </w:rPr>
              <w:t xml:space="preserve">  </w:t>
            </w:r>
            <w:r>
              <w:rPr>
                <w:rFonts w:eastAsia="ＭＳ 明朝" w:cs="Times New Roman" w:ascii="Times New Roman" w:hAnsi="Times New Roman" w:asciiTheme="majorBidi" w:cstheme="majorBidi" w:hAnsiTheme="majorBidi"/>
                <w:sz w:val="24"/>
                <w:szCs w:val="24"/>
                <w:lang w:eastAsia="uk-UA"/>
              </w:rPr>
              <w:t>26 166 429,7</w:t>
            </w:r>
          </w:p>
        </w:tc>
        <w:tc>
          <w:tcPr>
            <w:tcW w:w="1593" w:type="dxa"/>
            <w:tcBorders/>
            <w:shd w:fill="auto" w:val="clear"/>
            <w:tcMar>
              <w:left w:w="108" w:type="dxa"/>
            </w:tcMar>
          </w:tcPr>
          <w:p>
            <w:pPr>
              <w:pStyle w:val="Normal"/>
              <w:spacing w:lineRule="auto" w:line="240" w:before="0" w:after="0"/>
              <w:jc w:val="center"/>
              <w:rPr>
                <w:rFonts w:ascii="Times New Roman" w:hAnsi="Times New Roman" w:eastAsia="ＭＳ 明朝" w:cs="Times New Roman"/>
                <w:color w:val="000000"/>
                <w:sz w:val="24"/>
                <w:szCs w:val="24"/>
                <w:lang w:eastAsia="uk-UA"/>
              </w:rPr>
            </w:pPr>
            <w:r>
              <w:rPr>
                <w:rFonts w:eastAsia="ＭＳ 明朝"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bCs/>
                <w:color w:val="000000"/>
                <w:sz w:val="24"/>
                <w:szCs w:val="24"/>
                <w:highlight w:val="yellow"/>
              </w:rPr>
            </w:pPr>
            <w:r>
              <w:rPr>
                <w:rFonts w:eastAsia="ＭＳ 明朝" w:cs="Times New Roman" w:ascii="Times New Roman" w:hAnsi="Times New Roman"/>
                <w:color w:val="000000"/>
                <w:sz w:val="24"/>
                <w:szCs w:val="24"/>
                <w:lang w:eastAsia="uk-UA"/>
              </w:rPr>
              <w:t>7 957 636,2</w:t>
            </w:r>
          </w:p>
        </w:tc>
        <w:tc>
          <w:tcPr>
            <w:tcW w:w="14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bCs/>
                <w:color w:val="000000"/>
                <w:sz w:val="24"/>
                <w:szCs w:val="24"/>
                <w:highlight w:val="yellow"/>
              </w:rPr>
            </w:pPr>
            <w:r>
              <w:rPr>
                <w:rFonts w:eastAsia="Times New Roman" w:cs="Times New Roman" w:ascii="Times New Roman" w:hAnsi="Times New Roman"/>
                <w:color w:val="000000"/>
                <w:sz w:val="24"/>
                <w:szCs w:val="24"/>
                <w:lang w:eastAsia="uk-UA"/>
              </w:rPr>
              <w:t>8 871 282,0</w:t>
            </w:r>
          </w:p>
        </w:tc>
        <w:tc>
          <w:tcPr>
            <w:tcW w:w="155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bCs/>
                <w:color w:val="000000"/>
                <w:sz w:val="24"/>
                <w:szCs w:val="24"/>
                <w:highlight w:val="yellow"/>
              </w:rPr>
            </w:pPr>
            <w:r>
              <w:rPr>
                <w:rFonts w:eastAsia="Times New Roman" w:cs="Times New Roman" w:ascii="Times New Roman" w:hAnsi="Times New Roman"/>
                <w:color w:val="000000"/>
                <w:sz w:val="24"/>
                <w:szCs w:val="24"/>
                <w:lang w:eastAsia="uk-UA"/>
              </w:rPr>
              <w:t>9 337 511,5</w:t>
            </w:r>
          </w:p>
        </w:tc>
      </w:tr>
      <w:tr>
        <w:trPr>
          <w:trHeight w:val="173" w:hRule="atLeast"/>
        </w:trPr>
        <w:tc>
          <w:tcPr>
            <w:tcW w:w="709"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3119" w:type="dxa"/>
            <w:tcBorders/>
            <w:shd w:fill="auto" w:val="clear"/>
            <w:tcMar>
              <w:left w:w="108" w:type="dxa"/>
            </w:tcMar>
          </w:tcPr>
          <w:p>
            <w:pPr>
              <w:pStyle w:val="Normal"/>
              <w:spacing w:lineRule="auto" w:line="276" w:before="0" w:after="0"/>
              <w:rPr>
                <w:rFonts w:ascii="Times New Roman" w:hAnsi="Times New Roman" w:eastAsia="Times New Roman" w:cs="Times New Roman"/>
                <w:bCs/>
                <w:color w:val="000000"/>
                <w:sz w:val="28"/>
                <w:szCs w:val="28"/>
              </w:rPr>
            </w:pPr>
            <w:r>
              <w:rPr>
                <w:rFonts w:eastAsia="Times New Roman" w:cs="Times New Roman" w:ascii="Times New Roman" w:hAnsi="Times New Roman"/>
                <w:bCs/>
                <w:color w:val="000000"/>
                <w:sz w:val="28"/>
                <w:szCs w:val="28"/>
                <w:lang w:eastAsia="uk-UA"/>
              </w:rPr>
              <w:t>Бюджет міста  Києва,</w:t>
            </w:r>
          </w:p>
          <w:p>
            <w:pPr>
              <w:pStyle w:val="Normal"/>
              <w:spacing w:lineRule="auto" w:line="276" w:before="0" w:after="0"/>
              <w:rPr>
                <w:rFonts w:ascii="Times New Roman" w:hAnsi="Times New Roman" w:eastAsia="Times New Roman" w:cs="Times New Roman"/>
                <w:bCs/>
                <w:color w:val="000000"/>
                <w:sz w:val="28"/>
                <w:szCs w:val="28"/>
              </w:rPr>
            </w:pPr>
            <w:r>
              <w:rPr>
                <w:rFonts w:eastAsia="Times New Roman" w:cs="Times New Roman" w:ascii="Times New Roman" w:hAnsi="Times New Roman"/>
                <w:bCs/>
                <w:color w:val="000000"/>
                <w:sz w:val="28"/>
                <w:szCs w:val="28"/>
                <w:lang w:eastAsia="uk-UA"/>
              </w:rPr>
              <w:t xml:space="preserve"> </w:t>
            </w:r>
            <w:r>
              <w:rPr>
                <w:rFonts w:eastAsia="Times New Roman" w:cs="Times New Roman" w:ascii="Times New Roman" w:hAnsi="Times New Roman"/>
                <w:bCs/>
                <w:color w:val="000000"/>
                <w:sz w:val="28"/>
                <w:szCs w:val="28"/>
                <w:lang w:eastAsia="uk-UA"/>
              </w:rPr>
              <w:t>(загальний фонд)</w:t>
            </w:r>
          </w:p>
        </w:tc>
        <w:tc>
          <w:tcPr>
            <w:tcW w:w="180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color w:val="000000"/>
                <w:sz w:val="24"/>
                <w:szCs w:val="24"/>
              </w:rPr>
            </w:pPr>
            <w:r>
              <w:rPr>
                <w:rFonts w:eastAsia="ＭＳ 明朝" w:cs="Times New Roman" w:ascii="Times New Roman" w:hAnsi="Times New Roman" w:asciiTheme="majorBidi" w:cstheme="majorBidi" w:hAnsiTheme="majorBidi"/>
                <w:sz w:val="24"/>
                <w:szCs w:val="24"/>
                <w:lang w:eastAsia="uk-UA"/>
              </w:rPr>
              <w:t>20 103 163,0</w:t>
            </w:r>
          </w:p>
        </w:tc>
        <w:tc>
          <w:tcPr>
            <w:tcW w:w="1593"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4"/>
                <w:szCs w:val="24"/>
              </w:rPr>
            </w:pPr>
            <w:r>
              <w:rPr>
                <w:rFonts w:eastAsia="ＭＳ 明朝" w:cs="Times New Roman" w:ascii="Times New Roman" w:hAnsi="Times New Roman"/>
                <w:color w:val="000000"/>
                <w:sz w:val="24"/>
                <w:szCs w:val="24"/>
                <w:lang w:eastAsia="uk-UA"/>
              </w:rPr>
              <w:t>6 265 914,9</w:t>
            </w:r>
          </w:p>
        </w:tc>
        <w:tc>
          <w:tcPr>
            <w:tcW w:w="14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4"/>
                <w:szCs w:val="24"/>
              </w:rPr>
            </w:pPr>
            <w:r>
              <w:rPr>
                <w:rFonts w:eastAsia="ＭＳ 明朝" w:cs="Times New Roman" w:ascii="Times New Roman" w:hAnsi="Times New Roman"/>
                <w:color w:val="000000"/>
                <w:sz w:val="24"/>
                <w:szCs w:val="24"/>
                <w:lang w:eastAsia="uk-UA"/>
              </w:rPr>
              <w:t>6 719 013,8</w:t>
            </w:r>
          </w:p>
        </w:tc>
        <w:tc>
          <w:tcPr>
            <w:tcW w:w="155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lang w:eastAsia="uk-UA"/>
              </w:rPr>
              <w:t>7 118 234,3</w:t>
            </w:r>
          </w:p>
        </w:tc>
      </w:tr>
      <w:tr>
        <w:trPr>
          <w:trHeight w:val="173" w:hRule="atLeast"/>
        </w:trPr>
        <w:tc>
          <w:tcPr>
            <w:tcW w:w="709"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3119" w:type="dxa"/>
            <w:tcBorders/>
            <w:shd w:fill="auto" w:val="clear"/>
            <w:tcMar>
              <w:left w:w="108" w:type="dxa"/>
            </w:tcMar>
          </w:tcPr>
          <w:p>
            <w:pPr>
              <w:pStyle w:val="Normal"/>
              <w:spacing w:lineRule="auto" w:line="276" w:before="0" w:after="0"/>
              <w:rPr>
                <w:rFonts w:ascii="Times New Roman" w:hAnsi="Times New Roman" w:eastAsia="Times New Roman" w:cs="Times New Roman"/>
                <w:bCs/>
                <w:color w:val="000000"/>
                <w:sz w:val="28"/>
                <w:szCs w:val="28"/>
              </w:rPr>
            </w:pPr>
            <w:r>
              <w:rPr>
                <w:rFonts w:eastAsia="Times New Roman" w:cs="Times New Roman" w:ascii="Times New Roman" w:hAnsi="Times New Roman"/>
                <w:bCs/>
                <w:color w:val="000000"/>
                <w:sz w:val="28"/>
                <w:szCs w:val="28"/>
                <w:lang w:eastAsia="uk-UA"/>
              </w:rPr>
              <w:t>Спеціальний фонд (бюджет розвитку)</w:t>
            </w:r>
          </w:p>
        </w:tc>
        <w:tc>
          <w:tcPr>
            <w:tcW w:w="180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color w:val="000000"/>
                <w:sz w:val="24"/>
                <w:szCs w:val="24"/>
              </w:rPr>
            </w:pPr>
            <w:r>
              <w:rPr>
                <w:rFonts w:eastAsia="ＭＳ 明朝" w:cs="Times New Roman" w:ascii="Times New Roman" w:hAnsi="Times New Roman" w:asciiTheme="majorBidi" w:cstheme="majorBidi" w:hAnsiTheme="majorBidi"/>
                <w:sz w:val="24"/>
                <w:szCs w:val="24"/>
                <w:lang w:eastAsia="uk-UA"/>
              </w:rPr>
              <w:t>2 136 912,9</w:t>
            </w:r>
          </w:p>
        </w:tc>
        <w:tc>
          <w:tcPr>
            <w:tcW w:w="1593"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4"/>
                <w:szCs w:val="24"/>
              </w:rPr>
            </w:pPr>
            <w:r>
              <w:rPr>
                <w:rFonts w:eastAsia="ＭＳ 明朝" w:cs="Times New Roman" w:ascii="Times New Roman" w:hAnsi="Times New Roman"/>
                <w:color w:val="000000"/>
                <w:sz w:val="24"/>
                <w:szCs w:val="24"/>
                <w:lang w:eastAsia="uk-UA"/>
              </w:rPr>
              <w:t>663 344,8</w:t>
            </w:r>
          </w:p>
        </w:tc>
        <w:tc>
          <w:tcPr>
            <w:tcW w:w="14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4"/>
                <w:szCs w:val="24"/>
              </w:rPr>
            </w:pPr>
            <w:r>
              <w:rPr>
                <w:rFonts w:eastAsia="ＭＳ 明朝" w:cs="Times New Roman" w:ascii="Times New Roman" w:hAnsi="Times New Roman"/>
                <w:color w:val="000000"/>
                <w:sz w:val="24"/>
                <w:szCs w:val="24"/>
                <w:lang w:eastAsia="uk-UA"/>
              </w:rPr>
              <w:t>717 075,9</w:t>
            </w:r>
          </w:p>
        </w:tc>
        <w:tc>
          <w:tcPr>
            <w:tcW w:w="155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4"/>
                <w:szCs w:val="24"/>
              </w:rPr>
            </w:pPr>
            <w:r>
              <w:rPr>
                <w:rFonts w:eastAsia="ＭＳ 明朝" w:cs="Times New Roman" w:ascii="Times New Roman" w:hAnsi="Times New Roman"/>
                <w:color w:val="000000"/>
                <w:sz w:val="24"/>
                <w:szCs w:val="24"/>
                <w:lang w:eastAsia="uk-UA"/>
              </w:rPr>
              <w:t>756 492,2</w:t>
            </w:r>
          </w:p>
        </w:tc>
      </w:tr>
      <w:tr>
        <w:trPr>
          <w:trHeight w:val="818" w:hRule="atLeast"/>
        </w:trPr>
        <w:tc>
          <w:tcPr>
            <w:tcW w:w="709"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3119" w:type="dxa"/>
            <w:tcBorders/>
            <w:shd w:fill="auto" w:val="clear"/>
            <w:tcMar>
              <w:left w:w="108" w:type="dxa"/>
            </w:tcMar>
          </w:tcPr>
          <w:p>
            <w:pPr>
              <w:pStyle w:val="Normal"/>
              <w:spacing w:lineRule="auto" w:line="276" w:before="0" w:after="0"/>
              <w:rPr>
                <w:rFonts w:ascii="Times New Roman" w:hAnsi="Times New Roman" w:eastAsia="Times New Roman" w:cs="Times New Roman"/>
                <w:bCs/>
                <w:color w:val="000000"/>
                <w:sz w:val="28"/>
                <w:szCs w:val="28"/>
              </w:rPr>
            </w:pPr>
            <w:r>
              <w:rPr>
                <w:rFonts w:eastAsia="Times New Roman" w:cs="Times New Roman" w:ascii="Times New Roman" w:hAnsi="Times New Roman"/>
                <w:bCs/>
                <w:color w:val="000000"/>
                <w:sz w:val="28"/>
                <w:szCs w:val="28"/>
                <w:lang w:eastAsia="uk-UA"/>
              </w:rPr>
              <w:t xml:space="preserve">Спеціальний фонд </w:t>
            </w:r>
          </w:p>
          <w:p>
            <w:pPr>
              <w:pStyle w:val="Normal"/>
              <w:spacing w:lineRule="auto" w:line="276" w:before="0" w:after="0"/>
              <w:rPr>
                <w:rFonts w:ascii="Times New Roman" w:hAnsi="Times New Roman" w:cs="Times New Roman"/>
                <w:sz w:val="28"/>
                <w:szCs w:val="28"/>
              </w:rPr>
            </w:pPr>
            <w:r>
              <w:rPr>
                <w:rFonts w:eastAsia="Times New Roman" w:cs="Times New Roman" w:ascii="Times New Roman" w:hAnsi="Times New Roman"/>
                <w:bCs/>
                <w:color w:val="000000"/>
                <w:sz w:val="28"/>
                <w:szCs w:val="28"/>
                <w:lang w:eastAsia="uk-UA"/>
              </w:rPr>
              <w:t>(власні надходження установ і організацій)</w:t>
            </w:r>
          </w:p>
        </w:tc>
        <w:tc>
          <w:tcPr>
            <w:tcW w:w="180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asciiTheme="majorBidi" w:cstheme="majorBidi" w:hAnsiTheme="majorBidi"/>
                <w:bCs/>
                <w:color w:val="000000"/>
                <w:sz w:val="24"/>
                <w:szCs w:val="24"/>
              </w:rPr>
            </w:pPr>
            <w:r>
              <w:rPr>
                <w:rFonts w:eastAsia="Times New Roman" w:cs="Times New Roman" w:ascii="Times New Roman" w:hAnsi="Times New Roman" w:asciiTheme="majorBidi" w:cstheme="majorBidi" w:hAnsiTheme="majorBidi"/>
                <w:bCs/>
                <w:color w:val="000000"/>
                <w:sz w:val="24"/>
                <w:szCs w:val="24"/>
                <w:lang w:eastAsia="uk-UA"/>
              </w:rPr>
              <w:t>1 225 649,0</w:t>
            </w:r>
          </w:p>
        </w:tc>
        <w:tc>
          <w:tcPr>
            <w:tcW w:w="1593"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lang w:eastAsia="uk-UA"/>
              </w:rPr>
              <w:t>378 221,6</w:t>
            </w:r>
          </w:p>
        </w:tc>
        <w:tc>
          <w:tcPr>
            <w:tcW w:w="14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Cs/>
                <w:color w:val="000000"/>
                <w:sz w:val="24"/>
                <w:szCs w:val="24"/>
                <w:highlight w:val="yellow"/>
              </w:rPr>
            </w:pPr>
            <w:r>
              <w:rPr>
                <w:rFonts w:eastAsia="Times New Roman" w:cs="Times New Roman" w:ascii="Times New Roman" w:hAnsi="Times New Roman"/>
                <w:bCs/>
                <w:color w:val="000000"/>
                <w:sz w:val="24"/>
                <w:szCs w:val="24"/>
                <w:lang w:eastAsia="uk-UA"/>
              </w:rPr>
              <w:t>410 818,0</w:t>
            </w:r>
          </w:p>
        </w:tc>
        <w:tc>
          <w:tcPr>
            <w:tcW w:w="155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Cs/>
                <w:color w:val="000000"/>
                <w:sz w:val="24"/>
                <w:szCs w:val="24"/>
                <w:highlight w:val="yellow"/>
              </w:rPr>
            </w:pPr>
            <w:r>
              <w:rPr>
                <w:rFonts w:eastAsia="Times New Roman" w:cs="Times New Roman" w:ascii="Times New Roman" w:hAnsi="Times New Roman"/>
                <w:bCs/>
                <w:color w:val="000000"/>
                <w:sz w:val="24"/>
                <w:szCs w:val="24"/>
                <w:lang w:eastAsia="uk-UA"/>
              </w:rPr>
              <w:t>436 609,4</w:t>
            </w:r>
          </w:p>
        </w:tc>
      </w:tr>
      <w:tr>
        <w:trPr>
          <w:trHeight w:val="818" w:hRule="atLeast"/>
        </w:trPr>
        <w:tc>
          <w:tcPr>
            <w:tcW w:w="709"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3119" w:type="dxa"/>
            <w:tcBorders/>
            <w:shd w:fill="auto" w:val="clear"/>
            <w:tcMar>
              <w:left w:w="108" w:type="dxa"/>
            </w:tcMar>
          </w:tcPr>
          <w:p>
            <w:pPr>
              <w:pStyle w:val="Normal"/>
              <w:spacing w:lineRule="auto" w:line="276" w:before="0" w:after="0"/>
              <w:rPr>
                <w:rFonts w:ascii="Times New Roman" w:hAnsi="Times New Roman" w:eastAsia="Times New Roman" w:cs="Times New Roman"/>
                <w:bCs/>
                <w:color w:val="000000"/>
                <w:sz w:val="28"/>
                <w:szCs w:val="28"/>
              </w:rPr>
            </w:pPr>
            <w:r>
              <w:rPr>
                <w:rFonts w:eastAsia="Times New Roman" w:cs="Times New Roman" w:ascii="Times New Roman" w:hAnsi="Times New Roman"/>
                <w:bCs/>
                <w:color w:val="000000"/>
                <w:sz w:val="28"/>
                <w:szCs w:val="28"/>
                <w:lang w:eastAsia="uk-UA"/>
              </w:rPr>
              <w:t xml:space="preserve">Спеціальний фонд </w:t>
            </w:r>
          </w:p>
          <w:p>
            <w:pPr>
              <w:pStyle w:val="Normal"/>
              <w:spacing w:lineRule="auto" w:line="276" w:before="0" w:after="0"/>
              <w:rPr>
                <w:rFonts w:ascii="Times New Roman" w:hAnsi="Times New Roman" w:eastAsia="Times New Roman" w:cs="Times New Roman"/>
                <w:bCs/>
                <w:color w:val="000000"/>
                <w:sz w:val="28"/>
                <w:szCs w:val="28"/>
              </w:rPr>
            </w:pPr>
            <w:r>
              <w:rPr>
                <w:rFonts w:eastAsia="Times New Roman" w:cs="Times New Roman" w:ascii="Times New Roman" w:hAnsi="Times New Roman"/>
                <w:bCs/>
                <w:color w:val="000000"/>
                <w:sz w:val="28"/>
                <w:szCs w:val="28"/>
                <w:lang w:eastAsia="uk-UA"/>
              </w:rPr>
              <w:t xml:space="preserve"> </w:t>
            </w:r>
            <w:r>
              <w:rPr>
                <w:rFonts w:eastAsia="Times New Roman" w:cs="Times New Roman" w:ascii="Times New Roman" w:hAnsi="Times New Roman"/>
                <w:bCs/>
                <w:color w:val="000000"/>
                <w:sz w:val="28"/>
                <w:szCs w:val="28"/>
                <w:lang w:eastAsia="uk-UA"/>
              </w:rPr>
              <w:t>(інші джерела    фінансування)</w:t>
            </w:r>
          </w:p>
        </w:tc>
        <w:tc>
          <w:tcPr>
            <w:tcW w:w="1808"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asciiTheme="majorBidi" w:cstheme="majorBidi" w:hAnsiTheme="majorBidi"/>
                <w:bCs/>
                <w:color w:val="000000"/>
                <w:sz w:val="24"/>
                <w:szCs w:val="24"/>
              </w:rPr>
            </w:pPr>
            <w:r>
              <w:rPr>
                <w:rFonts w:eastAsia="Times New Roman" w:cs="Times New Roman" w:ascii="Times New Roman" w:hAnsi="Times New Roman" w:asciiTheme="majorBidi" w:cstheme="majorBidi" w:hAnsiTheme="majorBidi"/>
                <w:bCs/>
                <w:color w:val="000000"/>
                <w:sz w:val="24"/>
                <w:szCs w:val="24"/>
                <w:lang w:eastAsia="uk-UA"/>
              </w:rPr>
              <w:t>2700 704,8</w:t>
            </w:r>
          </w:p>
        </w:tc>
        <w:tc>
          <w:tcPr>
            <w:tcW w:w="1593"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lang w:eastAsia="uk-UA"/>
              </w:rPr>
              <w:t>650 154,9</w:t>
            </w:r>
          </w:p>
        </w:tc>
        <w:tc>
          <w:tcPr>
            <w:tcW w:w="1417"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lang w:eastAsia="uk-UA"/>
              </w:rPr>
              <w:t>1 024 374,3</w:t>
            </w:r>
          </w:p>
        </w:tc>
        <w:tc>
          <w:tcPr>
            <w:tcW w:w="1559" w:type="dxa"/>
            <w:tcBorders/>
            <w:shd w:fill="auto" w:val="clear"/>
            <w:tcMar>
              <w:left w:w="108" w:type="dxa"/>
            </w:tcMar>
          </w:tcPr>
          <w:p>
            <w:pPr>
              <w:pStyle w:val="Normal"/>
              <w:spacing w:lineRule="auto" w:line="240" w:before="0" w:after="0"/>
              <w:jc w:val="center"/>
              <w:rPr>
                <w:rFonts w:ascii="Times New Roman" w:hAnsi="Times New Roman" w:eastAsia="Times New Roman" w:cs="Times New Roman"/>
                <w:bCs/>
                <w:color w:val="000000"/>
                <w:sz w:val="24"/>
                <w:szCs w:val="24"/>
              </w:rPr>
            </w:pPr>
            <w:r>
              <w:rPr>
                <w:rFonts w:eastAsia="Times New Roman" w:cs="Times New Roman" w:ascii="Times New Roman" w:hAnsi="Times New Roman"/>
                <w:bCs/>
                <w:color w:val="000000"/>
                <w:sz w:val="24"/>
                <w:szCs w:val="24"/>
                <w:lang w:eastAsia="uk-UA"/>
              </w:rPr>
              <w:t>1 026 175,6</w:t>
            </w:r>
          </w:p>
        </w:tc>
      </w:tr>
    </w:tbl>
    <w:p>
      <w:pPr>
        <w:pStyle w:val="Normal"/>
        <w:rPr>
          <w:rStyle w:val="11"/>
          <w:rFonts w:ascii="Times New Roman" w:hAnsi="Times New Roman" w:cs="Times New Roman"/>
          <w:b w:val="false"/>
          <w:b w:val="false"/>
          <w:color w:val="00000A"/>
        </w:rPr>
      </w:pPr>
      <w:r>
        <w:rPr>
          <w:rFonts w:cs="Times New Roman" w:ascii="Times New Roman" w:hAnsi="Times New Roman"/>
          <w:b w:val="false"/>
          <w:color w:val="00000A"/>
        </w:rPr>
      </w:r>
    </w:p>
    <w:p>
      <w:pPr>
        <w:pStyle w:val="Normal"/>
        <w:spacing w:lineRule="auto" w:line="240" w:before="0" w:after="0"/>
        <w:ind w:right="0" w:firstLine="720"/>
        <w:jc w:val="center"/>
        <w:rPr>
          <w:rFonts w:ascii="Times New Roman" w:hAnsi="Times New Roman" w:cs="Times New Roman"/>
          <w:sz w:val="28"/>
          <w:szCs w:val="28"/>
        </w:rPr>
      </w:pPr>
      <w:r>
        <w:rPr>
          <w:rFonts w:cs="Times New Roman" w:ascii="Times New Roman" w:hAnsi="Times New Roman"/>
          <w:sz w:val="28"/>
          <w:szCs w:val="28"/>
        </w:rPr>
      </w:r>
      <w:r>
        <w:br w:type="page"/>
      </w:r>
    </w:p>
    <w:p>
      <w:pPr>
        <w:pStyle w:val="Normal"/>
        <w:keepNext/>
        <w:keepLines/>
        <w:numPr>
          <w:ilvl w:val="0"/>
          <w:numId w:val="0"/>
        </w:numPr>
        <w:spacing w:before="480" w:after="0"/>
        <w:jc w:val="center"/>
        <w:outlineLvl w:val="0"/>
        <w:rPr>
          <w:rFonts w:ascii="Times New Roman" w:hAnsi="Times New Roman" w:eastAsia="Times New Roman" w:cs="Times New Roman"/>
          <w:bCs/>
          <w:sz w:val="28"/>
          <w:szCs w:val="28"/>
        </w:rPr>
      </w:pPr>
      <w:bookmarkStart w:id="1" w:name="_Toc431397861"/>
      <w:bookmarkStart w:id="2" w:name="_Toc429477651"/>
      <w:r>
        <w:rPr>
          <w:rFonts w:eastAsia="Times New Roman" w:cs="Times New Roman" w:ascii="Times New Roman" w:hAnsi="Times New Roman"/>
          <w:bCs/>
          <w:sz w:val="28"/>
          <w:szCs w:val="28"/>
        </w:rPr>
        <w:t>Визначення проблеми, на розв’язання якої спрямовано Програм</w:t>
      </w:r>
      <w:bookmarkEnd w:id="2"/>
      <w:r>
        <w:rPr>
          <w:rFonts w:eastAsia="Times New Roman" w:cs="Times New Roman" w:ascii="Times New Roman" w:hAnsi="Times New Roman"/>
          <w:bCs/>
          <w:sz w:val="28"/>
          <w:szCs w:val="28"/>
        </w:rPr>
        <w:t>у</w:t>
      </w:r>
    </w:p>
    <w:p>
      <w:pPr>
        <w:pStyle w:val="Normal"/>
        <w:rPr>
          <w:rFonts w:ascii="Calibri" w:hAnsi="Calibri" w:eastAsia="Calibri" w:cs="Times New Roman"/>
        </w:rPr>
      </w:pPr>
      <w:r>
        <w:rPr>
          <w:rFonts w:eastAsia="Calibri" w:cs="Times New Roman"/>
        </w:rPr>
      </w:r>
    </w:p>
    <w:p>
      <w:pPr>
        <w:pStyle w:val="Normal"/>
        <w:spacing w:before="0" w:after="0"/>
        <w:ind w:firstLine="709"/>
        <w:jc w:val="both"/>
        <w:rPr>
          <w:rFonts w:ascii="Times New Roman" w:hAnsi="Times New Roman" w:eastAsia="Calibri" w:cs="Times New Roman"/>
          <w:sz w:val="28"/>
          <w:szCs w:val="28"/>
        </w:rPr>
      </w:pPr>
      <w:bookmarkStart w:id="3" w:name="_Toc429477652"/>
      <w:r>
        <w:rPr>
          <w:rFonts w:eastAsia="Calibri" w:cs="Times New Roman" w:ascii="Times New Roman" w:hAnsi="Times New Roman"/>
          <w:sz w:val="28"/>
          <w:szCs w:val="28"/>
        </w:rPr>
        <w:t>Освіта – одна з найважливіших сфер у житті столиці України. Вона відображає рівень розвитку міста як одного з найбільших наукових та освітніх центрів Східної Європи. У Києві функціонують 69 вищих навчальних закладів та майже 350 наукових установ, у яких працюють 1,5 тисячі академіків і членів-кореспондентів, 6 тисяч докторів наук, 24,5 тисячі кандидатів наук, понад 120 тисяч педагогічних працівників. Система освіти значною мірою визначає соціально-економічний, культурний та духовний розвиток столиці України.</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У Києві до навчання залучено понад 700 тисяч осіб, серед яких: 450 тисяч – студенти вищих навчальних закладів, 18,3 тисячі – учні професійно-технічних навчальних закладів, 241,1 тисячі – учні загальноосвітніх навчальних закладів, 105 тисяч – вихованці дошкільних навчальних закладів. Отже, кожен третій киянин навчається, що визначає освіту як стратегічний пріоритет, де сконцентровано найбільшу кількість мешканців столиці.</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Забезпечуючи розвиток людського капіталу, освіта, крім того, відіграє позитивну роль у сфері економіки столиці. Значна концентрація навчальних закладів приваблює до Києва молодих людей з усієї країни та зарубіжжя. Вони стають замовниками й споживачами послуг в освітній, соціокультурній, економічній сферах, що позитивно впливає на розвиток міста. </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Міська комплексна цільова програма «Освіта Києва. 2016 – 2018 роки» орієнтована на розширення доступу громадян до якісної освіти в дошкільних, загальноосвітніх, позашкільних, професійно-технічних, вищих навчальних закладах, які належать до комунальної власності територіальної громади столиці. Програма передбачає також створення єдиного освітнього простору з системою приватної та  сімейної освіти столиці.</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Програма ґрунтується на розумінні сфери </w:t>
      </w:r>
      <w:r>
        <w:rPr>
          <w:rFonts w:eastAsia="Calibri" w:cs="Times New Roman" w:ascii="Times New Roman" w:hAnsi="Times New Roman"/>
          <w:sz w:val="28"/>
          <w:szCs w:val="28"/>
          <w:u w:val="single"/>
        </w:rPr>
        <w:t>освіти столиці як стратегічного  ресурсу, що безпосередньо забезпечує перехід  до інноваційної моделі сталого розвитку мегаполісу через формування та розвиток людського капіталу.</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Програма враховує позитивний досвід попередніх періодів і виходить із того, що в Києві:</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сформовано мережу навчальних закладів дошкільної, загальної середньої, позашкільної, професійно-технічної та вищої освіти, яка забезпечує потреби столиці та України в цілому;</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створено систему підготовки, підвищення кваліфікації педагогічних, науково-педагогічних і наукових  кадрів;</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започатковано перехід до професіоналізації управління навчальними закладами та до конкурсного відбору керівників;</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упроваджено цифрові та мультимедійні технології в освітній процес;</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підвищено якість освіти в навчальних закладах столиці;</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створено сучасний провідний науково-методичний і освітній центр столиці – Київський університет імені Бориса Грінченка.</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lang w:eastAsia="ru-RU"/>
        </w:rPr>
        <w:t xml:space="preserve">Програма враховує положення Стратегії розвитку міста Києва до 2025 року, затвердженої рішенням Київської міської ради від 15.12.2011 № 824/7060. </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Програма спрямована на розв’язання основних проблем у сфері освіти столиці:</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управління освітою, орієнтоване на підтримку функціонування системи освіти, а не на її розвиток;</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диспропорція між фінансуванням утримання мережі навчальних закладів та фінансуванням розвитку людського капіталу;</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недостатня якість освітніх послуг та порушення принципу рівного доступу до якісної освіти;</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невідповідність між можливостями сучасних технологій та станом інформаційно-аналітичного забезпечення освіти столиці;</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наявність значної кількості нерозв’язаних соціальних проблем всіх учасників навчально-виховного процесу.</w:t>
      </w:r>
    </w:p>
    <w:p>
      <w:pPr>
        <w:pStyle w:val="Normal"/>
        <w:keepNext/>
        <w:keepLines/>
        <w:numPr>
          <w:ilvl w:val="0"/>
          <w:numId w:val="0"/>
        </w:numPr>
        <w:spacing w:before="0" w:after="0"/>
        <w:outlineLvl w:val="0"/>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xml:space="preserve">       </w:t>
      </w:r>
    </w:p>
    <w:p>
      <w:pPr>
        <w:pStyle w:val="Normal"/>
        <w:keepNext/>
        <w:keepLines/>
        <w:numPr>
          <w:ilvl w:val="0"/>
          <w:numId w:val="0"/>
        </w:numPr>
        <w:spacing w:before="0" w:after="0"/>
        <w:jc w:val="center"/>
        <w:outlineLvl w:val="0"/>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xml:space="preserve">Обґрунтування шляхів і засобів розв’язання проблеми </w:t>
      </w:r>
    </w:p>
    <w:p>
      <w:pPr>
        <w:pStyle w:val="Normal"/>
        <w:keepNext/>
        <w:keepLines/>
        <w:numPr>
          <w:ilvl w:val="0"/>
          <w:numId w:val="0"/>
        </w:numPr>
        <w:spacing w:before="0" w:after="0"/>
        <w:jc w:val="center"/>
        <w:outlineLvl w:val="0"/>
        <w:rPr>
          <w:rFonts w:ascii="Times New Roman" w:hAnsi="Times New Roman" w:eastAsia="Times New Roman" w:cs="Times New Roman"/>
          <w:bCs/>
          <w:sz w:val="28"/>
          <w:szCs w:val="28"/>
        </w:rPr>
      </w:pPr>
      <w:bookmarkStart w:id="4" w:name="_Toc429477652"/>
      <w:bookmarkEnd w:id="4"/>
      <w:r>
        <w:rPr>
          <w:rFonts w:eastAsia="Times New Roman" w:cs="Times New Roman" w:ascii="Times New Roman" w:hAnsi="Times New Roman"/>
          <w:bCs/>
          <w:sz w:val="28"/>
          <w:szCs w:val="28"/>
        </w:rPr>
        <w:t>та строки виконання Програми</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Розв’язання зазначених проблем можна здійснити через  формування єдиного інноваційного простору столичної освіти.  В умовах динамічного розвитку суспільства, глобальної взаємозалежності й конкуренції на ринку праці сфера освіти має перейти до широкого використання інформаційних ресурсів та можливостей сучасних інформаційних технологій. </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Упровадження інформаційно-комунікаційних технологій в управління освітою та освітній процес забезпечить вільний доступ до великих обсягів інформації, сприятиме відкриттю нових технологічних можливостей для розвитку освіти, позитивно впливатиме на професійний розвиток педагогів та набуття ними нових компетенцій, розширить можливості доступності якісної освіти для киян і партнерства між усіма учасниками навчально-виховного процесу.</w:t>
      </w:r>
    </w:p>
    <w:p>
      <w:pPr>
        <w:pStyle w:val="Normal"/>
        <w:spacing w:before="0" w:after="0"/>
        <w:ind w:firstLine="709"/>
        <w:jc w:val="both"/>
        <w:rPr>
          <w:rFonts w:ascii="Times New Roman" w:hAnsi="Times New Roman" w:eastAsia="Calibri" w:cs="Times New Roman"/>
          <w:b/>
          <w:b/>
          <w:sz w:val="28"/>
          <w:szCs w:val="28"/>
        </w:rPr>
      </w:pPr>
      <w:r>
        <w:rPr>
          <w:rFonts w:eastAsia="Calibri" w:cs="Times New Roman" w:ascii="Times New Roman" w:hAnsi="Times New Roman"/>
          <w:sz w:val="28"/>
          <w:szCs w:val="28"/>
        </w:rPr>
        <w:t>Згідно з Програмою  спільною метою всіх учасників навчально-виховного процесу має стати створення найкращих умов для організації освітнього процесу, забезпечення особистісного розвитку та формування необхідних життєвих навичок вихованців та учнів, підготовка їх до гідного самостійного життя на основі вибраних цінностей.</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Столична освіта потребує впровадження нових за характером та змістом відносин між усіма учасниками навчально-виховного процесу, що базуються на взаємоповазі, визнанні прав та відповідальності кожної зі сторін. Вони передбачають вільний і відкритий обмін думками, спільне обговорення актуальних та складних проблем, вирішення яких потребує скоординованих дій та консолідацію можливостей і зусиль з усіма іншими інституціями, що мають ресурси для розвитку дітей.</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Ключова роль у системі освіти належить педагогу, який втілює концепції, програми,  проекти, державні освітні стандарти та забезпечує гармонійний розвиток  особистості. Отже, Програма передбачає розв’язання проблем педагога, який потребує  особливої уваги з боку виконавчого органу Київської міської ради Київської міської державної адміністрації.</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Реалізувати Програму заплановано протягом 2016 – 2018 років, це дасть можливість використати середньострокові прогнози розвитку системи освіти.</w:t>
      </w:r>
    </w:p>
    <w:p>
      <w:pPr>
        <w:pStyle w:val="Normal"/>
        <w:keepNext/>
        <w:keepLines/>
        <w:numPr>
          <w:ilvl w:val="0"/>
          <w:numId w:val="0"/>
        </w:numPr>
        <w:spacing w:before="480" w:after="0"/>
        <w:jc w:val="center"/>
        <w:outlineLvl w:val="0"/>
        <w:rPr>
          <w:rFonts w:ascii="Times New Roman" w:hAnsi="Times New Roman" w:eastAsia="Times New Roman" w:cs="Times New Roman"/>
          <w:bCs/>
          <w:sz w:val="28"/>
          <w:szCs w:val="28"/>
        </w:rPr>
      </w:pPr>
      <w:bookmarkStart w:id="5" w:name="_Toc429477653"/>
      <w:bookmarkEnd w:id="5"/>
      <w:r>
        <w:rPr>
          <w:rFonts w:eastAsia="Times New Roman" w:cs="Times New Roman" w:ascii="Times New Roman" w:hAnsi="Times New Roman"/>
          <w:bCs/>
          <w:sz w:val="28"/>
          <w:szCs w:val="28"/>
        </w:rPr>
        <w:t>Визначення мети Програми</w:t>
      </w:r>
    </w:p>
    <w:p>
      <w:pPr>
        <w:pStyle w:val="Normal"/>
        <w:spacing w:before="0" w:after="0"/>
        <w:ind w:firstLine="709"/>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p>
      <w:pPr>
        <w:pStyle w:val="Normal"/>
        <w:spacing w:before="0" w:after="0"/>
        <w:ind w:firstLine="709"/>
        <w:jc w:val="both"/>
        <w:rPr>
          <w:rFonts w:ascii="Times New Roman" w:hAnsi="Times New Roman" w:eastAsia="Calibri" w:cs="Times New Roman"/>
          <w:sz w:val="28"/>
          <w:szCs w:val="28"/>
        </w:rPr>
      </w:pPr>
      <w:r>
        <w:rPr>
          <w:rFonts w:eastAsia="Times New Roman" w:cs="Times New Roman" w:ascii="Times New Roman" w:hAnsi="Times New Roman"/>
          <w:color w:val="000000"/>
          <w:sz w:val="28"/>
          <w:szCs w:val="28"/>
          <w:lang w:eastAsia="uk-UA"/>
        </w:rPr>
        <w:t>Мета Програми – </w:t>
      </w:r>
      <w:r>
        <w:rPr>
          <w:rFonts w:eastAsia="Calibri" w:cs="Times New Roman" w:ascii="Times New Roman" w:hAnsi="Times New Roman"/>
          <w:sz w:val="28"/>
          <w:szCs w:val="28"/>
        </w:rPr>
        <w:t>розширення сприятливих умов та можливостей для всебічного розвитку людини у відкритому освітньому просторі столиці, забезпечення переходу до інноваційної  освіти в місті Києві.</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Досягти означеної мети можливо за умови виконання наступних завдань:</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забезпечення професійного розвитку педагогів;</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 xml:space="preserve">ефективного використання наявних та залучення нових ресурсів; </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 xml:space="preserve">забезпечення доступності й відкритості освіти;  </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розвитку інфраструктури освіти;</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 xml:space="preserve">професіоналізації та інформатизації управління освітою; </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автономії навчальних закладів;</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розширення взаємодії з громадськими організаціями;</w:t>
      </w:r>
    </w:p>
    <w:p>
      <w:pPr>
        <w:pStyle w:val="Normal"/>
        <w:spacing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bookmarkStart w:id="6" w:name="_Toc429477654"/>
      <w:r>
        <w:rPr>
          <w:rFonts w:eastAsia="Calibri" w:cs="Times New Roman" w:ascii="Times New Roman" w:hAnsi="Times New Roman"/>
          <w:sz w:val="28"/>
          <w:szCs w:val="28"/>
        </w:rPr>
        <w:t>сприяння сімейній освіті.</w:t>
      </w:r>
    </w:p>
    <w:p>
      <w:pPr>
        <w:pStyle w:val="Normal"/>
        <w:spacing w:before="0" w:after="0"/>
        <w:jc w:val="both"/>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spacing w:before="0" w:after="0"/>
        <w:jc w:val="center"/>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Напрями діяльності, перелік завдань і заходів Програми</w:t>
      </w:r>
    </w:p>
    <w:p>
      <w:pPr>
        <w:pStyle w:val="Normal"/>
        <w:spacing w:before="0" w:after="0"/>
        <w:jc w:val="center"/>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та результативні показники</w:t>
      </w:r>
    </w:p>
    <w:p>
      <w:pPr>
        <w:pStyle w:val="Normal"/>
        <w:spacing w:before="0" w:after="0"/>
        <w:ind w:firstLine="709"/>
        <w:jc w:val="both"/>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r>
    </w:p>
    <w:p>
      <w:pPr>
        <w:pStyle w:val="Normal"/>
        <w:spacing w:before="0" w:after="0"/>
        <w:ind w:firstLine="709"/>
        <w:jc w:val="both"/>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xml:space="preserve">Напрями діяльності Програми містять перелік конкретних заходів, спрямованих на виконання завдань Програми, з визначенням виконавців, строків виконання з розбивкою за роками, джерел фінансування кожного із заходів та очікуваних результатів. </w:t>
      </w:r>
    </w:p>
    <w:p>
      <w:pPr>
        <w:pStyle w:val="Normal"/>
        <w:spacing w:before="0" w:after="0"/>
        <w:ind w:firstLine="709"/>
        <w:jc w:val="both"/>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xml:space="preserve">Напрями діяльності розроблені для кожної підпрограми, що є структурною одиницею Програми і відповідає завданням і функціям замовника Програми – Департаменту освіти і науки, молоді та спорту. </w:t>
      </w:r>
    </w:p>
    <w:p>
      <w:pPr>
        <w:pStyle w:val="Normal"/>
        <w:keepNext/>
        <w:keepLines/>
        <w:numPr>
          <w:ilvl w:val="0"/>
          <w:numId w:val="0"/>
        </w:numPr>
        <w:spacing w:before="0" w:after="0"/>
        <w:ind w:firstLine="708"/>
        <w:jc w:val="both"/>
        <w:outlineLvl w:val="0"/>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 xml:space="preserve">До кожної підпрограми розроблені очікувані показники, які характеризують якісні та кількісні результати виконання завдань і заходів та поділяються на групи: показники витрат, показники продукту та показники ефективності. </w:t>
      </w:r>
    </w:p>
    <w:p>
      <w:pPr>
        <w:pStyle w:val="Normal"/>
        <w:keepNext/>
        <w:keepLines/>
        <w:numPr>
          <w:ilvl w:val="0"/>
          <w:numId w:val="0"/>
        </w:numPr>
        <w:spacing w:before="480" w:after="0"/>
        <w:jc w:val="center"/>
        <w:outlineLvl w:val="0"/>
        <w:rPr>
          <w:rFonts w:ascii="Times New Roman" w:hAnsi="Times New Roman" w:eastAsia="Times New Roman" w:cs="Times New Roman"/>
          <w:bCs/>
          <w:sz w:val="28"/>
          <w:szCs w:val="28"/>
        </w:rPr>
      </w:pPr>
      <w:r>
        <w:rPr>
          <w:rFonts w:eastAsia="Times New Roman" w:cs="Times New Roman" w:ascii="Times New Roman" w:hAnsi="Times New Roman"/>
          <w:bCs/>
          <w:sz w:val="28"/>
          <w:szCs w:val="28"/>
        </w:rPr>
        <w:t>Координація Програми та контроль за її виконання</w:t>
      </w:r>
      <w:bookmarkEnd w:id="6"/>
      <w:r>
        <w:rPr>
          <w:rFonts w:eastAsia="Times New Roman" w:cs="Times New Roman" w:ascii="Times New Roman" w:hAnsi="Times New Roman"/>
          <w:bCs/>
          <w:sz w:val="28"/>
          <w:szCs w:val="28"/>
        </w:rPr>
        <w:t>м</w:t>
      </w:r>
    </w:p>
    <w:p>
      <w:pPr>
        <w:pStyle w:val="Normal"/>
        <w:spacing w:beforeAutospacing="1" w:after="0"/>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Координацію реалізації Програми здійснює заступник голови Київської міської державної адміністрації згідно з розподілом обов’язків. Він координує дії виконавців Програми та контролює її виконання, визначає порядок взаємного інформування (із зазначенням конкретних термінів), звітування тощо.</w:t>
      </w:r>
    </w:p>
    <w:p>
      <w:pPr>
        <w:pStyle w:val="Normal"/>
        <w:spacing w:lineRule="auto" w:line="288"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Виконання Програми здійснюється шляхом реалізації її завдань і заходів співвиконавцями, зазначеними в цій Програмі, серед яких: структурні підрозділи виконавчого органу Київської міської ради (Київської міської державної адміністрації), навчальні заклади комунальної форми власності міста Києва.</w:t>
      </w:r>
    </w:p>
    <w:p>
      <w:pPr>
        <w:pStyle w:val="Normal"/>
        <w:spacing w:lineRule="auto" w:line="288"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Безпосередній контроль за виконанням завдань і заходів Програми, цільовим й ефективним використанням коштів здійснює відповідальний виконавець – Департамент освіти і науки, молоді та спорту виконавчого органу Київської міської ради (Київської міської державної адміністрації), який є і головним розпорядником бюджетних коштів (далі Департамент). </w:t>
      </w:r>
    </w:p>
    <w:p>
      <w:pPr>
        <w:pStyle w:val="Normal"/>
        <w:spacing w:lineRule="auto" w:line="288"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Департамент забезпечує моніторинг виконання Програми й підготовку  звітної та аналітичної інформації.</w:t>
      </w:r>
    </w:p>
    <w:p>
      <w:pPr>
        <w:pStyle w:val="Normal"/>
        <w:spacing w:lineRule="auto" w:line="288"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Департамент щороку здійснює ґрунтовний аналіз результатів виконання Програми та, у разі потреби, розробляє пропозиції щодо доцільності продовження тих чи інших заходів, включення додаткових заходів і завдань, уточнення показників, обсягів і джерел фінансування, переліку виконавців, термінів виконання Програми та окремих її завдань і заходів тощо.</w:t>
      </w:r>
    </w:p>
    <w:p>
      <w:pPr>
        <w:pStyle w:val="Normal"/>
        <w:spacing w:lineRule="auto" w:line="288"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За ініціативи Київської міської ради, виконавчого органу Київської міської ради (Київської міської державної адміністрації), замовника або головного розпорядника коштів Програми розгляд проміжного звіту про хід виконання Програми, ефективність реалізації її завдань і заходів, досягнення проміжних цілей та ефективність використання коштів протягом року може розглядатися на сесіях Київської міської ради та на засіданнях відповідних профільних постійних комісій Київської міської ради. </w:t>
      </w:r>
    </w:p>
    <w:p>
      <w:pPr>
        <w:pStyle w:val="Normal"/>
        <w:spacing w:lineRule="auto" w:line="288" w:before="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За результатами реалізації Програми відповідальний виконавець складає заключний звіт про її виконання та подає його разом із пояснювальною запискою на розгляд сесії Київської міської ради не пізніше ніж у двомісячний термін після закінчення встановленого строку її виконання.</w:t>
      </w:r>
    </w:p>
    <w:p>
      <w:pPr>
        <w:pStyle w:val="1"/>
        <w:jc w:val="center"/>
        <w:rPr>
          <w:rFonts w:ascii="Times New Roman" w:hAnsi="Times New Roman" w:cs="Times New Roman"/>
          <w:b w:val="false"/>
          <w:b w:val="false"/>
          <w:color w:val="00000A"/>
        </w:rPr>
      </w:pPr>
      <w:bookmarkStart w:id="7" w:name="_Toc431397861"/>
      <w:bookmarkEnd w:id="7"/>
      <w:r>
        <w:rPr>
          <w:rFonts w:cs="Times New Roman" w:ascii="Times New Roman" w:hAnsi="Times New Roman"/>
          <w:b w:val="false"/>
          <w:color w:val="00000A"/>
        </w:rPr>
        <w:t>Ресурсне забезпечення виконання Програми: обсяги та джерела фінансування</w:t>
      </w:r>
    </w:p>
    <w:p>
      <w:pPr>
        <w:pStyle w:val="Normal"/>
        <w:rPr/>
      </w:pPr>
      <w:r>
        <w:rPr/>
      </w:r>
    </w:p>
    <w:tbl>
      <w:tblPr>
        <w:tblW w:w="10496" w:type="dxa"/>
        <w:jc w:val="left"/>
        <w:tblInd w:w="-34" w:type="dxa"/>
        <w:tblBorders/>
        <w:tblCellMar>
          <w:top w:w="0" w:type="dxa"/>
          <w:left w:w="108" w:type="dxa"/>
          <w:bottom w:w="0" w:type="dxa"/>
          <w:right w:w="108" w:type="dxa"/>
        </w:tblCellMar>
        <w:tblLook w:firstRow="1" w:noVBand="1" w:lastRow="0" w:firstColumn="1" w:lastColumn="0" w:noHBand="0" w:val="04a0"/>
      </w:tblPr>
      <w:tblGrid>
        <w:gridCol w:w="2976"/>
        <w:gridCol w:w="1714"/>
        <w:gridCol w:w="1842"/>
        <w:gridCol w:w="1832"/>
        <w:gridCol w:w="2132"/>
      </w:tblGrid>
      <w:tr>
        <w:trPr>
          <w:trHeight w:val="348" w:hRule="atLeast"/>
        </w:trPr>
        <w:tc>
          <w:tcPr>
            <w:tcW w:w="2976" w:type="dxa"/>
            <w:tcBorders/>
            <w:shd w:color="auto" w:fill="auto" w:val="clear"/>
            <w:vAlign w:val="bottom"/>
          </w:tcPr>
          <w:p>
            <w:pPr>
              <w:pStyle w:val="Normal"/>
              <w:spacing w:lineRule="auto" w:line="240" w:before="0" w:after="0"/>
              <w:rPr>
                <w:rFonts w:ascii="Times New Roman" w:hAnsi="Times New Roman" w:eastAsia="Times New Roman" w:cs="Times New Roman"/>
                <w:color w:val="000000"/>
                <w:lang w:eastAsia="uk-UA"/>
              </w:rPr>
            </w:pPr>
            <w:r>
              <w:rPr>
                <w:rFonts w:eastAsia="Times New Roman" w:cs="Times New Roman" w:ascii="Times New Roman" w:hAnsi="Times New Roman"/>
                <w:color w:val="000000"/>
                <w:lang w:eastAsia="uk-UA"/>
              </w:rPr>
            </w:r>
          </w:p>
        </w:tc>
        <w:tc>
          <w:tcPr>
            <w:tcW w:w="1714" w:type="dxa"/>
            <w:tcBorders/>
            <w:shd w:color="auto" w:fill="auto" w:val="clear"/>
            <w:vAlign w:val="bottom"/>
          </w:tcPr>
          <w:p>
            <w:pPr>
              <w:pStyle w:val="Normal"/>
              <w:spacing w:lineRule="auto" w:line="240" w:before="0" w:after="0"/>
              <w:rPr>
                <w:rFonts w:ascii="Times New Roman" w:hAnsi="Times New Roman" w:eastAsia="Times New Roman" w:cs="Times New Roman"/>
                <w:color w:val="000000"/>
                <w:lang w:eastAsia="uk-UA"/>
              </w:rPr>
            </w:pPr>
            <w:r>
              <w:rPr>
                <w:rFonts w:eastAsia="Times New Roman" w:cs="Times New Roman" w:ascii="Times New Roman" w:hAnsi="Times New Roman"/>
                <w:color w:val="000000"/>
                <w:lang w:eastAsia="uk-UA"/>
              </w:rPr>
            </w:r>
          </w:p>
        </w:tc>
        <w:tc>
          <w:tcPr>
            <w:tcW w:w="1842" w:type="dxa"/>
            <w:tcBorders/>
            <w:shd w:color="auto" w:fill="auto" w:val="clear"/>
            <w:vAlign w:val="bottom"/>
          </w:tcPr>
          <w:p>
            <w:pPr>
              <w:pStyle w:val="Normal"/>
              <w:spacing w:lineRule="auto" w:line="240" w:before="0" w:after="0"/>
              <w:rPr>
                <w:rFonts w:ascii="Times New Roman" w:hAnsi="Times New Roman" w:eastAsia="Times New Roman" w:cs="Times New Roman"/>
                <w:color w:val="000000"/>
                <w:lang w:eastAsia="uk-UA"/>
              </w:rPr>
            </w:pPr>
            <w:r>
              <w:rPr>
                <w:rFonts w:eastAsia="Times New Roman" w:cs="Times New Roman" w:ascii="Times New Roman" w:hAnsi="Times New Roman"/>
                <w:color w:val="000000"/>
                <w:lang w:eastAsia="uk-UA"/>
              </w:rPr>
            </w:r>
          </w:p>
        </w:tc>
        <w:tc>
          <w:tcPr>
            <w:tcW w:w="1832" w:type="dxa"/>
            <w:tcBorders/>
            <w:shd w:color="auto" w:fill="auto" w:val="clear"/>
            <w:vAlign w:val="bottom"/>
          </w:tcPr>
          <w:p>
            <w:pPr>
              <w:pStyle w:val="Normal"/>
              <w:spacing w:lineRule="auto" w:line="240" w:before="0" w:after="0"/>
              <w:rPr>
                <w:rFonts w:ascii="Times New Roman" w:hAnsi="Times New Roman" w:eastAsia="Times New Roman" w:cs="Times New Roman"/>
                <w:color w:val="000000"/>
                <w:lang w:eastAsia="uk-UA"/>
              </w:rPr>
            </w:pPr>
            <w:r>
              <w:rPr>
                <w:rFonts w:eastAsia="Times New Roman" w:cs="Times New Roman" w:ascii="Times New Roman" w:hAnsi="Times New Roman"/>
                <w:color w:val="000000"/>
                <w:lang w:eastAsia="uk-UA"/>
              </w:rPr>
            </w:r>
          </w:p>
        </w:tc>
        <w:tc>
          <w:tcPr>
            <w:tcW w:w="2132" w:type="dxa"/>
            <w:tcBorders/>
            <w:shd w:color="auto" w:fill="auto" w:val="clear"/>
            <w:vAlign w:val="center"/>
          </w:tcPr>
          <w:p>
            <w:pPr>
              <w:pStyle w:val="Normal"/>
              <w:spacing w:lineRule="auto" w:line="240" w:before="0" w:after="0"/>
              <w:jc w:val="right"/>
              <w:rPr>
                <w:rFonts w:ascii="Times New Roman" w:hAnsi="Times New Roman" w:eastAsia="Times New Roman" w:cs="Times New Roman"/>
                <w:color w:val="000000"/>
                <w:sz w:val="26"/>
                <w:szCs w:val="26"/>
                <w:lang w:eastAsia="uk-UA"/>
              </w:rPr>
            </w:pPr>
            <w:r>
              <w:rPr>
                <w:rFonts w:eastAsia="Times New Roman" w:cs="Times New Roman" w:ascii="Times New Roman" w:hAnsi="Times New Roman"/>
                <w:color w:val="000000"/>
                <w:sz w:val="26"/>
                <w:szCs w:val="26"/>
                <w:lang w:eastAsia="uk-UA"/>
              </w:rPr>
              <w:t>тис. грн.</w:t>
            </w:r>
          </w:p>
        </w:tc>
      </w:tr>
      <w:tr>
        <w:trPr>
          <w:trHeight w:val="2130" w:hRule="atLeast"/>
        </w:trPr>
        <w:tc>
          <w:tcPr>
            <w:tcW w:w="297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Обсяг коштів на виконання Програми</w:t>
            </w:r>
          </w:p>
        </w:tc>
        <w:tc>
          <w:tcPr>
            <w:tcW w:w="1714"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2016 рік</w:t>
            </w:r>
          </w:p>
        </w:tc>
        <w:tc>
          <w:tcPr>
            <w:tcW w:w="1842"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2017 рік</w:t>
            </w:r>
          </w:p>
        </w:tc>
        <w:tc>
          <w:tcPr>
            <w:tcW w:w="1832"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2018 рік</w:t>
            </w:r>
          </w:p>
        </w:tc>
        <w:tc>
          <w:tcPr>
            <w:tcW w:w="2132" w:type="dxa"/>
            <w:tcBorders>
              <w:top w:val="single" w:sz="8" w:space="0" w:color="00000A"/>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Усього витрат на виконання програми</w:t>
            </w:r>
          </w:p>
        </w:tc>
      </w:tr>
      <w:tr>
        <w:trPr>
          <w:trHeight w:val="1740" w:hRule="atLeast"/>
        </w:trPr>
        <w:tc>
          <w:tcPr>
            <w:tcW w:w="2976" w:type="dxa"/>
            <w:tcBorders>
              <w:left w:val="single" w:sz="8" w:space="0" w:color="00000A"/>
              <w:right w:val="single" w:sz="8" w:space="0" w:color="00000A"/>
              <w:insideV w:val="single" w:sz="8" w:space="0" w:color="00000A"/>
            </w:tcBorders>
            <w:shd w:color="auto" w:fill="auto" w:val="clear"/>
            <w:tcMar>
              <w:left w:w="98" w:type="dxa"/>
            </w:tcMar>
            <w:vAlign w:val="center"/>
          </w:tcPr>
          <w:p>
            <w:pPr>
              <w:pStyle w:val="Normal"/>
              <w:spacing w:lineRule="auto" w:line="240" w:before="0" w:after="0"/>
              <w:rPr>
                <w:rFonts w:ascii="Times New Roman" w:hAnsi="Times New Roman" w:eastAsia="Times New Roman" w:cs="Times New Roman"/>
                <w:bCs/>
                <w:color w:val="000000"/>
                <w:sz w:val="26"/>
                <w:szCs w:val="26"/>
                <w:lang w:eastAsia="uk-UA"/>
              </w:rPr>
            </w:pPr>
            <w:r>
              <w:rPr>
                <w:rFonts w:eastAsia="Times New Roman" w:cs="Times New Roman" w:ascii="Times New Roman" w:hAnsi="Times New Roman"/>
                <w:bCs/>
                <w:color w:val="000000"/>
                <w:sz w:val="26"/>
                <w:szCs w:val="26"/>
                <w:lang w:eastAsia="uk-UA"/>
              </w:rPr>
              <w:t>Загальний обсяг фінансових ресурсів, необхідних для реалізації Програми,</w:t>
            </w:r>
            <w:r>
              <w:rPr>
                <w:rFonts w:eastAsia="Times New Roman" w:cs="Times New Roman" w:ascii="Times New Roman" w:hAnsi="Times New Roman"/>
                <w:color w:val="000000"/>
                <w:sz w:val="26"/>
                <w:szCs w:val="26"/>
                <w:lang w:eastAsia="uk-UA"/>
              </w:rPr>
              <w:t xml:space="preserve"> </w:t>
            </w:r>
            <w:r>
              <w:rPr>
                <w:rFonts w:eastAsia="Times New Roman" w:cs="Times New Roman" w:ascii="Times New Roman" w:hAnsi="Times New Roman"/>
                <w:bCs/>
                <w:color w:val="000000"/>
                <w:sz w:val="26"/>
                <w:szCs w:val="26"/>
                <w:lang w:eastAsia="uk-UA"/>
              </w:rPr>
              <w:t xml:space="preserve">усього: </w:t>
            </w:r>
          </w:p>
        </w:tc>
        <w:tc>
          <w:tcPr>
            <w:tcW w:w="1714"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cs="Times New Roman" w:ascii="Times New Roman" w:hAnsi="Times New Roman"/>
                <w:color w:val="000000"/>
                <w:sz w:val="28"/>
                <w:szCs w:val="28"/>
              </w:rPr>
              <w:t>7 957 636,2</w:t>
            </w:r>
          </w:p>
        </w:tc>
        <w:tc>
          <w:tcPr>
            <w:tcW w:w="184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8 871 282,0</w:t>
            </w:r>
          </w:p>
        </w:tc>
        <w:tc>
          <w:tcPr>
            <w:tcW w:w="183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9 337 511,5</w:t>
            </w:r>
          </w:p>
        </w:tc>
        <w:tc>
          <w:tcPr>
            <w:tcW w:w="213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26 166 429,7</w:t>
            </w:r>
          </w:p>
        </w:tc>
      </w:tr>
      <w:tr>
        <w:trPr>
          <w:trHeight w:val="348" w:hRule="atLeast"/>
        </w:trPr>
        <w:tc>
          <w:tcPr>
            <w:tcW w:w="2976"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lineRule="auto" w:line="240" w:before="0" w:after="0"/>
              <w:rPr>
                <w:rFonts w:ascii="Times New Roman" w:hAnsi="Times New Roman" w:eastAsia="Times New Roman" w:cs="Times New Roman"/>
                <w:color w:val="000000"/>
                <w:sz w:val="26"/>
                <w:szCs w:val="26"/>
                <w:lang w:eastAsia="uk-UA"/>
              </w:rPr>
            </w:pPr>
            <w:r>
              <w:rPr>
                <w:rFonts w:eastAsia="Times New Roman" w:cs="Times New Roman" w:ascii="Times New Roman" w:hAnsi="Times New Roman"/>
                <w:color w:val="000000"/>
                <w:sz w:val="26"/>
                <w:szCs w:val="26"/>
                <w:lang w:eastAsia="uk-UA"/>
              </w:rPr>
              <w:t>у тому числі:</w:t>
            </w:r>
          </w:p>
        </w:tc>
        <w:tc>
          <w:tcPr>
            <w:tcW w:w="1714"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184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183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213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r>
      <w:tr>
        <w:trPr>
          <w:trHeight w:val="705" w:hRule="atLeast"/>
        </w:trPr>
        <w:tc>
          <w:tcPr>
            <w:tcW w:w="2976"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vAlign w:val="center"/>
          </w:tcPr>
          <w:p>
            <w:pPr>
              <w:pStyle w:val="Normal"/>
              <w:spacing w:lineRule="auto" w:line="240" w:before="0" w:after="0"/>
              <w:rPr>
                <w:rFonts w:ascii="Times New Roman" w:hAnsi="Times New Roman" w:eastAsia="Times New Roman" w:cs="Times New Roman"/>
                <w:bCs/>
                <w:color w:val="000000"/>
                <w:sz w:val="26"/>
                <w:szCs w:val="26"/>
                <w:lang w:eastAsia="uk-UA"/>
              </w:rPr>
            </w:pPr>
            <w:r>
              <w:rPr>
                <w:rFonts w:eastAsia="Times New Roman" w:cs="Times New Roman" w:ascii="Times New Roman" w:hAnsi="Times New Roman"/>
                <w:bCs/>
                <w:color w:val="000000"/>
                <w:sz w:val="26"/>
                <w:szCs w:val="26"/>
                <w:lang w:eastAsia="uk-UA"/>
              </w:rPr>
              <w:t>Бюджет міста  Києва,</w:t>
            </w:r>
          </w:p>
          <w:p>
            <w:pPr>
              <w:pStyle w:val="Normal"/>
              <w:spacing w:lineRule="auto" w:line="240" w:before="0" w:after="0"/>
              <w:rPr>
                <w:rFonts w:ascii="Times New Roman" w:hAnsi="Times New Roman" w:eastAsia="Times New Roman" w:cs="Times New Roman"/>
                <w:bCs/>
                <w:color w:val="000000"/>
                <w:sz w:val="26"/>
                <w:szCs w:val="26"/>
                <w:lang w:eastAsia="uk-UA"/>
              </w:rPr>
            </w:pPr>
            <w:r>
              <w:rPr>
                <w:rFonts w:eastAsia="Times New Roman" w:cs="Times New Roman" w:ascii="Times New Roman" w:hAnsi="Times New Roman"/>
                <w:bCs/>
                <w:color w:val="000000"/>
                <w:sz w:val="26"/>
                <w:szCs w:val="26"/>
                <w:lang w:eastAsia="uk-UA"/>
              </w:rPr>
              <w:t xml:space="preserve"> </w:t>
            </w:r>
            <w:r>
              <w:rPr>
                <w:rFonts w:eastAsia="Times New Roman" w:cs="Times New Roman" w:ascii="Times New Roman" w:hAnsi="Times New Roman"/>
                <w:bCs/>
                <w:color w:val="000000"/>
                <w:sz w:val="26"/>
                <w:szCs w:val="26"/>
                <w:lang w:eastAsia="uk-UA"/>
              </w:rPr>
              <w:t>(загальний фонд)</w:t>
            </w:r>
          </w:p>
        </w:tc>
        <w:tc>
          <w:tcPr>
            <w:tcW w:w="1714"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cs="Times New Roman" w:ascii="Times New Roman" w:hAnsi="Times New Roman"/>
                <w:color w:val="000000"/>
                <w:sz w:val="28"/>
                <w:szCs w:val="28"/>
              </w:rPr>
              <w:t>6 265 914,9</w:t>
            </w:r>
          </w:p>
        </w:tc>
        <w:tc>
          <w:tcPr>
            <w:tcW w:w="184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cs="Times New Roman" w:ascii="Times New Roman" w:hAnsi="Times New Roman"/>
                <w:color w:val="000000"/>
                <w:sz w:val="28"/>
                <w:szCs w:val="28"/>
              </w:rPr>
              <w:t>6 719 013,8</w:t>
            </w:r>
          </w:p>
        </w:tc>
        <w:tc>
          <w:tcPr>
            <w:tcW w:w="183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7 118 234,3</w:t>
            </w:r>
          </w:p>
        </w:tc>
        <w:tc>
          <w:tcPr>
            <w:tcW w:w="213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20 103 163,0</w:t>
            </w:r>
          </w:p>
        </w:tc>
      </w:tr>
      <w:tr>
        <w:trPr>
          <w:trHeight w:val="705" w:hRule="atLeast"/>
        </w:trPr>
        <w:tc>
          <w:tcPr>
            <w:tcW w:w="2976" w:type="dxa"/>
            <w:tcBorders>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tcPr>
          <w:p>
            <w:pPr>
              <w:pStyle w:val="Normal"/>
              <w:spacing w:lineRule="auto" w:line="240" w:before="0" w:after="0"/>
              <w:rPr>
                <w:rFonts w:ascii="Times New Roman" w:hAnsi="Times New Roman" w:eastAsia="Times New Roman" w:cs="Times New Roman"/>
                <w:bCs/>
                <w:color w:val="000000"/>
                <w:sz w:val="26"/>
                <w:szCs w:val="26"/>
                <w:lang w:eastAsia="uk-UA"/>
              </w:rPr>
            </w:pPr>
            <w:r>
              <w:rPr>
                <w:rFonts w:eastAsia="Times New Roman" w:cs="Times New Roman" w:ascii="Times New Roman" w:hAnsi="Times New Roman"/>
                <w:bCs/>
                <w:color w:val="000000"/>
                <w:sz w:val="26"/>
                <w:szCs w:val="26"/>
              </w:rPr>
              <w:t>Спеціальний фонд (бюджет розвитку)</w:t>
            </w:r>
          </w:p>
        </w:tc>
        <w:tc>
          <w:tcPr>
            <w:tcW w:w="1714"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663 344,8</w:t>
            </w:r>
          </w:p>
        </w:tc>
        <w:tc>
          <w:tcPr>
            <w:tcW w:w="184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717 075,9</w:t>
            </w:r>
          </w:p>
        </w:tc>
        <w:tc>
          <w:tcPr>
            <w:tcW w:w="183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cs="Times New Roman"/>
                <w:color w:val="000000"/>
                <w:sz w:val="28"/>
                <w:szCs w:val="28"/>
              </w:rPr>
            </w:pPr>
            <w:r>
              <w:rPr>
                <w:rFonts w:cs="Times New Roman" w:ascii="Times New Roman" w:hAnsi="Times New Roman"/>
                <w:color w:val="000000"/>
                <w:sz w:val="28"/>
                <w:szCs w:val="28"/>
              </w:rPr>
              <w:t>756 492,2</w:t>
            </w:r>
          </w:p>
        </w:tc>
        <w:tc>
          <w:tcPr>
            <w:tcW w:w="2132" w:type="dxa"/>
            <w:tcBorders>
              <w:bottom w:val="single" w:sz="8" w:space="0" w:color="00000A"/>
              <w:right w:val="single" w:sz="8" w:space="0" w:color="00000A"/>
              <w:insideH w:val="single" w:sz="8" w:space="0" w:color="00000A"/>
              <w:insideV w:val="single" w:sz="8" w:space="0" w:color="00000A"/>
            </w:tcBorders>
            <w:shd w:color="auto" w:fill="auto" w:val="clear"/>
            <w:vAlign w:val="center"/>
          </w:tcPr>
          <w:p>
            <w:pPr>
              <w:pStyle w:val="Normal"/>
              <w:spacing w:lineRule="auto" w:line="240" w:before="0" w:after="0"/>
              <w:jc w:val="center"/>
              <w:rPr>
                <w:rFonts w:ascii="Times New Roman" w:hAnsi="Times New Roman" w:eastAsia="Times New Roman" w:cs="Times New Roman"/>
                <w:bCs/>
                <w:color w:val="000000"/>
                <w:sz w:val="28"/>
                <w:szCs w:val="28"/>
                <w:lang w:eastAsia="uk-UA"/>
              </w:rPr>
            </w:pPr>
            <w:r>
              <w:rPr>
                <w:rFonts w:eastAsia="Times New Roman" w:cs="Times New Roman" w:ascii="Times New Roman" w:hAnsi="Times New Roman"/>
                <w:bCs/>
                <w:color w:val="000000"/>
                <w:sz w:val="28"/>
                <w:szCs w:val="28"/>
                <w:lang w:eastAsia="uk-UA"/>
              </w:rPr>
              <w:t>2 136 912,9</w:t>
            </w:r>
          </w:p>
        </w:tc>
      </w:tr>
      <w:tr>
        <w:trPr>
          <w:trHeight w:val="1060" w:hRule="atLeast"/>
        </w:trPr>
        <w:tc>
          <w:tcPr>
            <w:tcW w:w="2976" w:type="dxa"/>
            <w:tcBorders>
              <w:left w:val="single" w:sz="8" w:space="0" w:color="00000A"/>
              <w:right w:val="single" w:sz="8" w:space="0" w:color="00000A"/>
              <w:insideV w:val="single" w:sz="8" w:space="0" w:color="00000A"/>
            </w:tcBorders>
            <w:shd w:color="auto" w:fill="auto" w:val="clear"/>
            <w:tcMar>
              <w:left w:w="98" w:type="dxa"/>
            </w:tcMar>
          </w:tcPr>
          <w:p>
            <w:pPr>
              <w:pStyle w:val="Normal"/>
              <w:rPr>
                <w:rFonts w:ascii="Times New Roman" w:hAnsi="Times New Roman" w:eastAsia="Times New Roman" w:cs="Times New Roman"/>
                <w:bCs/>
                <w:color w:val="000000"/>
                <w:sz w:val="26"/>
                <w:szCs w:val="26"/>
              </w:rPr>
            </w:pPr>
            <w:r>
              <w:rPr>
                <w:rFonts w:eastAsia="Times New Roman" w:cs="Times New Roman" w:ascii="Times New Roman" w:hAnsi="Times New Roman"/>
                <w:bCs/>
                <w:color w:val="000000"/>
                <w:sz w:val="26"/>
                <w:szCs w:val="26"/>
              </w:rPr>
              <w:t>Спеціальний фонд (власні надходження установ і організацій)</w:t>
            </w:r>
          </w:p>
        </w:tc>
        <w:tc>
          <w:tcPr>
            <w:tcW w:w="1714"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378 221,6</w:t>
            </w:r>
          </w:p>
        </w:tc>
        <w:tc>
          <w:tcPr>
            <w:tcW w:w="184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410 818,0</w:t>
            </w:r>
          </w:p>
        </w:tc>
        <w:tc>
          <w:tcPr>
            <w:tcW w:w="183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436 609,4</w:t>
            </w:r>
          </w:p>
        </w:tc>
        <w:tc>
          <w:tcPr>
            <w:tcW w:w="2132" w:type="dxa"/>
            <w:vMerge w:val="restart"/>
            <w:tcBorders>
              <w:left w:val="single" w:sz="8" w:space="0" w:color="00000A"/>
              <w:bottom w:val="single" w:sz="8" w:space="0" w:color="000001"/>
              <w:right w:val="single" w:sz="8" w:space="0" w:color="00000A"/>
              <w:insideH w:val="single" w:sz="8" w:space="0" w:color="000001"/>
              <w:insideV w:val="single" w:sz="8" w:space="0" w:color="00000A"/>
            </w:tcBorders>
            <w:shd w:color="auto"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1 225 649,0</w:t>
            </w:r>
          </w:p>
        </w:tc>
      </w:tr>
      <w:tr>
        <w:trPr>
          <w:trHeight w:val="23" w:hRule="exact"/>
        </w:trPr>
        <w:tc>
          <w:tcPr>
            <w:tcW w:w="2976" w:type="dxa"/>
            <w:tcBorders>
              <w:left w:val="single" w:sz="8" w:space="0" w:color="00000A"/>
              <w:right w:val="single" w:sz="8" w:space="0" w:color="00000A"/>
              <w:insideV w:val="single" w:sz="8" w:space="0" w:color="00000A"/>
            </w:tcBorders>
            <w:shd w:color="auto" w:fill="auto" w:val="clear"/>
            <w:tcMar>
              <w:left w:w="98" w:type="dxa"/>
            </w:tcMar>
          </w:tcPr>
          <w:p>
            <w:pPr>
              <w:pStyle w:val="Normal"/>
              <w:spacing w:lineRule="auto" w:line="240" w:before="0" w:after="0"/>
              <w:rPr>
                <w:rFonts w:ascii="Times New Roman" w:hAnsi="Times New Roman" w:eastAsia="Times New Roman" w:cs="Times New Roman"/>
                <w:color w:val="000000"/>
                <w:sz w:val="26"/>
                <w:szCs w:val="26"/>
                <w:highlight w:val="yellow"/>
                <w:lang w:eastAsia="uk-UA"/>
              </w:rPr>
            </w:pPr>
            <w:r>
              <w:rPr>
                <w:rFonts w:eastAsia="Times New Roman" w:cs="Times New Roman" w:ascii="Times New Roman" w:hAnsi="Times New Roman"/>
                <w:color w:val="000000"/>
                <w:sz w:val="26"/>
                <w:szCs w:val="26"/>
                <w:highlight w:val="yellow"/>
                <w:lang w:eastAsia="uk-UA"/>
              </w:rPr>
            </w:r>
          </w:p>
        </w:tc>
        <w:tc>
          <w:tcPr>
            <w:tcW w:w="1714"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highlight w:val="yellow"/>
                <w:lang w:eastAsia="uk-UA"/>
              </w:rPr>
            </w:pPr>
            <w:r>
              <w:rPr>
                <w:rFonts w:eastAsia="Times New Roman" w:cs="Times New Roman" w:ascii="Times New Roman" w:hAnsi="Times New Roman"/>
                <w:color w:val="000000"/>
                <w:sz w:val="28"/>
                <w:szCs w:val="28"/>
                <w:highlight w:val="yellow"/>
                <w:lang w:eastAsia="uk-UA"/>
              </w:rPr>
            </w:r>
          </w:p>
        </w:tc>
        <w:tc>
          <w:tcPr>
            <w:tcW w:w="184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highlight w:val="yellow"/>
                <w:lang w:eastAsia="uk-UA"/>
              </w:rPr>
            </w:pPr>
            <w:r>
              <w:rPr>
                <w:rFonts w:eastAsia="Times New Roman" w:cs="Times New Roman" w:ascii="Times New Roman" w:hAnsi="Times New Roman"/>
                <w:color w:val="000000"/>
                <w:sz w:val="28"/>
                <w:szCs w:val="28"/>
                <w:highlight w:val="yellow"/>
                <w:lang w:eastAsia="uk-UA"/>
              </w:rPr>
            </w:r>
          </w:p>
        </w:tc>
        <w:tc>
          <w:tcPr>
            <w:tcW w:w="183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highlight w:val="yellow"/>
                <w:lang w:eastAsia="uk-UA"/>
              </w:rPr>
            </w:pPr>
            <w:r>
              <w:rPr>
                <w:rFonts w:eastAsia="Times New Roman" w:cs="Times New Roman" w:ascii="Times New Roman" w:hAnsi="Times New Roman"/>
                <w:color w:val="000000"/>
                <w:sz w:val="28"/>
                <w:szCs w:val="28"/>
                <w:highlight w:val="yellow"/>
                <w:lang w:eastAsia="uk-UA"/>
              </w:rPr>
            </w:r>
          </w:p>
        </w:tc>
        <w:tc>
          <w:tcPr>
            <w:tcW w:w="2132" w:type="dxa"/>
            <w:vMerge w:val="continue"/>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highlight w:val="yellow"/>
                <w:lang w:eastAsia="uk-UA"/>
              </w:rPr>
            </w:pPr>
            <w:r>
              <w:rPr>
                <w:rFonts w:eastAsia="Times New Roman" w:cs="Times New Roman" w:ascii="Times New Roman" w:hAnsi="Times New Roman"/>
                <w:color w:val="000000"/>
                <w:sz w:val="28"/>
                <w:szCs w:val="28"/>
                <w:highlight w:val="yellow"/>
                <w:lang w:eastAsia="uk-UA"/>
              </w:rPr>
            </w:r>
          </w:p>
        </w:tc>
      </w:tr>
      <w:tr>
        <w:trPr>
          <w:trHeight w:val="1008" w:hRule="atLeast"/>
        </w:trPr>
        <w:tc>
          <w:tcPr>
            <w:tcW w:w="2976" w:type="dxa"/>
            <w:tcBorders>
              <w:top w:val="single" w:sz="4" w:space="0" w:color="00000A"/>
              <w:left w:val="single" w:sz="8" w:space="0" w:color="00000A"/>
              <w:bottom w:val="single" w:sz="8" w:space="0" w:color="00000A"/>
              <w:right w:val="single" w:sz="8" w:space="0" w:color="00000A"/>
              <w:insideH w:val="single" w:sz="8" w:space="0" w:color="00000A"/>
              <w:insideV w:val="single" w:sz="8" w:space="0" w:color="00000A"/>
            </w:tcBorders>
            <w:shd w:color="auto" w:fill="auto" w:val="clear"/>
            <w:tcMar>
              <w:left w:w="98" w:type="dxa"/>
            </w:tcMar>
          </w:tcPr>
          <w:p>
            <w:pPr>
              <w:pStyle w:val="Normal"/>
              <w:rPr>
                <w:rFonts w:ascii="Times New Roman" w:hAnsi="Times New Roman" w:eastAsia="Times New Roman" w:cs="Times New Roman"/>
                <w:bCs/>
                <w:color w:val="000000"/>
                <w:sz w:val="26"/>
                <w:szCs w:val="26"/>
              </w:rPr>
            </w:pPr>
            <w:r>
              <w:rPr>
                <w:rFonts w:eastAsia="Times New Roman" w:cs="Times New Roman" w:ascii="Times New Roman" w:hAnsi="Times New Roman"/>
                <w:bCs/>
                <w:color w:val="000000"/>
                <w:sz w:val="26"/>
                <w:szCs w:val="26"/>
              </w:rPr>
              <w:t>Спеціальний фонд           (інші джерела    фінансування)</w:t>
            </w:r>
          </w:p>
        </w:tc>
        <w:tc>
          <w:tcPr>
            <w:tcW w:w="1714" w:type="dxa"/>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highlight w:val="yellow"/>
                <w:lang w:eastAsia="uk-UA"/>
              </w:rPr>
            </w:pPr>
            <w:r>
              <w:rPr>
                <w:rFonts w:eastAsia="Times New Roman" w:cs="Times New Roman" w:ascii="Times New Roman" w:hAnsi="Times New Roman"/>
                <w:bCs/>
                <w:color w:val="000000"/>
                <w:sz w:val="28"/>
                <w:szCs w:val="28"/>
                <w:lang w:eastAsia="uk-UA"/>
              </w:rPr>
              <w:t>650 154,9</w:t>
            </w:r>
          </w:p>
        </w:tc>
        <w:tc>
          <w:tcPr>
            <w:tcW w:w="1842" w:type="dxa"/>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highlight w:val="yellow"/>
                <w:lang w:eastAsia="uk-UA"/>
              </w:rPr>
            </w:pPr>
            <w:r>
              <w:rPr>
                <w:rFonts w:eastAsia="Times New Roman" w:cs="Times New Roman" w:ascii="Times New Roman" w:hAnsi="Times New Roman"/>
                <w:bCs/>
                <w:color w:val="000000"/>
                <w:sz w:val="28"/>
                <w:szCs w:val="28"/>
                <w:lang w:eastAsia="uk-UA"/>
              </w:rPr>
              <w:t>1 024 374,3</w:t>
            </w:r>
          </w:p>
        </w:tc>
        <w:tc>
          <w:tcPr>
            <w:tcW w:w="1832" w:type="dxa"/>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highlight w:val="yellow"/>
                <w:lang w:eastAsia="uk-UA"/>
              </w:rPr>
            </w:pPr>
            <w:r>
              <w:rPr>
                <w:rFonts w:eastAsia="Times New Roman" w:cs="Times New Roman" w:ascii="Times New Roman" w:hAnsi="Times New Roman"/>
                <w:bCs/>
                <w:color w:val="000000"/>
                <w:sz w:val="28"/>
                <w:szCs w:val="28"/>
                <w:lang w:eastAsia="uk-UA"/>
              </w:rPr>
              <w:t>1 026 175,6</w:t>
            </w:r>
          </w:p>
        </w:tc>
        <w:tc>
          <w:tcPr>
            <w:tcW w:w="2132" w:type="dxa"/>
            <w:tcBorders>
              <w:left w:val="single" w:sz="8" w:space="0" w:color="00000A"/>
              <w:bottom w:val="single" w:sz="8" w:space="0" w:color="000001"/>
              <w:right w:val="single" w:sz="8" w:space="0" w:color="00000A"/>
              <w:insideH w:val="single" w:sz="8" w:space="0" w:color="000001"/>
              <w:insideV w:val="single" w:sz="8"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color w:val="000000"/>
                <w:sz w:val="28"/>
                <w:szCs w:val="28"/>
                <w:highlight w:val="yellow"/>
                <w:lang w:eastAsia="uk-UA"/>
              </w:rPr>
            </w:pPr>
            <w:r>
              <w:rPr>
                <w:rFonts w:eastAsia="Times New Roman" w:cs="Times New Roman" w:ascii="Times New Roman" w:hAnsi="Times New Roman"/>
                <w:bCs/>
                <w:color w:val="000000"/>
                <w:sz w:val="28"/>
                <w:szCs w:val="28"/>
                <w:lang w:eastAsia="uk-UA"/>
              </w:rPr>
              <w:t>2 700 704,8</w:t>
            </w:r>
          </w:p>
        </w:tc>
      </w:tr>
    </w:tbl>
    <w:p>
      <w:pPr>
        <w:pStyle w:val="Normal"/>
        <w:rPr>
          <w:rFonts w:ascii="Times New Roman" w:hAnsi="Times New Roman" w:cs="Times New Roman"/>
          <w:sz w:val="28"/>
          <w:szCs w:val="28"/>
        </w:rPr>
      </w:pPr>
      <w:r>
        <w:rPr>
          <w:rFonts w:cs="Times New Roman" w:ascii="Times New Roman" w:hAnsi="Times New Roman"/>
          <w:sz w:val="28"/>
          <w:szCs w:val="28"/>
        </w:rPr>
      </w:r>
      <w:r>
        <w:br w:type="page"/>
      </w:r>
    </w:p>
    <w:p>
      <w:pPr>
        <w:pStyle w:val="1"/>
        <w:jc w:val="center"/>
        <w:rPr>
          <w:rFonts w:ascii="Times New Roman" w:hAnsi="Times New Roman" w:cs="Times New Roman"/>
          <w:color w:val="00000A"/>
        </w:rPr>
      </w:pPr>
      <w:bookmarkStart w:id="8" w:name="_Toc431397862"/>
      <w:bookmarkEnd w:id="8"/>
      <w:r>
        <w:rPr>
          <w:rFonts w:cs="Times New Roman" w:ascii="Times New Roman" w:hAnsi="Times New Roman"/>
          <w:color w:val="00000A"/>
        </w:rPr>
        <w:t>Підпрограма «Дошкільна освіта»</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Пріоритетом сучасної освіти є формування особистості дитини. У цьому зв’язку особливої уваги набуває дошкільна освіта як вихідна, початкова ланка загальної освіти, одним із провідних завдань якої є забезпечення умов для повноцінного, своєчасного й різнобічного розвитку кожного малюка з метою виховання ініціативної і творчої особистості.</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Фундаментом цього є  доступність до якісної дошкільної освіти.</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На реалізацію поставлених дошкільною освітою завдань спрямована діяльність мережі дошкільних навчальних закладів столиці, яка станом на 01.09.2015 року становить 646 навчальних закладів для дітей дошкільного віку. З них: </w:t>
      </w:r>
    </w:p>
    <w:p>
      <w:pPr>
        <w:pStyle w:val="ListParagraph"/>
        <w:numPr>
          <w:ilvl w:val="0"/>
          <w:numId w:val="6"/>
        </w:numPr>
        <w:spacing w:beforeAutospacing="1" w:afterAutospacing="1"/>
        <w:contextualSpacing/>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525 дошкільних навчальних закладів (500 комунальних, 13 відомчих, 12 приватних);</w:t>
      </w:r>
    </w:p>
    <w:p>
      <w:pPr>
        <w:pStyle w:val="ListParagraph"/>
        <w:numPr>
          <w:ilvl w:val="0"/>
          <w:numId w:val="6"/>
        </w:numPr>
        <w:spacing w:beforeAutospacing="1" w:afterAutospacing="1"/>
        <w:contextualSpacing/>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66  шкіл-дитячих садків, навчально-виховних комплексів (54 комунальні, 12 приватних);</w:t>
      </w:r>
    </w:p>
    <w:p>
      <w:pPr>
        <w:pStyle w:val="ListParagraph"/>
        <w:numPr>
          <w:ilvl w:val="0"/>
          <w:numId w:val="6"/>
        </w:numPr>
        <w:spacing w:beforeAutospacing="1" w:afterAutospacing="1"/>
        <w:contextualSpacing/>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10  приватних загальноосвітніх шкіл, які мають відокремлені підрозділи для дітей дошкільного віку;</w:t>
      </w:r>
    </w:p>
    <w:p>
      <w:pPr>
        <w:pStyle w:val="ListParagraph"/>
        <w:numPr>
          <w:ilvl w:val="0"/>
          <w:numId w:val="6"/>
        </w:numPr>
        <w:spacing w:beforeAutospacing="1" w:afterAutospacing="1"/>
        <w:contextualSpacing/>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45 центрів розвитку дитини (1 комунальний, 44 приватні).</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Починаючи з 2010 року, кількість працюючих дошкільних навчальних закладів комунальної форми власності збільшилася на 41 одиницю за рахунок відновлення непрацюючих дошкільних навчальних закладів та реорганізації шкіл-дитячих садків. </w:t>
      </w:r>
    </w:p>
    <w:tbl>
      <w:tblPr>
        <w:tblW w:w="9747" w:type="dxa"/>
        <w:jc w:val="left"/>
        <w:tblInd w:w="39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3084"/>
        <w:gridCol w:w="1302"/>
        <w:gridCol w:w="1392"/>
        <w:gridCol w:w="1293"/>
        <w:gridCol w:w="1258"/>
        <w:gridCol w:w="1417"/>
      </w:tblGrid>
      <w:tr>
        <w:trPr/>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2010 рік </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2011 рік</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2012 рік</w:t>
            </w:r>
          </w:p>
        </w:tc>
        <w:tc>
          <w:tcPr>
            <w:tcW w:w="12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2013 рік</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2014 рік</w:t>
            </w:r>
          </w:p>
        </w:tc>
      </w:tr>
      <w:tr>
        <w:trPr/>
        <w:tc>
          <w:tcPr>
            <w:tcW w:w="30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Кількість дошкільних навчальних закладів</w:t>
            </w:r>
          </w:p>
        </w:tc>
        <w:tc>
          <w:tcPr>
            <w:tcW w:w="13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459</w:t>
            </w:r>
          </w:p>
        </w:tc>
        <w:tc>
          <w:tcPr>
            <w:tcW w:w="1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473</w:t>
            </w:r>
          </w:p>
        </w:tc>
        <w:tc>
          <w:tcPr>
            <w:tcW w:w="12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478</w:t>
            </w:r>
          </w:p>
        </w:tc>
        <w:tc>
          <w:tcPr>
            <w:tcW w:w="125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494</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500</w:t>
            </w:r>
          </w:p>
        </w:tc>
      </w:tr>
    </w:tbl>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Дошкільну освіту здобувають понад 110 тисяч дітей, із них 19,1 тисячі віком до трьох років.</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 </w:t>
      </w:r>
      <w:r>
        <w:rPr>
          <w:rFonts w:eastAsia="Times New Roman" w:cs="Times New Roman" w:ascii="Times New Roman" w:hAnsi="Times New Roman"/>
          <w:color w:val="000000"/>
          <w:sz w:val="28"/>
          <w:szCs w:val="28"/>
          <w:lang w:eastAsia="uk-UA"/>
        </w:rPr>
        <w:t>У середньому по місту Києву дошкільні навчальні заклади укомплектовані понад розрахункову потужність. На 100 місць припадає 127 дітей. Найвищі показники переповнення груп п′ять років поспіль мають Дарницький та  Печерський райони.</w:t>
      </w:r>
    </w:p>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i/>
          <w:sz w:val="28"/>
          <w:szCs w:val="28"/>
          <w:lang w:eastAsia="uk-UA"/>
        </w:rPr>
      </w:r>
    </w:p>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i/>
          <w:sz w:val="28"/>
          <w:szCs w:val="28"/>
          <w:lang w:eastAsia="uk-UA"/>
        </w:rPr>
      </w:r>
    </w:p>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i/>
          <w:sz w:val="28"/>
          <w:szCs w:val="28"/>
          <w:lang w:eastAsia="uk-UA"/>
        </w:rPr>
      </w:r>
    </w:p>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Чисельність дітей дошкільних навчальних закладів у розрахунку на 100 місць </w:t>
      </w:r>
    </w:p>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(за районами міста Києва)</w:t>
      </w:r>
    </w:p>
    <w:tbl>
      <w:tblPr>
        <w:tblW w:w="8613"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2240"/>
        <w:gridCol w:w="1269"/>
        <w:gridCol w:w="1277"/>
        <w:gridCol w:w="1276"/>
        <w:gridCol w:w="1277"/>
        <w:gridCol w:w="1273"/>
      </w:tblGrid>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2010 рік </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2011рік</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2012 рік</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2013 рік</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2014 рік</w:t>
            </w:r>
          </w:p>
        </w:tc>
      </w:tr>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Голосіївський</w:t>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118</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118</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120</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124</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126</w:t>
            </w:r>
          </w:p>
        </w:tc>
      </w:tr>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Дарницький</w:t>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126</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125</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135</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138</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149</w:t>
            </w:r>
          </w:p>
        </w:tc>
      </w:tr>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Деснянський</w:t>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111</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115</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121</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122</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125</w:t>
            </w:r>
          </w:p>
        </w:tc>
      </w:tr>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Дніпровський</w:t>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102</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107</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110</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113</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123</w:t>
            </w:r>
          </w:p>
        </w:tc>
      </w:tr>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Оболонський</w:t>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112</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108</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114</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118</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121</w:t>
            </w:r>
          </w:p>
        </w:tc>
      </w:tr>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Печерський</w:t>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124</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126</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133</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130</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135</w:t>
            </w:r>
          </w:p>
        </w:tc>
      </w:tr>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Подільський</w:t>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110</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112</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114</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116</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124</w:t>
            </w:r>
          </w:p>
        </w:tc>
      </w:tr>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Святошинський</w:t>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113</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115</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121</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127</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134</w:t>
            </w:r>
          </w:p>
        </w:tc>
      </w:tr>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Солом′янський</w:t>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104</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106</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108</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111</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116</w:t>
            </w:r>
          </w:p>
        </w:tc>
      </w:tr>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Шевченківський</w:t>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115</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120</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122</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126</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123</w:t>
            </w:r>
          </w:p>
        </w:tc>
      </w:tr>
      <w:tr>
        <w:trPr/>
        <w:tc>
          <w:tcPr>
            <w:tcW w:w="22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місто Київ</w:t>
            </w:r>
          </w:p>
        </w:tc>
        <w:tc>
          <w:tcPr>
            <w:tcW w:w="1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112</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114</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119</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122</w:t>
            </w:r>
          </w:p>
        </w:tc>
        <w:tc>
          <w:tcPr>
            <w:tcW w:w="127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127</w:t>
            </w:r>
          </w:p>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r>
    </w:tbl>
    <w:p>
      <w:pPr>
        <w:pStyle w:val="Normal"/>
        <w:spacing w:beforeAutospacing="1" w:afterAutospacing="1"/>
        <w:ind w:firstLine="708"/>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Дані за 2015 рік будуть визначені після узагальнення Держкомстату (після січня 2016 р.)</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Останні тринадцять років спостерігається стала тенденція до збільшення числа народжених у місті Києві. Так, якщо у 2001 році народилося 19,4 тисячі дітей, у 2004 році – 25,9 тисячі, то у 2014 році – 34,8 тисячі дітей.</w:t>
      </w:r>
    </w:p>
    <w:p>
      <w:pPr>
        <w:pStyle w:val="Normal"/>
        <w:snapToGrid w:val="false"/>
        <w:spacing w:before="0" w:after="0"/>
        <w:ind w:firstLine="720"/>
        <w:jc w:val="center"/>
        <w:rPr>
          <w:rFonts w:ascii="Times New Roman" w:hAnsi="Times New Roman" w:eastAsia="Times New Roman" w:cs="Times New Roman"/>
          <w:sz w:val="28"/>
          <w:szCs w:val="28"/>
          <w:lang w:eastAsia="ru-RU"/>
        </w:rPr>
      </w:pPr>
      <w:r>
        <w:rPr/>
        <w:drawing>
          <wp:inline distT="0" distB="0" distL="0" distR="0">
            <wp:extent cx="4038600" cy="2114550"/>
            <wp:effectExtent l="0" t="0" r="0" b="0"/>
            <wp:docPr id="1"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p>
      <w:pPr>
        <w:pStyle w:val="Normal"/>
        <w:spacing w:beforeAutospacing="1" w:afterAutospacing="1"/>
        <w:ind w:firstLine="708"/>
        <w:jc w:val="both"/>
        <w:rPr>
          <w:rFonts w:ascii="Times New Roman" w:hAnsi="Times New Roman" w:eastAsia="Times New Roman" w:cs="Times New Roman"/>
          <w:color w:val="000000" w:themeColor="text1"/>
          <w:sz w:val="28"/>
          <w:szCs w:val="28"/>
          <w:lang w:eastAsia="uk-UA"/>
        </w:rPr>
      </w:pPr>
      <w:r>
        <w:rPr>
          <w:rFonts w:eastAsia="Times New Roman" w:cs="Times New Roman" w:ascii="Times New Roman" w:hAnsi="Times New Roman"/>
          <w:color w:val="000000" w:themeColor="text1"/>
          <w:sz w:val="28"/>
          <w:szCs w:val="28"/>
          <w:lang w:eastAsia="uk-UA"/>
        </w:rPr>
        <w:t xml:space="preserve">Місто Київ є мегаполісом, який за своєю природою суттєво відрізняється від інших міст України: населення столиці поділяється на постійне  та денне (особи, які прибувають з передмістя  у Київ на денну роботу).  Різниця між постійним та денним населенням становить 800 тисяч осіб (22,8%), що впливає на показник чисельноті дітей у дошкільних навчальних закладах: 11,6% вихованців дитячих садів столиці проживають на прилеглих до Києва  територіях. </w:t>
      </w:r>
    </w:p>
    <w:p>
      <w:pPr>
        <w:pStyle w:val="Normal"/>
        <w:ind w:firstLine="567"/>
        <w:jc w:val="center"/>
        <w:rPr>
          <w:rFonts w:ascii="Times New Roman" w:hAnsi="Times New Roman" w:eastAsia="Times New Roman" w:cs="Times New Roman"/>
          <w:sz w:val="28"/>
          <w:szCs w:val="28"/>
          <w:lang w:eastAsia="uk-UA"/>
        </w:rPr>
      </w:pPr>
      <w:r>
        <w:rPr/>
        <w:drawing>
          <wp:inline distT="0" distB="0" distL="0" distR="0">
            <wp:extent cx="6210300" cy="1775460"/>
            <wp:effectExtent l="0" t="0" r="0" b="0"/>
            <wp:docPr id="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3"/>
              </a:graphicData>
            </a:graphic>
          </wp:inline>
        </w:drawing>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Щороку, з метою забезпечення дітей місцями, проводиться низка заходів, спрямованих на розширення мережі та збільшення кількості нових місць у дошкільних навчальних закладах різних типів та форм власності. </w:t>
      </w:r>
    </w:p>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Збільшення кількості місць у ДНЗ</w:t>
      </w:r>
    </w:p>
    <w:tbl>
      <w:tblPr>
        <w:tblW w:w="10299"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3425"/>
        <w:gridCol w:w="850"/>
        <w:gridCol w:w="850"/>
        <w:gridCol w:w="850"/>
        <w:gridCol w:w="851"/>
        <w:gridCol w:w="849"/>
        <w:gridCol w:w="1021"/>
        <w:gridCol w:w="1601"/>
      </w:tblGrid>
      <w:tr>
        <w:trPr/>
        <w:tc>
          <w:tcPr>
            <w:tcW w:w="3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2010</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2011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2012</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2013</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2014</w:t>
            </w:r>
          </w:p>
        </w:tc>
        <w:tc>
          <w:tcPr>
            <w:tcW w:w="10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План 2015</w:t>
            </w:r>
          </w:p>
        </w:tc>
        <w:tc>
          <w:tcPr>
            <w:tcW w:w="16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Усього об′єктів</w:t>
            </w:r>
          </w:p>
        </w:tc>
      </w:tr>
      <w:tr>
        <w:trPr/>
        <w:tc>
          <w:tcPr>
            <w:tcW w:w="3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Будівництво</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0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6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10</w:t>
            </w:r>
          </w:p>
        </w:tc>
      </w:tr>
      <w:tr>
        <w:trPr/>
        <w:tc>
          <w:tcPr>
            <w:tcW w:w="3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Відновлення роботи ДНЗ</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5</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3</w:t>
            </w:r>
          </w:p>
        </w:tc>
        <w:tc>
          <w:tcPr>
            <w:tcW w:w="10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w:t>
            </w:r>
          </w:p>
        </w:tc>
        <w:tc>
          <w:tcPr>
            <w:tcW w:w="16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w:t>
            </w:r>
          </w:p>
        </w:tc>
      </w:tr>
      <w:tr>
        <w:trPr/>
        <w:tc>
          <w:tcPr>
            <w:tcW w:w="3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Відновлення груп</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59</w:t>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96</w:t>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(8)</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84</w:t>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(7)</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80</w:t>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(6)</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74</w:t>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(6)</w:t>
            </w:r>
          </w:p>
        </w:tc>
        <w:tc>
          <w:tcPr>
            <w:tcW w:w="10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69</w:t>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(6)</w:t>
            </w:r>
          </w:p>
        </w:tc>
        <w:tc>
          <w:tcPr>
            <w:tcW w:w="16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462</w:t>
            </w:r>
          </w:p>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(38 ДНЗ)</w:t>
            </w:r>
          </w:p>
        </w:tc>
      </w:tr>
      <w:tr>
        <w:trPr/>
        <w:tc>
          <w:tcPr>
            <w:tcW w:w="3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Передача будівлі непрацюючого комунального ДНЗ в оренду приватному ДНЗ</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w:t>
            </w:r>
          </w:p>
        </w:tc>
        <w:tc>
          <w:tcPr>
            <w:tcW w:w="10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6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5</w:t>
            </w:r>
          </w:p>
        </w:tc>
      </w:tr>
      <w:tr>
        <w:trPr/>
        <w:tc>
          <w:tcPr>
            <w:tcW w:w="3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Нові приватні ДНЗ</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3</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5</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7</w:t>
            </w:r>
          </w:p>
        </w:tc>
        <w:tc>
          <w:tcPr>
            <w:tcW w:w="10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6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15</w:t>
            </w:r>
          </w:p>
        </w:tc>
      </w:tr>
      <w:tr>
        <w:trPr/>
        <w:tc>
          <w:tcPr>
            <w:tcW w:w="3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Нові ЦРД</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14</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14</w:t>
            </w:r>
          </w:p>
        </w:tc>
        <w:tc>
          <w:tcPr>
            <w:tcW w:w="10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6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45</w:t>
            </w:r>
          </w:p>
        </w:tc>
      </w:tr>
      <w:tr>
        <w:trPr/>
        <w:tc>
          <w:tcPr>
            <w:tcW w:w="3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Реорганізація НВК в ДНЗ</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6</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5</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8</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6</w:t>
            </w:r>
          </w:p>
        </w:tc>
        <w:tc>
          <w:tcPr>
            <w:tcW w:w="10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w:t>
            </w:r>
          </w:p>
        </w:tc>
        <w:tc>
          <w:tcPr>
            <w:tcW w:w="16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32</w:t>
            </w:r>
          </w:p>
        </w:tc>
      </w:tr>
      <w:tr>
        <w:trPr/>
        <w:tc>
          <w:tcPr>
            <w:tcW w:w="34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Усього ДНЗ</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27</w:t>
            </w:r>
          </w:p>
        </w:tc>
        <w:tc>
          <w:tcPr>
            <w:tcW w:w="8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30</w:t>
            </w:r>
          </w:p>
        </w:tc>
        <w:tc>
          <w:tcPr>
            <w:tcW w:w="8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41</w:t>
            </w:r>
          </w:p>
        </w:tc>
        <w:tc>
          <w:tcPr>
            <w:tcW w:w="8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37</w:t>
            </w:r>
          </w:p>
        </w:tc>
        <w:tc>
          <w:tcPr>
            <w:tcW w:w="102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13</w:t>
            </w:r>
          </w:p>
        </w:tc>
        <w:tc>
          <w:tcPr>
            <w:tcW w:w="16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3" w:type="dxa"/>
            </w:tcMar>
          </w:tcPr>
          <w:p>
            <w:pPr>
              <w:pStyle w:val="Normal"/>
              <w:spacing w:lineRule="auto" w:line="240"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165</w:t>
            </w:r>
          </w:p>
        </w:tc>
      </w:tr>
    </w:tbl>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Протягом 2013-2015 рр. райнними управліннями освіти проведено капітальні ремонти та відновлено  у мережі міста 7 дошкільних навчальних закладів, які були ліквідовані в 90-х роках ХХ сторіччя.</w:t>
      </w:r>
    </w:p>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Поновлення в мережі ліквідованих ДНЗ</w:t>
      </w:r>
    </w:p>
    <w:tbl>
      <w:tblPr>
        <w:tblW w:w="1041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0" w:lastRow="0" w:firstColumn="1" w:lastColumn="0" w:noHBand="0" w:val="00a0"/>
      </w:tblPr>
      <w:tblGrid>
        <w:gridCol w:w="567"/>
        <w:gridCol w:w="1112"/>
        <w:gridCol w:w="944"/>
        <w:gridCol w:w="3141"/>
        <w:gridCol w:w="4652"/>
      </w:tblGrid>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ind w:left="360" w:hanging="0"/>
              <w:rPr>
                <w:rFonts w:ascii="Times New Roman" w:hAnsi="Times New Roman" w:eastAsia="Times New Roman" w:cs="Times New Roman"/>
                <w:sz w:val="20"/>
                <w:szCs w:val="20"/>
                <w:lang w:eastAsia="uk-UA"/>
              </w:rPr>
            </w:pPr>
            <w:r>
              <w:rPr>
                <w:rFonts w:eastAsia="Times New Roman" w:cs="Times New Roman" w:ascii="Times New Roman" w:hAnsi="Times New Roman"/>
                <w:sz w:val="20"/>
                <w:szCs w:val="20"/>
                <w:lang w:eastAsia="uk-UA"/>
              </w:rPr>
            </w:r>
          </w:p>
        </w:tc>
        <w:tc>
          <w:tcPr>
            <w:tcW w:w="11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 xml:space="preserve">№ </w:t>
            </w:r>
            <w:r>
              <w:rPr>
                <w:rFonts w:eastAsia="Times New Roman" w:cs="Times New Roman" w:ascii="Times New Roman" w:hAnsi="Times New Roman"/>
                <w:sz w:val="24"/>
                <w:szCs w:val="24"/>
                <w:lang w:eastAsia="uk-UA"/>
              </w:rPr>
              <w:t>ДНЗ</w:t>
            </w:r>
          </w:p>
        </w:tc>
        <w:tc>
          <w:tcPr>
            <w:tcW w:w="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К-ть місць</w:t>
            </w:r>
          </w:p>
        </w:tc>
        <w:tc>
          <w:tcPr>
            <w:tcW w:w="3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Адреса</w:t>
            </w:r>
          </w:p>
        </w:tc>
        <w:tc>
          <w:tcPr>
            <w:tcW w:w="46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Примітка</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1"/>
              </w:numPr>
              <w:spacing w:before="0" w:after="0"/>
              <w:ind w:left="0" w:hanging="0"/>
              <w:contextualSpacing/>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1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 xml:space="preserve">№ </w:t>
            </w:r>
            <w:r>
              <w:rPr>
                <w:rFonts w:eastAsia="Times New Roman" w:cs="Times New Roman" w:ascii="Times New Roman" w:hAnsi="Times New Roman"/>
                <w:sz w:val="24"/>
                <w:szCs w:val="24"/>
                <w:lang w:eastAsia="uk-UA"/>
              </w:rPr>
              <w:t>531</w:t>
            </w:r>
          </w:p>
        </w:tc>
        <w:tc>
          <w:tcPr>
            <w:tcW w:w="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220</w:t>
            </w:r>
          </w:p>
        </w:tc>
        <w:tc>
          <w:tcPr>
            <w:tcW w:w="3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вул. Полярна 5-б</w:t>
            </w:r>
          </w:p>
        </w:tc>
        <w:tc>
          <w:tcPr>
            <w:tcW w:w="46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Відновлення комунального ДНЗ № 531</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1"/>
              </w:numPr>
              <w:spacing w:before="0" w:after="0"/>
              <w:ind w:left="0" w:hanging="0"/>
              <w:contextualSpacing/>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1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 xml:space="preserve">№ </w:t>
            </w:r>
            <w:r>
              <w:rPr>
                <w:rFonts w:eastAsia="Times New Roman" w:cs="Times New Roman" w:ascii="Times New Roman" w:hAnsi="Times New Roman"/>
                <w:sz w:val="24"/>
                <w:szCs w:val="24"/>
                <w:lang w:eastAsia="uk-UA"/>
              </w:rPr>
              <w:t>529</w:t>
            </w:r>
          </w:p>
        </w:tc>
        <w:tc>
          <w:tcPr>
            <w:tcW w:w="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220</w:t>
            </w:r>
          </w:p>
        </w:tc>
        <w:tc>
          <w:tcPr>
            <w:tcW w:w="3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пр. Правди, 96-А</w:t>
            </w:r>
          </w:p>
        </w:tc>
        <w:tc>
          <w:tcPr>
            <w:tcW w:w="46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Відновлення комунального ДНЗ №142</w:t>
            </w:r>
          </w:p>
        </w:tc>
      </w:tr>
      <w:tr>
        <w:trPr>
          <w:trHeight w:val="250"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1"/>
              </w:numPr>
              <w:spacing w:before="0" w:after="0"/>
              <w:ind w:left="0" w:hanging="0"/>
              <w:contextualSpacing/>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1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 xml:space="preserve">№ </w:t>
            </w:r>
            <w:r>
              <w:rPr>
                <w:rFonts w:eastAsia="Times New Roman" w:cs="Times New Roman" w:ascii="Times New Roman" w:hAnsi="Times New Roman"/>
                <w:sz w:val="24"/>
                <w:szCs w:val="24"/>
                <w:lang w:eastAsia="uk-UA"/>
              </w:rPr>
              <w:t>698</w:t>
            </w:r>
          </w:p>
        </w:tc>
        <w:tc>
          <w:tcPr>
            <w:tcW w:w="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250</w:t>
            </w:r>
          </w:p>
        </w:tc>
        <w:tc>
          <w:tcPr>
            <w:tcW w:w="3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пр. Правди, 64</w:t>
            </w:r>
          </w:p>
        </w:tc>
        <w:tc>
          <w:tcPr>
            <w:tcW w:w="46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Об</w:t>
            </w:r>
            <w:r>
              <w:rPr>
                <w:rFonts w:eastAsia="Symbol" w:cs="Symbol" w:ascii="Symbol" w:hAnsi="Symbol"/>
                <w:sz w:val="24"/>
                <w:szCs w:val="24"/>
                <w:lang w:eastAsia="uk-UA"/>
              </w:rPr>
              <w:t></w:t>
            </w:r>
            <w:r>
              <w:rPr>
                <w:rFonts w:eastAsia="Times New Roman" w:cs="Times New Roman" w:ascii="Times New Roman" w:hAnsi="Times New Roman"/>
                <w:sz w:val="24"/>
                <w:szCs w:val="24"/>
                <w:lang w:eastAsia="uk-UA"/>
              </w:rPr>
              <w:t xml:space="preserve">єднання з ШДС “Дивоцвіт” </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1"/>
              </w:numPr>
              <w:spacing w:before="0" w:after="0"/>
              <w:ind w:left="0" w:hanging="0"/>
              <w:contextualSpacing/>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1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 xml:space="preserve">№ </w:t>
            </w:r>
            <w:r>
              <w:rPr>
                <w:rFonts w:eastAsia="Times New Roman" w:cs="Times New Roman" w:ascii="Times New Roman" w:hAnsi="Times New Roman"/>
                <w:sz w:val="24"/>
                <w:szCs w:val="24"/>
                <w:lang w:eastAsia="uk-UA"/>
              </w:rPr>
              <w:t>567</w:t>
            </w:r>
          </w:p>
        </w:tc>
        <w:tc>
          <w:tcPr>
            <w:tcW w:w="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220</w:t>
            </w:r>
          </w:p>
        </w:tc>
        <w:tc>
          <w:tcPr>
            <w:tcW w:w="3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вул. Булаховського, 28-а</w:t>
            </w:r>
          </w:p>
        </w:tc>
        <w:tc>
          <w:tcPr>
            <w:tcW w:w="46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Відновлення комунального ДНЗ № 567</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1"/>
              </w:numPr>
              <w:spacing w:before="0" w:after="0"/>
              <w:ind w:left="0" w:hanging="0"/>
              <w:contextualSpacing/>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1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 xml:space="preserve">№ </w:t>
            </w:r>
            <w:r>
              <w:rPr>
                <w:rFonts w:eastAsia="Times New Roman" w:cs="Times New Roman" w:ascii="Times New Roman" w:hAnsi="Times New Roman"/>
                <w:sz w:val="24"/>
                <w:szCs w:val="24"/>
                <w:lang w:eastAsia="uk-UA"/>
              </w:rPr>
              <w:t>21</w:t>
            </w:r>
          </w:p>
        </w:tc>
        <w:tc>
          <w:tcPr>
            <w:tcW w:w="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220</w:t>
            </w:r>
          </w:p>
        </w:tc>
        <w:tc>
          <w:tcPr>
            <w:tcW w:w="3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вул. Генерала Туполєва, 7 в</w:t>
            </w:r>
          </w:p>
        </w:tc>
        <w:tc>
          <w:tcPr>
            <w:tcW w:w="46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ЦРД «ЯМБ»</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1"/>
              </w:numPr>
              <w:spacing w:before="0" w:after="0"/>
              <w:ind w:left="0" w:hanging="0"/>
              <w:contextualSpacing/>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1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 xml:space="preserve">№ </w:t>
            </w:r>
            <w:r>
              <w:rPr>
                <w:rFonts w:eastAsia="Times New Roman" w:cs="Times New Roman" w:ascii="Times New Roman" w:hAnsi="Times New Roman"/>
                <w:sz w:val="24"/>
                <w:szCs w:val="24"/>
                <w:lang w:eastAsia="uk-UA"/>
              </w:rPr>
              <w:t>401</w:t>
            </w:r>
          </w:p>
        </w:tc>
        <w:tc>
          <w:tcPr>
            <w:tcW w:w="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80</w:t>
            </w:r>
          </w:p>
        </w:tc>
        <w:tc>
          <w:tcPr>
            <w:tcW w:w="3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вул. Героїв Севастополя, 41</w:t>
            </w:r>
          </w:p>
        </w:tc>
        <w:tc>
          <w:tcPr>
            <w:tcW w:w="46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ДНЗ «Дитина з майбутнім», ЗНЗ «Перлина»</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1"/>
              </w:numPr>
              <w:spacing w:before="0" w:after="0"/>
              <w:ind w:left="0" w:hanging="0"/>
              <w:contextualSpacing/>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1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 xml:space="preserve">№ </w:t>
            </w:r>
            <w:r>
              <w:rPr>
                <w:rFonts w:eastAsia="Times New Roman" w:cs="Times New Roman" w:ascii="Times New Roman" w:hAnsi="Times New Roman"/>
                <w:sz w:val="24"/>
                <w:szCs w:val="24"/>
                <w:lang w:eastAsia="uk-UA"/>
              </w:rPr>
              <w:t>391</w:t>
            </w:r>
          </w:p>
        </w:tc>
        <w:tc>
          <w:tcPr>
            <w:tcW w:w="9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75</w:t>
            </w:r>
          </w:p>
        </w:tc>
        <w:tc>
          <w:tcPr>
            <w:tcW w:w="3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вул.Саратівська,14-а</w:t>
            </w:r>
          </w:p>
        </w:tc>
        <w:tc>
          <w:tcPr>
            <w:tcW w:w="46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Об</w:t>
            </w:r>
            <w:r>
              <w:rPr>
                <w:rFonts w:eastAsia="Symbol" w:cs="Symbol" w:ascii="Symbol" w:hAnsi="Symbol"/>
                <w:sz w:val="24"/>
                <w:szCs w:val="24"/>
                <w:lang w:eastAsia="uk-UA"/>
              </w:rPr>
              <w:t></w:t>
            </w:r>
            <w:r>
              <w:rPr>
                <w:rFonts w:eastAsia="Times New Roman" w:cs="Times New Roman" w:ascii="Times New Roman" w:hAnsi="Times New Roman"/>
                <w:sz w:val="24"/>
                <w:szCs w:val="24"/>
                <w:lang w:eastAsia="uk-UA"/>
              </w:rPr>
              <w:t xml:space="preserve">єднання з ДНЗ № 292 </w:t>
            </w:r>
          </w:p>
        </w:tc>
      </w:tr>
    </w:tbl>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У мережі дошкільних навчальних закладів обліковується 57 непрацюючих комунальних закладів. Переважну більшість із них передано під освітні цілі - навчальні заклади, які не здійснюють дошкільної освіти (14), установи соціального захисту населення (12) та звільнені від оренди, що очікують значних капіталовкладень для відновлення роботи (13). Дві будівлі знесено: ДНЗ № 22 (пров. Михайлівський, 22) та ДНЗ № 600 (вул. Юрківська, 3). Непрацюючі відомчі ДНЗ переважно використовуються для потреб власників (9); надані в нецільову оренду (5); вільні та не використовуються за призначенням(13); продані власниками, але не ліквідовані та не вилучені з мережі навчальних закладів міста в установленому порядку (9).</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2005 року стартував зворотній процес реорганізації шкіл-дитячих садків у дошкільні навчальні заклади. Протягом останніх п’яти років 29 закладів повернули статус дитсадка.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У школах-дитячих садках функціонує 152 класи, які розраховано на 3040 місць для дітей дошкільного віку. Найбільше таких резервів у Деснянському, Дніпровському, Подільському та Святошинському районах.</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Реальним резервом місць для відновлення та забезпечення дошкільнят освітою в працюючих комунальних ДНЗ та ШДС є групи в дитсадках, які потребують першочергового відновлення (377 груп на 7540 місць) та класи в ШДС (184 класи на 3040 місць).</w:t>
      </w:r>
    </w:p>
    <w:tbl>
      <w:tblPr>
        <w:tblW w:w="975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2268"/>
        <w:gridCol w:w="1150"/>
        <w:gridCol w:w="1550"/>
        <w:gridCol w:w="1028"/>
        <w:gridCol w:w="1134"/>
        <w:gridCol w:w="1310"/>
        <w:gridCol w:w="1309"/>
      </w:tblGrid>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Район</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Передані ЗНЗ</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Позашкільні заклади</w:t>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Прива-тні ЗНЗ</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РУО</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Кількість ліквідова-них ДНЗ</w:t>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color w:val="FF0000"/>
                <w:sz w:val="24"/>
                <w:szCs w:val="24"/>
                <w:lang w:eastAsia="uk-UA"/>
              </w:rPr>
            </w:pPr>
            <w:r>
              <w:rPr>
                <w:rFonts w:eastAsia="Times New Roman" w:cs="Times New Roman" w:ascii="Times New Roman" w:hAnsi="Times New Roman"/>
                <w:sz w:val="24"/>
                <w:szCs w:val="24"/>
                <w:lang w:eastAsia="uk-UA"/>
              </w:rPr>
              <w:t>К-ть місць у цих закладах</w:t>
            </w:r>
          </w:p>
        </w:tc>
      </w:tr>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Голосіївський</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3</w:t>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260</w:t>
            </w:r>
          </w:p>
        </w:tc>
      </w:tr>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Дарницький</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3</w:t>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5</w:t>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1120</w:t>
            </w:r>
          </w:p>
        </w:tc>
      </w:tr>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Деснянський</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w:t>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7</w:t>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1570</w:t>
            </w:r>
          </w:p>
        </w:tc>
      </w:tr>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Дніпровський</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7</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w:t>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w:t>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2005</w:t>
            </w:r>
          </w:p>
        </w:tc>
      </w:tr>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Оболонський</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7</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9</w:t>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2190</w:t>
            </w:r>
          </w:p>
        </w:tc>
      </w:tr>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Печерський</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r>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Подільський</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w:t>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3</w:t>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460</w:t>
            </w:r>
          </w:p>
        </w:tc>
      </w:tr>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Святошинський</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w:t>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7</w:t>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1160</w:t>
            </w:r>
          </w:p>
        </w:tc>
      </w:tr>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Солом′янський</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7</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9</w:t>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1115</w:t>
            </w:r>
          </w:p>
        </w:tc>
      </w:tr>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Шевченківський</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3</w:t>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450</w:t>
            </w:r>
          </w:p>
        </w:tc>
      </w:tr>
      <w:tr>
        <w:trPr/>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місто Київ</w:t>
            </w:r>
          </w:p>
        </w:tc>
        <w:tc>
          <w:tcPr>
            <w:tcW w:w="11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33</w:t>
            </w:r>
          </w:p>
        </w:tc>
        <w:tc>
          <w:tcPr>
            <w:tcW w:w="155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15</w:t>
            </w:r>
          </w:p>
        </w:tc>
        <w:tc>
          <w:tcPr>
            <w:tcW w:w="10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w:t>
            </w:r>
          </w:p>
        </w:tc>
        <w:tc>
          <w:tcPr>
            <w:tcW w:w="11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8</w:t>
            </w:r>
          </w:p>
        </w:tc>
        <w:tc>
          <w:tcPr>
            <w:tcW w:w="13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2F2F2" w:themeFill="background1" w:themeFillShade="f2"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57</w:t>
            </w:r>
          </w:p>
        </w:tc>
        <w:tc>
          <w:tcPr>
            <w:tcW w:w="13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EAF1DD" w:themeFill="accent3" w:themeFillTint="33"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10330</w:t>
            </w:r>
          </w:p>
        </w:tc>
      </w:tr>
    </w:tbl>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ab/>
      </w:r>
    </w:p>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Чисельність дітей старшого дошкільного віку</w:t>
      </w:r>
    </w:p>
    <w:tbl>
      <w:tblPr>
        <w:tblW w:w="9854"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2337"/>
        <w:gridCol w:w="1120"/>
        <w:gridCol w:w="1141"/>
        <w:gridCol w:w="1154"/>
        <w:gridCol w:w="1154"/>
        <w:gridCol w:w="1153"/>
        <w:gridCol w:w="1794"/>
      </w:tblGrid>
      <w:tr>
        <w:trPr/>
        <w:tc>
          <w:tcPr>
            <w:tcW w:w="2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2010</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2011</w:t>
            </w:r>
          </w:p>
        </w:tc>
        <w:tc>
          <w:tcPr>
            <w:tcW w:w="11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2012</w:t>
            </w:r>
          </w:p>
        </w:tc>
        <w:tc>
          <w:tcPr>
            <w:tcW w:w="11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2013</w:t>
            </w:r>
          </w:p>
        </w:tc>
        <w:tc>
          <w:tcPr>
            <w:tcW w:w="11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2014</w:t>
            </w:r>
          </w:p>
        </w:tc>
        <w:tc>
          <w:tcPr>
            <w:tcW w:w="1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2015</w:t>
            </w:r>
          </w:p>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К-сть дітей, що залишаються в ДНЗ</w:t>
            </w:r>
          </w:p>
        </w:tc>
      </w:tr>
      <w:tr>
        <w:trPr/>
        <w:tc>
          <w:tcPr>
            <w:tcW w:w="2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Кількість  дітей 5 років</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22795</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22274</w:t>
            </w:r>
          </w:p>
        </w:tc>
        <w:tc>
          <w:tcPr>
            <w:tcW w:w="11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24862</w:t>
            </w:r>
          </w:p>
        </w:tc>
        <w:tc>
          <w:tcPr>
            <w:tcW w:w="11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26395</w:t>
            </w:r>
          </w:p>
        </w:tc>
        <w:tc>
          <w:tcPr>
            <w:tcW w:w="11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27311</w:t>
            </w:r>
          </w:p>
        </w:tc>
        <w:tc>
          <w:tcPr>
            <w:tcW w:w="1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r>
          </w:p>
        </w:tc>
      </w:tr>
      <w:tr>
        <w:trPr/>
        <w:tc>
          <w:tcPr>
            <w:tcW w:w="2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Кількість  дітей 6 років</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21817</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22867</w:t>
            </w:r>
          </w:p>
        </w:tc>
        <w:tc>
          <w:tcPr>
            <w:tcW w:w="11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23838</w:t>
            </w:r>
          </w:p>
        </w:tc>
        <w:tc>
          <w:tcPr>
            <w:tcW w:w="11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25206</w:t>
            </w:r>
          </w:p>
        </w:tc>
        <w:tc>
          <w:tcPr>
            <w:tcW w:w="11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27441</w:t>
            </w:r>
          </w:p>
        </w:tc>
        <w:tc>
          <w:tcPr>
            <w:tcW w:w="1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4940</w:t>
            </w:r>
          </w:p>
        </w:tc>
      </w:tr>
      <w:tr>
        <w:trPr/>
        <w:tc>
          <w:tcPr>
            <w:tcW w:w="233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Кількість  дітей 7 років</w:t>
            </w:r>
          </w:p>
        </w:tc>
        <w:tc>
          <w:tcPr>
            <w:tcW w:w="112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2968</w:t>
            </w:r>
          </w:p>
        </w:tc>
        <w:tc>
          <w:tcPr>
            <w:tcW w:w="11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3676</w:t>
            </w:r>
          </w:p>
        </w:tc>
        <w:tc>
          <w:tcPr>
            <w:tcW w:w="11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3661</w:t>
            </w:r>
          </w:p>
        </w:tc>
        <w:tc>
          <w:tcPr>
            <w:tcW w:w="11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4077</w:t>
            </w:r>
          </w:p>
        </w:tc>
        <w:tc>
          <w:tcPr>
            <w:tcW w:w="115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i/>
                <w:i/>
                <w:sz w:val="28"/>
                <w:szCs w:val="28"/>
                <w:lang w:eastAsia="uk-UA"/>
              </w:rPr>
            </w:pPr>
            <w:r>
              <w:rPr>
                <w:rFonts w:eastAsia="Times New Roman" w:cs="Times New Roman" w:ascii="Times New Roman" w:hAnsi="Times New Roman"/>
                <w:sz w:val="28"/>
                <w:szCs w:val="28"/>
                <w:lang w:eastAsia="uk-UA"/>
              </w:rPr>
              <w:t>4599</w:t>
            </w:r>
          </w:p>
        </w:tc>
        <w:tc>
          <w:tcPr>
            <w:tcW w:w="17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0" w:after="0"/>
              <w:jc w:val="center"/>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67</w:t>
            </w:r>
          </w:p>
        </w:tc>
      </w:tr>
    </w:tbl>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У 2015-2016 навчальному році за рішенням батьків не пішли до школи та залишилися в дошкільних навчальних закладах 4940 дітей шестирічного віку та 67 дітей семирічного віку, що становить 5 тисяч місць для дітей дошкільного віку –  250 груп, що становить 18% від загальної кількості старших груп (1408).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У зв’язку із прийняттям Закону України «Про внесення змін до законодавчих актів з питань загальної середньої та доршкільної освіти щодо організації навчально-виховного процесу» від 06.07.2010 №2442-VІ в частині забезпечення обов’язковості здобуття дошкільної освіти дітьми п’ятирічного віку, кількість вихованців дошкільних навчальних закладів цього віку зросла майже на 5 тисяч.</w:t>
      </w:r>
    </w:p>
    <w:p>
      <w:pPr>
        <w:pStyle w:val="HTMLPreformatted"/>
        <w:shd w:val="clear" w:color="auto" w:fill="FFFFFF"/>
        <w:textAlignment w:val="baseline"/>
        <w:rPr>
          <w:rFonts w:ascii="Times New Roman" w:hAnsi="Times New Roman" w:cs="Times New Roman"/>
          <w:color w:val="FF0000"/>
          <w:sz w:val="28"/>
          <w:szCs w:val="28"/>
        </w:rPr>
      </w:pPr>
      <w:r>
        <w:rPr>
          <w:rFonts w:cs="Times New Roman" w:ascii="Times New Roman" w:hAnsi="Times New Roman"/>
          <w:color w:val="FF0000"/>
          <w:sz w:val="28"/>
          <w:szCs w:val="28"/>
        </w:rPr>
      </w:r>
    </w:p>
    <w:p>
      <w:pPr>
        <w:pStyle w:val="Normal"/>
        <w:jc w:val="center"/>
        <w:rPr>
          <w:rFonts w:ascii="Times New Roman" w:hAnsi="Times New Roman" w:eastAsia="Times New Roman" w:cs="Times New Roman"/>
          <w:color w:val="FF0000"/>
          <w:sz w:val="28"/>
          <w:szCs w:val="28"/>
          <w:lang w:eastAsia="uk-UA"/>
        </w:rPr>
      </w:pPr>
      <w:r>
        <w:rPr/>
        <w:drawing>
          <wp:inline distT="0" distB="0" distL="0" distR="0">
            <wp:extent cx="6192520" cy="2629535"/>
            <wp:effectExtent l="0" t="0" r="0" b="0"/>
            <wp:docPr id="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4"/>
              </a:graphicData>
            </a:graphic>
          </wp:inline>
        </w:drawing>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Розпочато створення дошкільних груп з короткотривалим перебуванням для дітей п’ятирічного віку в приміщеннях загальноосвітніх навчальних закладів Голосіївського, Святошинського та Шевченківського районів міста Києва.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Водночас діти п’ятирічного віку мають право здобувати освіту або отримувати додаткові освітні послуги в міських закладах позашкільної освіти: усього в позашкільних навчальних закладах охоплено 5797 дітей п′ятирічного віку, з них 1331 дитина не відвідує дошкільні навчальні заклади, що становить 23% від загальної кількості.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Відповідно до статей 9, 33 Закону України «Про дошкільну освіту» забезпечуються рівні права на здобуття дошкільної освіти, соціальний захист, підтримку дітей з особливими потребами, дітей з інвалідністю, які потребують корекції фізичного та (або) розумового розвитку, реабілітації.  Усього в місті функціонує 931 група компенсуючого типу (437 санаторних, 494 спеціальних), у них 16 215 дітей, що становить 15% від загальної кількості дітей у дитсадках. </w:t>
      </w:r>
    </w:p>
    <w:p>
      <w:pPr>
        <w:pStyle w:val="Normal"/>
        <w:ind w:firstLine="709"/>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Оптимізація мережі груп компенсуючого типу</w:t>
      </w:r>
    </w:p>
    <w:tbl>
      <w:tblPr>
        <w:tblW w:w="8085"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firstRow="1" w:noVBand="1" w:lastRow="0" w:firstColumn="1" w:lastColumn="0" w:noHBand="0" w:val="04a0"/>
      </w:tblPr>
      <w:tblGrid>
        <w:gridCol w:w="2128"/>
        <w:gridCol w:w="993"/>
        <w:gridCol w:w="993"/>
        <w:gridCol w:w="1"/>
        <w:gridCol w:w="992"/>
        <w:gridCol w:w="992"/>
        <w:gridCol w:w="1"/>
        <w:gridCol w:w="991"/>
        <w:gridCol w:w="993"/>
      </w:tblGrid>
      <w:tr>
        <w:trPr/>
        <w:tc>
          <w:tcPr>
            <w:tcW w:w="212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 xml:space="preserve">% від загальної кількості дітей у дитсадках </w:t>
            </w:r>
          </w:p>
        </w:tc>
        <w:tc>
          <w:tcPr>
            <w:tcW w:w="198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2012 рік</w:t>
            </w:r>
          </w:p>
        </w:tc>
        <w:tc>
          <w:tcPr>
            <w:tcW w:w="198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2013 рік</w:t>
            </w:r>
          </w:p>
        </w:tc>
        <w:tc>
          <w:tcPr>
            <w:tcW w:w="198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2014 рік</w:t>
            </w:r>
          </w:p>
        </w:tc>
      </w:tr>
      <w:tr>
        <w:trPr/>
        <w:tc>
          <w:tcPr>
            <w:tcW w:w="212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груп</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дітей</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груп</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дітей</w:t>
            </w:r>
          </w:p>
        </w:tc>
        <w:tc>
          <w:tcPr>
            <w:tcW w:w="9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груп</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дітей</w:t>
            </w:r>
          </w:p>
        </w:tc>
      </w:tr>
      <w:tr>
        <w:trPr>
          <w:trHeight w:val="544" w:hRule="atLeast"/>
        </w:trPr>
        <w:tc>
          <w:tcPr>
            <w:tcW w:w="212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sz w:val="28"/>
                <w:szCs w:val="28"/>
                <w:lang w:eastAsia="uk-UA"/>
              </w:rPr>
            </w:pPr>
            <w:r>
              <w:rPr>
                <w:rFonts w:eastAsia="Calibri" w:cs="Times New Roman" w:ascii="Times New Roman" w:hAnsi="Times New Roman"/>
                <w:sz w:val="28"/>
                <w:szCs w:val="28"/>
                <w:lang w:eastAsia="uk-UA"/>
              </w:rPr>
              <w:t>896</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sz w:val="28"/>
                <w:szCs w:val="28"/>
                <w:lang w:eastAsia="uk-UA"/>
              </w:rPr>
            </w:pPr>
            <w:r>
              <w:rPr>
                <w:rFonts w:eastAsia="Calibri" w:cs="Times New Roman" w:ascii="Times New Roman" w:hAnsi="Times New Roman"/>
                <w:sz w:val="28"/>
                <w:szCs w:val="28"/>
                <w:lang w:eastAsia="uk-UA"/>
              </w:rPr>
              <w:t>15791</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925</w:t>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16304</w:t>
            </w:r>
          </w:p>
        </w:tc>
        <w:tc>
          <w:tcPr>
            <w:tcW w:w="9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931</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16215</w:t>
            </w:r>
          </w:p>
        </w:tc>
      </w:tr>
      <w:tr>
        <w:trPr/>
        <w:tc>
          <w:tcPr>
            <w:tcW w:w="212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sz w:val="28"/>
                <w:szCs w:val="28"/>
                <w:lang w:eastAsia="uk-UA"/>
              </w:rPr>
            </w:pPr>
            <w:r>
              <w:rPr>
                <w:rFonts w:eastAsia="Calibri" w:cs="Times New Roman" w:ascii="Times New Roman" w:hAnsi="Times New Roman"/>
                <w:sz w:val="28"/>
                <w:szCs w:val="28"/>
                <w:lang w:eastAsia="uk-UA"/>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sz w:val="28"/>
                <w:szCs w:val="28"/>
                <w:lang w:eastAsia="uk-UA"/>
              </w:rPr>
            </w:pPr>
            <w:r>
              <w:rPr>
                <w:rFonts w:eastAsia="Times New Roman" w:cs="Times New Roman" w:ascii="Times New Roman" w:hAnsi="Times New Roman"/>
                <w:sz w:val="28"/>
                <w:szCs w:val="28"/>
                <w:lang w:eastAsia="ru-RU"/>
              </w:rPr>
              <w:t>15,7%</w:t>
            </w:r>
          </w:p>
        </w:tc>
        <w:tc>
          <w:tcPr>
            <w:tcW w:w="9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r>
          </w:p>
        </w:tc>
        <w:tc>
          <w:tcPr>
            <w:tcW w:w="9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15,5%</w:t>
            </w:r>
          </w:p>
        </w:tc>
        <w:tc>
          <w:tcPr>
            <w:tcW w:w="99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rFonts w:ascii="Times New Roman" w:hAnsi="Times New Roman" w:eastAsia="Calibri" w:cs="Times New Roman"/>
                <w:color w:val="000000"/>
                <w:sz w:val="28"/>
                <w:szCs w:val="28"/>
                <w:lang w:eastAsia="uk-UA"/>
              </w:rPr>
            </w:pPr>
            <w:r>
              <w:rPr>
                <w:rFonts w:eastAsia="Calibri" w:cs="Times New Roman" w:ascii="Times New Roman" w:hAnsi="Times New Roman"/>
                <w:color w:val="000000"/>
                <w:sz w:val="28"/>
                <w:szCs w:val="28"/>
                <w:lang w:eastAsia="uk-UA"/>
              </w:rPr>
              <w:t>15%</w:t>
            </w:r>
          </w:p>
        </w:tc>
      </w:tr>
    </w:tbl>
    <w:p>
      <w:pPr>
        <w:pStyle w:val="Normal"/>
        <w:spacing w:beforeAutospacing="1" w:afterAutospacing="1"/>
        <w:ind w:firstLine="708"/>
        <w:jc w:val="both"/>
        <w:rPr>
          <w:rFonts w:ascii="Times New Roman" w:hAnsi="Times New Roman" w:eastAsia="Times New Roman" w:cs="Times New Roman"/>
          <w:sz w:val="28"/>
          <w:szCs w:val="28"/>
          <w:lang w:eastAsia="uk-UA"/>
        </w:rPr>
      </w:pPr>
      <w:r>
        <w:rPr>
          <w:rFonts w:eastAsia="Times New Roman" w:cs="Times New Roman" w:ascii="Times New Roman" w:hAnsi="Times New Roman"/>
          <w:color w:val="000000"/>
          <w:sz w:val="28"/>
          <w:szCs w:val="28"/>
          <w:lang w:eastAsia="uk-UA"/>
        </w:rPr>
        <w:t xml:space="preserve">Через великий попит населення на інклюзивну освіту дітей дошкільного віку </w:t>
      </w:r>
      <w:r>
        <w:rPr>
          <w:rFonts w:eastAsia="Times New Roman" w:cs="Times New Roman" w:ascii="Times New Roman" w:hAnsi="Times New Roman"/>
          <w:color w:val="000000"/>
          <w:sz w:val="28"/>
          <w:szCs w:val="28"/>
          <w:lang w:eastAsia="uk-UA"/>
        </w:rPr>
        <w:t>відкрито 24 групи інклюзивного навчання в усіх районах м. Києва, за винятком Голосіївського та Дніпровського районів. У них виховується 60 дітей з особливостями психофізичного розвитку, переважно з синдромом Дауна.</w:t>
      </w:r>
      <w:r>
        <w:rPr>
          <w:rFonts w:eastAsia="Times New Roman" w:cs="Times New Roman" w:ascii="Times New Roman" w:hAnsi="Times New Roman"/>
          <w:sz w:val="28"/>
          <w:szCs w:val="28"/>
          <w:lang w:eastAsia="uk-UA"/>
        </w:rPr>
        <w:t xml:space="preserve">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З 1 квітня 2013 року в місті Києві працює система електронного запису дітей до дошкільних навчальних закладів м. Києва, що реалізує єдиний підхід до прийому дітей до дошкільних навчальних закладів, шкіл-дитячих садків та навчально-виховних комплексів комунальної власності територіальної громади міста Києва. </w:t>
      </w:r>
    </w:p>
    <w:p>
      <w:pPr>
        <w:sectPr>
          <w:headerReference w:type="even" r:id="rId5"/>
          <w:headerReference w:type="default" r:id="rId6"/>
          <w:headerReference w:type="first" r:id="rId7"/>
          <w:type w:val="nextPage"/>
          <w:pgSz w:w="11906" w:h="16838"/>
          <w:pgMar w:left="1134" w:right="567" w:header="709" w:top="851" w:footer="0" w:bottom="851" w:gutter="0"/>
          <w:pgNumType w:fmt="decimal"/>
          <w:formProt w:val="false"/>
          <w:titlePg/>
          <w:textDirection w:val="lrTb"/>
          <w:docGrid w:type="default" w:linePitch="360" w:charSpace="4294965247"/>
        </w:sectPr>
        <w:pStyle w:val="Normal"/>
        <w:rPr>
          <w:rFonts w:ascii="Times New Roman" w:hAnsi="Times New Roman" w:cs="Times New Roman"/>
          <w:sz w:val="28"/>
          <w:szCs w:val="28"/>
        </w:rPr>
      </w:pPr>
      <w:r>
        <w:rPr>
          <w:rFonts w:cs="Times New Roman" w:ascii="Times New Roman" w:hAnsi="Times New Roman"/>
          <w:sz w:val="28"/>
          <w:szCs w:val="28"/>
        </w:rPr>
      </w:r>
    </w:p>
    <w:p>
      <w:pPr>
        <w:pStyle w:val="2"/>
        <w:spacing w:before="120" w:after="120"/>
        <w:jc w:val="center"/>
        <w:rPr>
          <w:rFonts w:ascii="Times New Roman" w:hAnsi="Times New Roman" w:cs="Times New Roman"/>
          <w:b w:val="false"/>
          <w:b w:val="false"/>
          <w:color w:val="00000A"/>
          <w:sz w:val="28"/>
          <w:szCs w:val="28"/>
        </w:rPr>
      </w:pPr>
      <w:bookmarkStart w:id="9" w:name="_Toc431397863"/>
      <w:r>
        <w:rPr>
          <w:rStyle w:val="22"/>
          <w:rFonts w:cs="Times New Roman"/>
          <w:b w:val="false"/>
          <w:color w:val="00000A"/>
          <w:szCs w:val="28"/>
        </w:rPr>
        <w:t>Напрями діяльності, завдання та заходи</w:t>
      </w:r>
      <w:bookmarkEnd w:id="9"/>
      <w:r>
        <w:rPr>
          <w:rFonts w:cs="Times New Roman" w:ascii="Times New Roman" w:hAnsi="Times New Roman"/>
          <w:b w:val="false"/>
          <w:color w:val="00000A"/>
          <w:sz w:val="28"/>
          <w:szCs w:val="28"/>
        </w:rPr>
        <w:t xml:space="preserve"> підпрограми «Дошкільна освіта»</w:t>
      </w:r>
    </w:p>
    <w:tbl>
      <w:tblPr>
        <w:tblW w:w="15417"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564"/>
        <w:gridCol w:w="2265"/>
        <w:gridCol w:w="289"/>
        <w:gridCol w:w="2515"/>
        <w:gridCol w:w="31"/>
        <w:gridCol w:w="1558"/>
        <w:gridCol w:w="2"/>
        <w:gridCol w:w="1841"/>
        <w:gridCol w:w="1"/>
        <w:gridCol w:w="1704"/>
        <w:gridCol w:w="1"/>
        <w:gridCol w:w="2126"/>
        <w:gridCol w:w="2"/>
        <w:gridCol w:w="2516"/>
      </w:tblGrid>
      <w:tr>
        <w:trPr>
          <w:tblHeader w:val="true"/>
        </w:trPr>
        <w:tc>
          <w:tcPr>
            <w:tcW w:w="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w:t>
            </w:r>
          </w:p>
        </w:tc>
        <w:tc>
          <w:tcPr>
            <w:tcW w:w="2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Назва напряму діяльності (пріоритетні завдання)</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8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Заходи підпрограми</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Терміни виконання заходу</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Виконавці</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Джерела фінансування</w:t>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Орієнтовні обсяги фінансування (вартість), тис. гривень, у тому числі за роками:</w:t>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Очікуваний результат</w:t>
            </w:r>
          </w:p>
        </w:tc>
      </w:tr>
      <w:tr>
        <w:trPr>
          <w:tblHeader w:val="true"/>
        </w:trPr>
        <w:tc>
          <w:tcPr>
            <w:tcW w:w="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0"/>
                <w:szCs w:val="20"/>
              </w:rPr>
            </w:pPr>
            <w:r>
              <w:rPr>
                <w:rFonts w:cs="Times New Roman" w:ascii="Times New Roman" w:hAnsi="Times New Roman"/>
                <w:sz w:val="20"/>
                <w:szCs w:val="20"/>
              </w:rPr>
              <w:t>1</w:t>
            </w:r>
          </w:p>
        </w:tc>
        <w:tc>
          <w:tcPr>
            <w:tcW w:w="2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0"/>
                <w:szCs w:val="20"/>
              </w:rPr>
            </w:pPr>
            <w:r>
              <w:rPr>
                <w:rFonts w:cs="Times New Roman" w:ascii="Times New Roman" w:hAnsi="Times New Roman"/>
                <w:sz w:val="20"/>
                <w:szCs w:val="20"/>
              </w:rPr>
              <w:t>2</w:t>
            </w:r>
          </w:p>
        </w:tc>
        <w:tc>
          <w:tcPr>
            <w:tcW w:w="28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0"/>
                <w:szCs w:val="20"/>
              </w:rPr>
            </w:pPr>
            <w:r>
              <w:rPr>
                <w:rFonts w:cs="Times New Roman" w:ascii="Times New Roman" w:hAnsi="Times New Roman"/>
                <w:sz w:val="20"/>
                <w:szCs w:val="20"/>
              </w:rPr>
              <w:t>3</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0"/>
                <w:szCs w:val="20"/>
              </w:rPr>
            </w:pPr>
            <w:r>
              <w:rPr>
                <w:rFonts w:cs="Times New Roman" w:ascii="Times New Roman" w:hAnsi="Times New Roman"/>
                <w:sz w:val="20"/>
                <w:szCs w:val="20"/>
              </w:rPr>
              <w:t>4</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0"/>
                <w:szCs w:val="20"/>
              </w:rPr>
            </w:pPr>
            <w:r>
              <w:rPr>
                <w:rFonts w:cs="Times New Roman" w:ascii="Times New Roman" w:hAnsi="Times New Roman"/>
                <w:sz w:val="20"/>
                <w:szCs w:val="20"/>
              </w:rPr>
              <w:t>5</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0"/>
                <w:szCs w:val="20"/>
              </w:rPr>
            </w:pPr>
            <w:r>
              <w:rPr>
                <w:rFonts w:cs="Times New Roman" w:ascii="Times New Roman" w:hAnsi="Times New Roman"/>
                <w:sz w:val="20"/>
                <w:szCs w:val="20"/>
              </w:rPr>
              <w:t>6</w:t>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0"/>
                <w:szCs w:val="20"/>
              </w:rPr>
            </w:pPr>
            <w:r>
              <w:rPr>
                <w:rFonts w:cs="Times New Roman" w:ascii="Times New Roman" w:hAnsi="Times New Roman"/>
                <w:sz w:val="20"/>
                <w:szCs w:val="20"/>
              </w:rPr>
              <w:t>7</w:t>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0"/>
                <w:szCs w:val="20"/>
              </w:rPr>
            </w:pPr>
            <w:r>
              <w:rPr>
                <w:rFonts w:cs="Times New Roman" w:ascii="Times New Roman" w:hAnsi="Times New Roman"/>
                <w:sz w:val="20"/>
                <w:szCs w:val="20"/>
              </w:rPr>
              <w:t>8</w:t>
            </w:r>
          </w:p>
        </w:tc>
      </w:tr>
      <w:tr>
        <w:trPr>
          <w:tblHeader w:val="true"/>
        </w:trPr>
        <w:tc>
          <w:tcPr>
            <w:tcW w:w="56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1</w:t>
            </w:r>
          </w:p>
        </w:tc>
        <w:tc>
          <w:tcPr>
            <w:tcW w:w="226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Здійснення заходів щодо збереження  та розширення мережі дошкільних навчальних закладів</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8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Забезпечити збереження та збільшення контингенту дітей, відкриття нових груп (забезпечити оплату праці (у т.ч. нарахування на фонд оплати праці,  оплата комунальних послуг та енергоносіїв)</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управління освіти, Департамент освіти і науки, молоді та спорту</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rPr>
            </w:pPr>
            <w:r>
              <w:rPr>
                <w:rFonts w:cs="Times New Roman" w:ascii="Times New Roman" w:hAnsi="Times New Roman"/>
                <w:sz w:val="24"/>
                <w:szCs w:val="24"/>
              </w:rPr>
              <w:t xml:space="preserve">Бюджет м. Києва, власні </w:t>
            </w:r>
            <w:r>
              <w:rPr>
                <w:rFonts w:cs="Times New Roman" w:ascii="Times New Roman" w:hAnsi="Times New Roman"/>
              </w:rPr>
              <w:t xml:space="preserve">надходження </w:t>
            </w:r>
          </w:p>
          <w:p>
            <w:pPr>
              <w:pStyle w:val="Normal"/>
              <w:spacing w:lineRule="auto" w:line="240" w:before="200" w:after="0"/>
              <w:jc w:val="center"/>
              <w:rPr>
                <w:rFonts w:ascii="Times New Roman" w:hAnsi="Times New Roman" w:cs="Times New Roman"/>
                <w:b/>
                <w:b/>
                <w:sz w:val="24"/>
                <w:szCs w:val="24"/>
              </w:rPr>
            </w:pPr>
            <w:r>
              <w:rPr>
                <w:rFonts w:cs="Times New Roman" w:ascii="Times New Roman" w:hAnsi="Times New Roman"/>
                <w:b/>
                <w:sz w:val="24"/>
                <w:szCs w:val="24"/>
              </w:rPr>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Усього:</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5 900 724,9</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200" w:after="0"/>
              <w:rPr>
                <w:rFonts w:ascii="Times New Roman" w:hAnsi="Times New Roman" w:cs="Times New Roman"/>
                <w:sz w:val="12"/>
                <w:szCs w:val="12"/>
              </w:rPr>
            </w:pPr>
            <w:r>
              <w:rPr>
                <w:rFonts w:cs="Times New Roman" w:ascii="Times New Roman" w:hAnsi="Times New Roman"/>
                <w:sz w:val="12"/>
                <w:szCs w:val="12"/>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Бюджет м. Києва загальний фонд: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5 254 046,2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                     2016 р.-1 637 360,0       2017 р.-1 759 652,8</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2018 р.-1 857 033,4</w:t>
            </w:r>
          </w:p>
          <w:p>
            <w:pPr>
              <w:pStyle w:val="Normal"/>
              <w:spacing w:lineRule="auto" w:line="240" w:before="200" w:after="0"/>
              <w:rPr>
                <w:rFonts w:ascii="Times New Roman" w:hAnsi="Times New Roman" w:cs="Times New Roman"/>
                <w:sz w:val="12"/>
                <w:szCs w:val="12"/>
              </w:rPr>
            </w:pPr>
            <w:r>
              <w:rPr>
                <w:rFonts w:cs="Times New Roman" w:ascii="Times New Roman" w:hAnsi="Times New Roman"/>
                <w:sz w:val="12"/>
                <w:szCs w:val="12"/>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власні надходження: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646 678,7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                     2016 р.-</w:t>
            </w:r>
            <w:r>
              <w:rPr>
                <w:rFonts w:cs="Times New Roman" w:ascii="Times New Roman" w:hAnsi="Times New Roman"/>
              </w:rPr>
              <w:t xml:space="preserve"> </w:t>
            </w:r>
            <w:r>
              <w:rPr>
                <w:rFonts w:cs="Times New Roman" w:ascii="Times New Roman" w:hAnsi="Times New Roman"/>
                <w:sz w:val="24"/>
                <w:szCs w:val="24"/>
              </w:rPr>
              <w:t>200 741,2       2017 р.-</w:t>
            </w:r>
            <w:r>
              <w:rPr>
                <w:rFonts w:cs="Times New Roman" w:ascii="Times New Roman" w:hAnsi="Times New Roman"/>
              </w:rPr>
              <w:t xml:space="preserve"> </w:t>
            </w:r>
            <w:r>
              <w:rPr>
                <w:rFonts w:cs="Times New Roman" w:ascii="Times New Roman" w:hAnsi="Times New Roman"/>
                <w:sz w:val="24"/>
                <w:szCs w:val="24"/>
              </w:rPr>
              <w:t>217 001,2</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2018 р.-</w:t>
            </w:r>
            <w:r>
              <w:rPr>
                <w:rFonts w:cs="Times New Roman" w:ascii="Times New Roman" w:hAnsi="Times New Roman"/>
              </w:rPr>
              <w:t xml:space="preserve"> </w:t>
            </w:r>
            <w:r>
              <w:rPr>
                <w:rFonts w:cs="Times New Roman" w:ascii="Times New Roman" w:hAnsi="Times New Roman"/>
                <w:sz w:val="24"/>
                <w:szCs w:val="24"/>
              </w:rPr>
              <w:t>228 936,3</w:t>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lang w:eastAsia="uk-UA"/>
              </w:rPr>
              <w:t>Збереження,  вдосконалення та розширення діючої мережі дошкільних навчальних закладів комунальної форми власності до 539 одиниць по місту Києву</w:t>
            </w:r>
          </w:p>
        </w:tc>
      </w:tr>
      <w:tr>
        <w:trPr>
          <w:tblHeader w:val="true"/>
        </w:trPr>
        <w:tc>
          <w:tcPr>
            <w:tcW w:w="5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8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Забезпечити харчування дітей дошкільного віку відповідно до норм, визначених чинним законодавством</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управління освіти, Департамент освіти і науки, молоді та спорту</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Усього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Загальний фонд: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441 859,6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                     2016 р.  – 137 161,5                     2017 р. -  148 271,6 2018 р. – 156 426,5</w:t>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lang w:eastAsia="uk-UA"/>
              </w:rPr>
            </w:pPr>
            <w:r>
              <w:rPr>
                <w:rFonts w:cs="Times New Roman" w:ascii="Times New Roman" w:hAnsi="Times New Roman"/>
                <w:sz w:val="24"/>
                <w:szCs w:val="24"/>
                <w:lang w:eastAsia="uk-UA"/>
              </w:rPr>
              <w:t>100% виконання норм харчування дітей дошкільного віку, забезпечення соціального захисту дітей</w:t>
            </w:r>
          </w:p>
        </w:tc>
      </w:tr>
      <w:tr>
        <w:trPr>
          <w:tblHeader w:val="true"/>
        </w:trPr>
        <w:tc>
          <w:tcPr>
            <w:tcW w:w="5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8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Забезпечити ДНЗ медикаментами та перев’язувальними матеріалами</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pPr>
            <w:r>
              <w:rPr>
                <w:rFonts w:cs="Times New Roman" w:ascii="Times New Roman" w:hAnsi="Times New Roman"/>
                <w:sz w:val="24"/>
                <w:szCs w:val="24"/>
              </w:rPr>
              <w:t>Усього</w:t>
            </w:r>
            <w:r>
              <w:rPr/>
              <w:t xml:space="preserve">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Загальний фонд: 426,2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                     2016 р.  - 132,3                    2017 р. -  143,0    2018 р. – 150,9</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100% забезпечення та своєчасне поновлення  лікарськими засобами медичних кабінетах дошкільних навчальних закладів для надання невідкладної допомоги</w:t>
            </w:r>
          </w:p>
        </w:tc>
      </w:tr>
      <w:tr>
        <w:trPr>
          <w:tblHeader w:val="true"/>
        </w:trPr>
        <w:tc>
          <w:tcPr>
            <w:tcW w:w="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8502"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Разом:</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6 343 010,7</w:t>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blHeader w:val="true"/>
        </w:trPr>
        <w:tc>
          <w:tcPr>
            <w:tcW w:w="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w:t>
            </w:r>
          </w:p>
        </w:tc>
        <w:tc>
          <w:tcPr>
            <w:tcW w:w="2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Удосконалення та утримання на належному рівні матеріально-технічної бази освітньої інфраструктури та розвиток освітньо-розвивального простору ДНЗ</w:t>
            </w:r>
          </w:p>
        </w:tc>
        <w:tc>
          <w:tcPr>
            <w:tcW w:w="2835"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eastAsia="Times New Roman" w:cs="Times New Roman"/>
                <w:bCs/>
                <w:sz w:val="24"/>
                <w:szCs w:val="24"/>
                <w:lang w:eastAsia="uk-UA"/>
              </w:rPr>
            </w:pPr>
            <w:r>
              <w:rPr>
                <w:rFonts w:eastAsia="Times New Roman" w:cs="Times New Roman" w:ascii="Times New Roman" w:hAnsi="Times New Roman"/>
                <w:bCs/>
                <w:sz w:val="24"/>
                <w:szCs w:val="24"/>
                <w:lang w:eastAsia="uk-UA"/>
              </w:rPr>
              <w:t xml:space="preserve">Оновити програмно-технічний комплекс електронного запису дітей до ДНЗ </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rFonts w:ascii="Times New Roman" w:hAnsi="Times New Roman" w:cs="Times New Roman"/>
              </w:rPr>
            </w:pPr>
            <w:r>
              <w:rPr>
                <w:rFonts w:cs="Times New Roman" w:ascii="Times New Roman" w:hAnsi="Times New Roman"/>
                <w:sz w:val="24"/>
                <w:szCs w:val="24"/>
              </w:rPr>
              <w:t>Департамент освіти і науки, молоді та спорту</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Усього</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загальний фонд: 725,5</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2016 р. – 625,5</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2017 р. – 100,0</w:t>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Забезпечення прийому  дітей  до ДНЗ у порядку черговості електронного запису,  протидія корупції</w:t>
            </w:r>
          </w:p>
        </w:tc>
      </w:tr>
      <w:tr>
        <w:trPr>
          <w:tblHeader w:val="true"/>
          <w:trHeight w:val="633" w:hRule="atLeast"/>
        </w:trPr>
        <w:tc>
          <w:tcPr>
            <w:tcW w:w="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8502"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Разом:</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725,5</w:t>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blHeader w:val="true"/>
          <w:trHeight w:val="60" w:hRule="atLeast"/>
        </w:trPr>
        <w:tc>
          <w:tcPr>
            <w:tcW w:w="56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3</w:t>
            </w:r>
          </w:p>
        </w:tc>
        <w:tc>
          <w:tcPr>
            <w:tcW w:w="2554"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Розвиток мережі та потужностей дошкільних навчальних закладів</w:t>
            </w:r>
          </w:p>
        </w:tc>
        <w:tc>
          <w:tcPr>
            <w:tcW w:w="2515" w:type="dxa"/>
            <w:tcBorders>
              <w:top w:val="single" w:sz="4" w:space="0" w:color="00000A"/>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1589" w:type="dxa"/>
            <w:gridSpan w:val="2"/>
            <w:tcBorders>
              <w:top w:val="single" w:sz="4" w:space="0" w:color="00000A"/>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1843" w:type="dxa"/>
            <w:gridSpan w:val="2"/>
            <w:tcBorders>
              <w:top w:val="single" w:sz="4" w:space="0" w:color="00000A"/>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1705" w:type="dxa"/>
            <w:gridSpan w:val="2"/>
            <w:tcBorders>
              <w:top w:val="single" w:sz="4" w:space="0" w:color="00000A"/>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127" w:type="dxa"/>
            <w:gridSpan w:val="2"/>
            <w:tcBorders>
              <w:top w:val="single" w:sz="4" w:space="0" w:color="00000A"/>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518" w:type="dxa"/>
            <w:gridSpan w:val="2"/>
            <w:tcBorders>
              <w:top w:val="single" w:sz="4" w:space="0" w:color="00000A"/>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blHeader w:val="true"/>
          <w:trHeight w:val="60" w:hRule="atLeast"/>
        </w:trPr>
        <w:tc>
          <w:tcPr>
            <w:tcW w:w="5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55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515" w:type="dxa"/>
            <w:tcBorders>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1589" w:type="dxa"/>
            <w:gridSpan w:val="2"/>
            <w:tcBorders>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1843" w:type="dxa"/>
            <w:gridSpan w:val="2"/>
            <w:tcBorders>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1705" w:type="dxa"/>
            <w:gridSpan w:val="2"/>
            <w:tcBorders>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127" w:type="dxa"/>
            <w:gridSpan w:val="2"/>
            <w:tcBorders>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518" w:type="dxa"/>
            <w:gridSpan w:val="2"/>
            <w:tcBorders>
              <w:left w:val="single" w:sz="4" w:space="0" w:color="00000A"/>
              <w:right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blHeader w:val="true"/>
        </w:trPr>
        <w:tc>
          <w:tcPr>
            <w:tcW w:w="5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55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546" w:type="dxa"/>
            <w:gridSpan w:val="2"/>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Забезпечити придбання програмно-технічного комплексу моніторингу харчування дітей та обліку матеріально-технічної бази </w:t>
            </w:r>
          </w:p>
        </w:tc>
        <w:tc>
          <w:tcPr>
            <w:tcW w:w="1560" w:type="dxa"/>
            <w:gridSpan w:val="2"/>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2016-2017</w:t>
            </w:r>
          </w:p>
        </w:tc>
        <w:tc>
          <w:tcPr>
            <w:tcW w:w="1842" w:type="dxa"/>
            <w:gridSpan w:val="2"/>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5" w:type="dxa"/>
            <w:gridSpan w:val="2"/>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 Києва</w:t>
            </w:r>
          </w:p>
        </w:tc>
        <w:tc>
          <w:tcPr>
            <w:tcW w:w="2128" w:type="dxa"/>
            <w:gridSpan w:val="2"/>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pPr>
            <w:r>
              <w:rPr>
                <w:rFonts w:cs="Times New Roman" w:ascii="Times New Roman" w:hAnsi="Times New Roman"/>
                <w:sz w:val="24"/>
                <w:szCs w:val="24"/>
              </w:rPr>
              <w:t>Усього</w:t>
            </w:r>
            <w:r>
              <w:rPr/>
              <w:t xml:space="preserve">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загальний фонд:</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550,0</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2016 р. – 460,0</w:t>
            </w:r>
          </w:p>
          <w:p>
            <w:pPr>
              <w:pStyle w:val="Normal"/>
              <w:spacing w:lineRule="auto" w:line="240" w:before="200" w:after="0"/>
              <w:rPr>
                <w:rFonts w:ascii="Times New Roman" w:hAnsi="Times New Roman" w:cs="Times New Roman"/>
                <w:bCs/>
                <w:sz w:val="24"/>
                <w:szCs w:val="24"/>
              </w:rPr>
            </w:pPr>
            <w:r>
              <w:rPr>
                <w:rFonts w:cs="Times New Roman" w:ascii="Times New Roman" w:hAnsi="Times New Roman"/>
                <w:sz w:val="24"/>
                <w:szCs w:val="24"/>
              </w:rPr>
              <w:t>2017 р. – 90,0</w:t>
            </w:r>
          </w:p>
        </w:tc>
        <w:tc>
          <w:tcPr>
            <w:tcW w:w="2516" w:type="dxa"/>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Удосконалення механізму контролю за організацією харчування дітей. Електронний облік матеріальних цінностей у ДНЗ</w:t>
            </w:r>
          </w:p>
        </w:tc>
      </w:tr>
      <w:tr>
        <w:trPr>
          <w:trHeight w:val="621" w:hRule="atLeast"/>
        </w:trPr>
        <w:tc>
          <w:tcPr>
            <w:tcW w:w="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8502"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Разом:</w:t>
            </w:r>
          </w:p>
          <w:p>
            <w:pPr>
              <w:pStyle w:val="Normal"/>
              <w:rPr>
                <w:rFonts w:ascii="Times New Roman" w:hAnsi="Times New Roman" w:cs="Times New Roman"/>
                <w:sz w:val="24"/>
                <w:szCs w:val="24"/>
              </w:rPr>
            </w:pPr>
            <w:r>
              <w:rPr>
                <w:rFonts w:cs="Times New Roman" w:ascii="Times New Roman" w:hAnsi="Times New Roman"/>
                <w:sz w:val="24"/>
                <w:szCs w:val="24"/>
              </w:rPr>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550,0</w:t>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c>
          <w:tcPr>
            <w:tcW w:w="56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4</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554"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Збереження  та розвиток здоров</w:t>
            </w:r>
            <w:r>
              <w:rPr>
                <w:rFonts w:cs="Times New Roman" w:ascii="Times New Roman" w:hAnsi="Times New Roman"/>
                <w:sz w:val="24"/>
                <w:szCs w:val="24"/>
                <w:lang w:val="ru-RU"/>
              </w:rPr>
              <w:t>’</w:t>
            </w:r>
            <w:r>
              <w:rPr>
                <w:rFonts w:cs="Times New Roman" w:ascii="Times New Roman" w:hAnsi="Times New Roman"/>
                <w:sz w:val="24"/>
                <w:szCs w:val="24"/>
              </w:rPr>
              <w:t>язберігаючого середовища</w:t>
            </w:r>
            <w:r>
              <w:rPr>
                <w:rFonts w:cs="Times New Roman" w:ascii="Times New Roman" w:hAnsi="Times New Roman"/>
                <w:sz w:val="24"/>
                <w:szCs w:val="24"/>
                <w:lang w:val="ru-RU"/>
              </w:rPr>
              <w:t xml:space="preserve"> </w:t>
            </w:r>
            <w:r>
              <w:rPr>
                <w:rFonts w:cs="Times New Roman" w:ascii="Times New Roman" w:hAnsi="Times New Roman"/>
                <w:sz w:val="24"/>
                <w:szCs w:val="24"/>
              </w:rPr>
              <w:t xml:space="preserve">у дошкільних навчальних закладах </w:t>
            </w:r>
          </w:p>
          <w:p>
            <w:pPr>
              <w:pStyle w:val="Normal"/>
              <w:spacing w:lineRule="auto" w:line="240" w:before="200" w:after="0"/>
              <w:rPr>
                <w:rFonts w:ascii="Times New Roman" w:hAnsi="Times New Roman" w:cs="Times New Roman"/>
                <w:color w:val="FF0000"/>
                <w:sz w:val="24"/>
                <w:szCs w:val="24"/>
              </w:rPr>
            </w:pPr>
            <w:r>
              <w:rPr>
                <w:rFonts w:cs="Times New Roman" w:ascii="Times New Roman" w:hAnsi="Times New Roman"/>
                <w:color w:val="FF0000"/>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54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color w:val="000000" w:themeColor="text1"/>
                <w:sz w:val="24"/>
                <w:szCs w:val="24"/>
              </w:rPr>
              <w:t>Забезпечити сучасним технологічним обладнанням харчоблоків дошкільних навчальних закладів</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управління освіти</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м. Києва</w:t>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pPr>
            <w:r>
              <w:rPr>
                <w:rFonts w:cs="Times New Roman" w:ascii="Times New Roman" w:hAnsi="Times New Roman"/>
                <w:bCs/>
                <w:sz w:val="24"/>
                <w:szCs w:val="24"/>
              </w:rPr>
              <w:t>Усього</w:t>
            </w:r>
            <w:r>
              <w:rPr/>
              <w:t xml:space="preserve"> </w:t>
            </w:r>
          </w:p>
          <w:p>
            <w:pPr>
              <w:pStyle w:val="Normal"/>
              <w:spacing w:lineRule="auto" w:line="240" w:before="200" w:after="0"/>
              <w:jc w:val="center"/>
              <w:rPr>
                <w:rFonts w:ascii="Times New Roman" w:hAnsi="Times New Roman" w:cs="Times New Roman"/>
                <w:bCs/>
                <w:sz w:val="24"/>
                <w:szCs w:val="24"/>
              </w:rPr>
            </w:pPr>
            <w:r>
              <w:rPr>
                <w:rFonts w:cs="Times New Roman" w:ascii="Times New Roman" w:hAnsi="Times New Roman"/>
                <w:bCs/>
                <w:sz w:val="24"/>
                <w:szCs w:val="24"/>
              </w:rPr>
              <w:t>загальний фонд:</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25 233,0</w:t>
            </w:r>
            <w:r>
              <w:rPr>
                <w:rFonts w:cs="Times New Roman" w:ascii="Times New Roman" w:hAnsi="Times New Roman"/>
                <w:sz w:val="24"/>
                <w:szCs w:val="24"/>
              </w:rPr>
              <w:br/>
              <w:t>у тому числі:</w:t>
              <w:br/>
              <w:t>2016 р. – 8 333,0</w:t>
              <w:br/>
              <w:t>2017 р. – 8 400,0</w:t>
              <w:br/>
              <w:t>2018 р. – 8 500,0</w:t>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Гармонійний розвиток дітей дошкільного віку, підвищення опору дитячого організму до захворювань</w:t>
            </w:r>
          </w:p>
        </w:tc>
      </w:tr>
      <w:tr>
        <w:trPr>
          <w:trHeight w:val="780" w:hRule="atLeast"/>
        </w:trPr>
        <w:tc>
          <w:tcPr>
            <w:tcW w:w="5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55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54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Забезпечити заміну фільтрів та картриджів для очистки проточної води в харчоблоках дошкільних навчальних закладів.</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управління освіти</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м. Києва</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pPr>
            <w:r>
              <w:rPr>
                <w:rFonts w:cs="Times New Roman" w:ascii="Times New Roman" w:hAnsi="Times New Roman"/>
                <w:bCs/>
                <w:sz w:val="24"/>
                <w:szCs w:val="24"/>
              </w:rPr>
              <w:t>Усього</w:t>
            </w:r>
            <w:r>
              <w:rPr/>
              <w:t xml:space="preserve"> </w:t>
            </w:r>
          </w:p>
          <w:p>
            <w:pPr>
              <w:pStyle w:val="Normal"/>
              <w:spacing w:lineRule="auto" w:line="240" w:before="200" w:after="0"/>
              <w:rPr>
                <w:rFonts w:ascii="Times New Roman" w:hAnsi="Times New Roman" w:cs="Times New Roman"/>
                <w:bCs/>
                <w:sz w:val="24"/>
                <w:szCs w:val="24"/>
              </w:rPr>
            </w:pPr>
            <w:r>
              <w:rPr>
                <w:rFonts w:cs="Times New Roman" w:ascii="Times New Roman" w:hAnsi="Times New Roman"/>
                <w:bCs/>
                <w:sz w:val="24"/>
                <w:szCs w:val="24"/>
              </w:rPr>
              <w:t>загальний фонд:</w:t>
            </w:r>
          </w:p>
          <w:p>
            <w:pPr>
              <w:pStyle w:val="Normal"/>
              <w:spacing w:lineRule="auto" w:line="240" w:before="200" w:after="0"/>
              <w:rPr>
                <w:rFonts w:ascii="Times New Roman" w:hAnsi="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19 477,2</w:t>
            </w:r>
            <w:r>
              <w:rPr>
                <w:rFonts w:cs="Times New Roman" w:ascii="Times New Roman" w:hAnsi="Times New Roman"/>
                <w:sz w:val="24"/>
                <w:szCs w:val="24"/>
              </w:rPr>
              <w:br/>
              <w:t>у тому числі:</w:t>
              <w:br/>
              <w:t>2016 р. – 6 046,1</w:t>
              <w:br/>
              <w:t>2017 р. – 6 535,8</w:t>
              <w:br/>
              <w:t>2018 р. – 6 895,3</w:t>
            </w:r>
          </w:p>
        </w:tc>
        <w:tc>
          <w:tcPr>
            <w:tcW w:w="251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Гармонійний розвиток дітей дошкільного віку, підвищення опору дитячого організму до захворювань</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rHeight w:val="1580" w:hRule="atLeast"/>
        </w:trPr>
        <w:tc>
          <w:tcPr>
            <w:tcW w:w="5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55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54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t>Забезпечити резервне гаряче водопостачання харчоблоків, їдалень та буфетів групових приміщень дошкільних навчальних закладів</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управління освіти</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м. Києва</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pPr>
            <w:r>
              <w:rPr>
                <w:rFonts w:cs="Times New Roman" w:ascii="Times New Roman" w:hAnsi="Times New Roman"/>
                <w:bCs/>
                <w:sz w:val="24"/>
                <w:szCs w:val="24"/>
              </w:rPr>
              <w:t>Усього</w:t>
            </w:r>
            <w:r>
              <w:rPr/>
              <w:t xml:space="preserve"> </w:t>
            </w:r>
          </w:p>
          <w:p>
            <w:pPr>
              <w:pStyle w:val="Normal"/>
              <w:spacing w:lineRule="auto" w:line="240" w:before="200" w:after="0"/>
              <w:rPr>
                <w:rFonts w:ascii="Times New Roman" w:hAnsi="Times New Roman" w:cs="Times New Roman"/>
                <w:bCs/>
                <w:sz w:val="24"/>
                <w:szCs w:val="24"/>
              </w:rPr>
            </w:pPr>
            <w:r>
              <w:rPr>
                <w:rFonts w:cs="Times New Roman" w:ascii="Times New Roman" w:hAnsi="Times New Roman"/>
                <w:bCs/>
                <w:sz w:val="24"/>
                <w:szCs w:val="24"/>
              </w:rPr>
              <w:t>загальний фонд:</w:t>
            </w:r>
          </w:p>
          <w:p>
            <w:pPr>
              <w:pStyle w:val="Normal"/>
              <w:spacing w:lineRule="auto" w:line="240" w:before="200" w:after="0"/>
              <w:rPr>
                <w:rFonts w:ascii="Times New Roman" w:hAnsi="Times New Roman" w:cs="Times New Roman"/>
                <w:bCs/>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29 250,0</w:t>
            </w:r>
            <w:r>
              <w:rPr>
                <w:rFonts w:cs="Times New Roman" w:ascii="Times New Roman" w:hAnsi="Times New Roman"/>
                <w:sz w:val="24"/>
                <w:szCs w:val="24"/>
              </w:rPr>
              <w:br/>
              <w:t>у тому числі:</w:t>
              <w:br/>
              <w:t>2016 р. – 9 250,0</w:t>
              <w:br/>
              <w:t>2017 р. – 10 000,0</w:t>
              <w:br/>
              <w:t>2018 р. – 10 000,0</w:t>
            </w:r>
          </w:p>
          <w:p>
            <w:pPr>
              <w:pStyle w:val="Normal"/>
              <w:spacing w:lineRule="auto" w:line="240" w:before="200" w:after="0"/>
              <w:rPr>
                <w:rFonts w:ascii="Times New Roman" w:hAnsi="Times New Roman" w:cs="Times New Roman"/>
                <w:bCs/>
                <w:sz w:val="24"/>
                <w:szCs w:val="24"/>
              </w:rPr>
            </w:pPr>
            <w:r>
              <w:rPr>
                <w:rFonts w:cs="Times New Roman" w:ascii="Times New Roman" w:hAnsi="Times New Roman"/>
                <w:bCs/>
                <w:sz w:val="24"/>
                <w:szCs w:val="24"/>
              </w:rPr>
            </w:r>
          </w:p>
        </w:tc>
        <w:tc>
          <w:tcPr>
            <w:tcW w:w="25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c>
          <w:tcPr>
            <w:tcW w:w="5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55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54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themeColor="text1"/>
                <w:sz w:val="24"/>
                <w:szCs w:val="24"/>
              </w:rPr>
            </w:pPr>
            <w:r>
              <w:rPr>
                <w:rFonts w:cs="Times New Roman" w:ascii="Times New Roman" w:hAnsi="Times New Roman"/>
                <w:sz w:val="24"/>
                <w:szCs w:val="24"/>
              </w:rPr>
              <w:t xml:space="preserve">Забезпечити цілодобову охорону приміщень дошкільних навчальних закладів шляхом підключення їх до системи «Тривожна кнопка» </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управління освіти</w:t>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м. Києва</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pPr>
            <w:r>
              <w:rPr>
                <w:rFonts w:cs="Times New Roman" w:ascii="Times New Roman" w:hAnsi="Times New Roman"/>
                <w:bCs/>
                <w:sz w:val="24"/>
                <w:szCs w:val="24"/>
              </w:rPr>
              <w:t>Усього</w:t>
            </w:r>
            <w:r>
              <w:rPr/>
              <w:t xml:space="preserve"> </w:t>
            </w:r>
          </w:p>
          <w:p>
            <w:pPr>
              <w:pStyle w:val="Normal"/>
              <w:spacing w:lineRule="auto" w:line="240" w:before="200" w:after="0"/>
              <w:rPr>
                <w:rFonts w:ascii="Times New Roman" w:hAnsi="Times New Roman" w:cs="Times New Roman"/>
                <w:bCs/>
                <w:sz w:val="24"/>
                <w:szCs w:val="24"/>
              </w:rPr>
            </w:pPr>
            <w:r>
              <w:rPr>
                <w:rFonts w:cs="Times New Roman" w:ascii="Times New Roman" w:hAnsi="Times New Roman"/>
                <w:bCs/>
                <w:sz w:val="24"/>
                <w:szCs w:val="24"/>
              </w:rPr>
              <w:t>загальний фонд:</w:t>
            </w:r>
          </w:p>
          <w:p>
            <w:pPr>
              <w:pStyle w:val="Normal"/>
              <w:spacing w:lineRule="auto" w:line="240" w:before="200" w:after="0"/>
              <w:rPr>
                <w:rFonts w:ascii="Times New Roman" w:hAnsi="Times New Roman" w:cs="Times New Roman"/>
                <w:sz w:val="24"/>
                <w:szCs w:val="24"/>
              </w:rPr>
            </w:pPr>
            <w:r>
              <w:rPr>
                <w:rFonts w:cs="Times New Roman" w:ascii="Times New Roman" w:hAnsi="Times New Roman"/>
                <w:bCs/>
                <w:sz w:val="24"/>
                <w:szCs w:val="24"/>
              </w:rPr>
              <w:t xml:space="preserve"> </w:t>
            </w:r>
            <w:r>
              <w:rPr>
                <w:rFonts w:cs="Times New Roman" w:ascii="Times New Roman" w:hAnsi="Times New Roman"/>
                <w:bCs/>
                <w:sz w:val="24"/>
                <w:szCs w:val="24"/>
              </w:rPr>
              <w:t>19 406,4</w:t>
            </w:r>
            <w:r>
              <w:rPr>
                <w:rFonts w:cs="Times New Roman" w:ascii="Times New Roman" w:hAnsi="Times New Roman"/>
                <w:sz w:val="24"/>
                <w:szCs w:val="24"/>
              </w:rPr>
              <w:br/>
              <w:t>у тому числі:</w:t>
              <w:br/>
              <w:t>2016 р. – 7 807,0</w:t>
              <w:br/>
              <w:t>2017 р. – 5 800,3</w:t>
            </w:r>
          </w:p>
          <w:p>
            <w:pPr>
              <w:pStyle w:val="Normal"/>
              <w:spacing w:lineRule="auto" w:line="240" w:before="200" w:after="0"/>
              <w:rPr>
                <w:rFonts w:ascii="Times New Roman" w:hAnsi="Times New Roman" w:cs="Times New Roman"/>
                <w:bCs/>
                <w:sz w:val="24"/>
                <w:szCs w:val="24"/>
              </w:rPr>
            </w:pPr>
            <w:r>
              <w:rPr>
                <w:rFonts w:cs="Times New Roman" w:ascii="Times New Roman" w:hAnsi="Times New Roman"/>
                <w:sz w:val="24"/>
                <w:szCs w:val="24"/>
              </w:rPr>
              <w:t>2018 р. – 5 799,1</w:t>
            </w:r>
          </w:p>
          <w:p>
            <w:pPr>
              <w:pStyle w:val="Normal"/>
              <w:spacing w:lineRule="auto" w:line="240" w:before="200" w:after="0"/>
              <w:rPr>
                <w:rFonts w:ascii="Times New Roman" w:hAnsi="Times New Roman" w:cs="Times New Roman"/>
                <w:bCs/>
                <w:sz w:val="24"/>
                <w:szCs w:val="24"/>
              </w:rPr>
            </w:pPr>
            <w:r>
              <w:rPr>
                <w:rFonts w:cs="Times New Roman" w:ascii="Times New Roman" w:hAnsi="Times New Roman"/>
                <w:bCs/>
                <w:sz w:val="24"/>
                <w:szCs w:val="24"/>
              </w:rPr>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Безпечне перебування дітей та персоналу в приміщеннях ДНЗ.</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Забезпечення умов для проведення занять з фізичної культури та активних форм дозвілля в ДНЗ.</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Сукупність робіт зі встановлення тривожної кнопки та підключення на пультову охорону</w:t>
            </w:r>
          </w:p>
        </w:tc>
      </w:tr>
      <w:tr>
        <w:trPr>
          <w:trHeight w:val="541" w:hRule="atLeast"/>
        </w:trPr>
        <w:tc>
          <w:tcPr>
            <w:tcW w:w="56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554"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54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Разом:</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93 366,6</w:t>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rHeight w:val="578" w:hRule="atLeast"/>
        </w:trPr>
        <w:tc>
          <w:tcPr>
            <w:tcW w:w="56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554"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54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200" w:after="0"/>
              <w:jc w:val="center"/>
              <w:rPr>
                <w:rFonts w:ascii="Times New Roman" w:hAnsi="Times New Roman" w:cs="Times New Roman"/>
                <w:sz w:val="28"/>
                <w:szCs w:val="28"/>
              </w:rPr>
            </w:pPr>
            <w:r>
              <w:rPr>
                <w:rFonts w:cs="Times New Roman" w:ascii="Times New Roman" w:hAnsi="Times New Roman"/>
                <w:sz w:val="28"/>
                <w:szCs w:val="28"/>
              </w:rPr>
            </w:r>
          </w:p>
          <w:p>
            <w:pPr>
              <w:pStyle w:val="Normal"/>
              <w:spacing w:lineRule="auto" w:line="240" w:before="200" w:after="0"/>
              <w:jc w:val="center"/>
              <w:rPr>
                <w:rFonts w:ascii="Times New Roman" w:hAnsi="Times New Roman" w:cs="Times New Roman"/>
                <w:color w:val="000000" w:themeColor="text1"/>
                <w:sz w:val="24"/>
                <w:szCs w:val="24"/>
              </w:rPr>
            </w:pPr>
            <w:r>
              <w:rPr>
                <w:rFonts w:cs="Times New Roman" w:ascii="Times New Roman" w:hAnsi="Times New Roman"/>
                <w:sz w:val="28"/>
                <w:szCs w:val="28"/>
              </w:rPr>
              <w:t>УСЬОГО:</w:t>
            </w:r>
          </w:p>
        </w:tc>
        <w:tc>
          <w:tcPr>
            <w:tcW w:w="156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themeColor="text1"/>
                <w:sz w:val="24"/>
                <w:szCs w:val="24"/>
              </w:rPr>
            </w:pPr>
            <w:r>
              <w:rPr>
                <w:rFonts w:cs="Times New Roman" w:ascii="Times New Roman" w:hAnsi="Times New Roman"/>
                <w:color w:val="000000" w:themeColor="text1"/>
                <w:sz w:val="24"/>
                <w:szCs w:val="24"/>
              </w:rPr>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7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12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bCs/>
                <w:sz w:val="28"/>
                <w:szCs w:val="28"/>
                <w:lang w:val="ru-RU"/>
              </w:rPr>
            </w:pPr>
            <w:r>
              <w:rPr>
                <w:rFonts w:cs="Times New Roman" w:ascii="Times New Roman" w:hAnsi="Times New Roman"/>
                <w:bCs/>
                <w:sz w:val="28"/>
                <w:szCs w:val="28"/>
                <w:lang w:val="ru-RU"/>
              </w:rPr>
              <w:t>6 437 652,8</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 xml:space="preserve">(загальний фонд): </w:t>
            </w:r>
            <w:r>
              <w:rPr>
                <w:rFonts w:cs="Times New Roman" w:ascii="Times New Roman" w:hAnsi="Times New Roman" w:asciiTheme="majorBidi" w:cstheme="majorBidi" w:hAnsiTheme="majorBidi"/>
              </w:rPr>
              <w:t>5 790 974,1</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у тому числі:                 2016 р.-1807175,4</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2017 р.- 1938993,5</w:t>
            </w:r>
          </w:p>
          <w:p>
            <w:pPr>
              <w:pStyle w:val="Normal"/>
              <w:spacing w:before="200" w:after="0"/>
              <w:rPr>
                <w:rFonts w:ascii="Times New Roman" w:hAnsi="Times New Roman" w:cs="Times New Roman"/>
                <w:sz w:val="24"/>
                <w:szCs w:val="24"/>
              </w:rPr>
            </w:pPr>
            <w:r>
              <w:rPr>
                <w:rFonts w:cs="Times New Roman" w:ascii="Times New Roman" w:hAnsi="Times New Roman"/>
                <w:sz w:val="24"/>
                <w:szCs w:val="24"/>
              </w:rPr>
              <w:t>2018 р.- 2044805,2</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Власні надходження:</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646 678,7</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у тому числі:                       2016 р.-</w:t>
            </w:r>
            <w:r>
              <w:rPr>
                <w:rFonts w:cs="Times New Roman" w:ascii="Times New Roman" w:hAnsi="Times New Roman"/>
              </w:rPr>
              <w:t xml:space="preserve"> </w:t>
            </w:r>
            <w:r>
              <w:rPr>
                <w:rFonts w:cs="Times New Roman" w:ascii="Times New Roman" w:hAnsi="Times New Roman"/>
                <w:sz w:val="24"/>
                <w:szCs w:val="24"/>
              </w:rPr>
              <w:t>200 741,2</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2017 р.-</w:t>
            </w:r>
            <w:r>
              <w:rPr>
                <w:rFonts w:cs="Times New Roman" w:ascii="Times New Roman" w:hAnsi="Times New Roman"/>
              </w:rPr>
              <w:t xml:space="preserve"> </w:t>
            </w:r>
            <w:r>
              <w:rPr>
                <w:rFonts w:cs="Times New Roman" w:ascii="Times New Roman" w:hAnsi="Times New Roman"/>
                <w:sz w:val="24"/>
                <w:szCs w:val="24"/>
              </w:rPr>
              <w:t>217001,2</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2018 р.- 228 936,3</w:t>
            </w:r>
          </w:p>
        </w:tc>
        <w:tc>
          <w:tcPr>
            <w:tcW w:w="25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r>
    </w:tbl>
    <w:p>
      <w:pPr>
        <w:pStyle w:val="Normal"/>
        <w:rPr/>
      </w:pPr>
      <w:r>
        <w:rPr/>
      </w:r>
    </w:p>
    <w:p>
      <w:pPr>
        <w:pStyle w:val="Normal"/>
        <w:rPr/>
      </w:pPr>
      <w:r>
        <w:rPr/>
      </w:r>
    </w:p>
    <w:p>
      <w:pPr>
        <w:pStyle w:val="2"/>
        <w:shd w:val="clear" w:color="auto" w:fill="FFFFFF" w:themeFill="background1"/>
        <w:spacing w:before="120" w:after="120"/>
        <w:jc w:val="center"/>
        <w:rPr>
          <w:rStyle w:val="22"/>
          <w:rFonts w:cs="Times New Roman"/>
          <w:b w:val="false"/>
          <w:b w:val="false"/>
          <w:color w:val="00000A"/>
          <w:szCs w:val="28"/>
        </w:rPr>
      </w:pPr>
      <w:r>
        <w:rPr>
          <w:rStyle w:val="22"/>
          <w:rFonts w:cs="Times New Roman"/>
          <w:b w:val="false"/>
          <w:color w:val="00000A"/>
          <w:szCs w:val="28"/>
        </w:rPr>
        <w:t>Очікувані показники виконання підпрограми</w:t>
      </w:r>
      <w:r>
        <w:rPr>
          <w:rFonts w:cs="Times New Roman" w:ascii="Times New Roman" w:hAnsi="Times New Roman"/>
          <w:b w:val="false"/>
          <w:color w:val="00000A"/>
          <w:sz w:val="28"/>
          <w:szCs w:val="28"/>
        </w:rPr>
        <w:t xml:space="preserve"> «Дошкільна освіта»</w:t>
      </w:r>
    </w:p>
    <w:p>
      <w:pPr>
        <w:pStyle w:val="2"/>
        <w:shd w:val="clear" w:color="auto" w:fill="FFFFFF" w:themeFill="background1"/>
        <w:spacing w:before="120" w:after="120"/>
        <w:jc w:val="center"/>
        <w:rPr>
          <w:rFonts w:ascii="Times New Roman" w:hAnsi="Times New Roman" w:cs="Times New Roman"/>
          <w:b w:val="false"/>
          <w:b w:val="false"/>
          <w:color w:val="00000A"/>
          <w:sz w:val="28"/>
          <w:szCs w:val="28"/>
        </w:rPr>
      </w:pPr>
      <w:r>
        <w:rPr>
          <w:rFonts w:cs="Times New Roman" w:ascii="Times New Roman" w:hAnsi="Times New Roman"/>
          <w:b w:val="false"/>
          <w:color w:val="00000A"/>
          <w:sz w:val="28"/>
          <w:szCs w:val="28"/>
        </w:rPr>
      </w:r>
    </w:p>
    <w:tbl>
      <w:tblPr>
        <w:tblStyle w:val="a9"/>
        <w:tblW w:w="15372" w:type="dxa"/>
        <w:jc w:val="left"/>
        <w:tblInd w:w="0" w:type="dxa"/>
        <w:tblCellMar>
          <w:top w:w="0" w:type="dxa"/>
          <w:left w:w="108" w:type="dxa"/>
          <w:bottom w:w="0" w:type="dxa"/>
          <w:right w:w="108" w:type="dxa"/>
        </w:tblCellMar>
        <w:tblLook w:firstRow="1" w:noVBand="1" w:lastRow="0" w:firstColumn="1" w:lastColumn="0" w:noHBand="0" w:val="04a0"/>
      </w:tblPr>
      <w:tblGrid>
        <w:gridCol w:w="1697"/>
        <w:gridCol w:w="5566"/>
        <w:gridCol w:w="1563"/>
        <w:gridCol w:w="1519"/>
        <w:gridCol w:w="1519"/>
        <w:gridCol w:w="1517"/>
        <w:gridCol w:w="1"/>
        <w:gridCol w:w="1989"/>
      </w:tblGrid>
      <w:tr>
        <w:trPr>
          <w:trHeight w:val="510" w:hRule="atLeast"/>
        </w:trPr>
        <w:tc>
          <w:tcPr>
            <w:tcW w:w="1697" w:type="dxa"/>
            <w:vMerge w:val="restart"/>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w:t>
            </w:r>
          </w:p>
        </w:tc>
        <w:tc>
          <w:tcPr>
            <w:tcW w:w="5566" w:type="dxa"/>
            <w:vMerge w:val="restart"/>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Показники</w:t>
            </w:r>
          </w:p>
        </w:tc>
        <w:tc>
          <w:tcPr>
            <w:tcW w:w="1563" w:type="dxa"/>
            <w:vMerge w:val="restart"/>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Одиниці вимірювання</w:t>
            </w:r>
          </w:p>
        </w:tc>
        <w:tc>
          <w:tcPr>
            <w:tcW w:w="4555" w:type="dxa"/>
            <w:gridSpan w:val="3"/>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Етапи виконання підпрограми за роками</w:t>
            </w:r>
          </w:p>
        </w:tc>
        <w:tc>
          <w:tcPr>
            <w:tcW w:w="1990" w:type="dxa"/>
            <w:gridSpan w:val="2"/>
            <w:vMerge w:val="restart"/>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Усього витрат на виконання підпрограми</w:t>
            </w:r>
          </w:p>
        </w:tc>
      </w:tr>
      <w:tr>
        <w:trPr>
          <w:trHeight w:val="400" w:hRule="atLeast"/>
        </w:trPr>
        <w:tc>
          <w:tcPr>
            <w:tcW w:w="1697" w:type="dxa"/>
            <w:vMerge w:val="continue"/>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5566" w:type="dxa"/>
            <w:vMerge w:val="continue"/>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563" w:type="dxa"/>
            <w:vMerge w:val="continue"/>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51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w:t>
            </w:r>
          </w:p>
        </w:tc>
        <w:tc>
          <w:tcPr>
            <w:tcW w:w="151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2017</w:t>
            </w:r>
          </w:p>
        </w:tc>
        <w:tc>
          <w:tcPr>
            <w:tcW w:w="1518" w:type="dxa"/>
            <w:gridSpan w:val="2"/>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2018</w:t>
            </w:r>
          </w:p>
        </w:tc>
        <w:tc>
          <w:tcPr>
            <w:tcW w:w="1989" w:type="dxa"/>
            <w:vMerge w:val="continue"/>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525"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bCs/>
                <w:sz w:val="24"/>
                <w:szCs w:val="24"/>
              </w:rPr>
            </w:pPr>
            <w:r>
              <w:rPr>
                <w:rFonts w:eastAsia="ＭＳ 明朝" w:cs="Times New Roman" w:eastAsiaTheme="minorEastAsia" w:ascii="Times New Roman" w:hAnsi="Times New Roman"/>
                <w:bCs/>
                <w:sz w:val="24"/>
                <w:szCs w:val="24"/>
                <w:lang w:eastAsia="uk-UA"/>
              </w:rPr>
              <w:t>Бюджет м. Києва</w:t>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bCs/>
                <w:sz w:val="24"/>
                <w:szCs w:val="24"/>
              </w:rPr>
            </w:pPr>
            <w:r>
              <w:rPr>
                <w:rFonts w:eastAsia="ＭＳ 明朝" w:cs="Times New Roman" w:eastAsiaTheme="minorEastAsia" w:ascii="Times New Roman" w:hAnsi="Times New Roman"/>
                <w:sz w:val="24"/>
                <w:szCs w:val="24"/>
                <w:lang w:eastAsia="uk-UA"/>
              </w:rPr>
              <w:t>тис. грн.</w:t>
            </w:r>
          </w:p>
        </w:tc>
        <w:tc>
          <w:tcPr>
            <w:tcW w:w="1519" w:type="dxa"/>
            <w:tcBorders/>
            <w:shd w:fill="auto" w:val="clear"/>
            <w:tcMar>
              <w:left w:w="108" w:type="dxa"/>
            </w:tcMar>
            <w:vAlign w:val="bottom"/>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2 007 916,6</w:t>
            </w:r>
          </w:p>
        </w:tc>
        <w:tc>
          <w:tcPr>
            <w:tcW w:w="1519" w:type="dxa"/>
            <w:tcBorders/>
            <w:shd w:fill="auto" w:val="clear"/>
            <w:tcMar>
              <w:left w:w="108" w:type="dxa"/>
            </w:tcMar>
            <w:vAlign w:val="bottom"/>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2 155 994,7</w:t>
            </w:r>
          </w:p>
        </w:tc>
        <w:tc>
          <w:tcPr>
            <w:tcW w:w="1518" w:type="dxa"/>
            <w:gridSpan w:val="2"/>
            <w:tcBorders/>
            <w:shd w:fill="auto" w:val="clear"/>
            <w:tcMar>
              <w:left w:w="108" w:type="dxa"/>
            </w:tcMar>
            <w:vAlign w:val="bottom"/>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2 273 741,5</w:t>
            </w:r>
          </w:p>
        </w:tc>
        <w:tc>
          <w:tcPr>
            <w:tcW w:w="1989" w:type="dxa"/>
            <w:tcBorders/>
            <w:shd w:fill="auto" w:val="clear"/>
            <w:tcMar>
              <w:left w:w="108" w:type="dxa"/>
            </w:tcMar>
            <w:vAlign w:val="bottom"/>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6 437 652,8</w:t>
            </w:r>
          </w:p>
        </w:tc>
      </w:tr>
      <w:tr>
        <w:trPr>
          <w:trHeight w:val="448" w:hRule="atLeast"/>
        </w:trPr>
        <w:tc>
          <w:tcPr>
            <w:tcW w:w="15371" w:type="dxa"/>
            <w:gridSpan w:val="8"/>
            <w:tcBorders/>
            <w:shd w:fill="auto" w:val="clear"/>
            <w:tcMar>
              <w:left w:w="108" w:type="dxa"/>
            </w:tcMar>
            <w:vAlign w:val="center"/>
          </w:tcPr>
          <w:p>
            <w:pPr>
              <w:pStyle w:val="Normal"/>
              <w:spacing w:lineRule="auto" w:line="240" w:before="0" w:after="0"/>
              <w:jc w:val="center"/>
              <w:rPr>
                <w:rFonts w:ascii="Times New Roman" w:hAnsi="Times New Roman" w:cs="Times New Roman" w:asciiTheme="majorBidi" w:cstheme="majorBidi" w:hAnsiTheme="majorBidi"/>
                <w:bCs/>
                <w:sz w:val="24"/>
                <w:szCs w:val="24"/>
              </w:rPr>
            </w:pPr>
            <w:r>
              <w:rPr>
                <w:rFonts w:eastAsia="ＭＳ 明朝" w:cs="Times New Roman" w:ascii="Times New Roman" w:hAnsi="Times New Roman" w:asciiTheme="majorBidi" w:cstheme="majorBidi" w:hAnsiTheme="majorBidi"/>
                <w:bCs/>
                <w:sz w:val="24"/>
                <w:szCs w:val="24"/>
                <w:lang w:eastAsia="uk-UA"/>
              </w:rPr>
              <w:t>Дошкільна освіта</w:t>
            </w:r>
          </w:p>
        </w:tc>
      </w:tr>
      <w:tr>
        <w:trPr>
          <w:trHeight w:val="469" w:hRule="atLeast"/>
        </w:trPr>
        <w:tc>
          <w:tcPr>
            <w:tcW w:w="15371" w:type="dxa"/>
            <w:gridSpan w:val="8"/>
            <w:tcBorders/>
            <w:shd w:fill="auto" w:val="clear"/>
            <w:tcMar>
              <w:left w:w="108" w:type="dxa"/>
            </w:tcMar>
            <w:vAlign w:val="center"/>
          </w:tcPr>
          <w:p>
            <w:pPr>
              <w:pStyle w:val="Normal"/>
              <w:spacing w:lineRule="auto" w:line="240" w:before="0" w:after="0"/>
              <w:jc w:val="center"/>
              <w:rPr>
                <w:rFonts w:ascii="Times New Roman" w:hAnsi="Times New Roman" w:cs="Times New Roman" w:asciiTheme="majorBidi" w:cstheme="majorBidi" w:hAnsiTheme="majorBidi"/>
                <w:bCs/>
                <w:i/>
                <w:i/>
                <w:sz w:val="24"/>
                <w:szCs w:val="24"/>
              </w:rPr>
            </w:pPr>
            <w:r>
              <w:rPr>
                <w:rFonts w:eastAsia="ＭＳ 明朝" w:cs="Times New Roman" w:ascii="Times New Roman" w:hAnsi="Times New Roman" w:asciiTheme="majorBidi" w:cstheme="majorBidi" w:hAnsiTheme="majorBidi"/>
                <w:bCs/>
                <w:i/>
                <w:sz w:val="24"/>
                <w:szCs w:val="24"/>
                <w:lang w:eastAsia="uk-UA"/>
              </w:rPr>
              <w:t>Показники затрат</w:t>
            </w:r>
          </w:p>
        </w:tc>
      </w:tr>
      <w:tr>
        <w:trPr>
          <w:trHeight w:val="433"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w:t>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Забезпечення належних умов для надання дошкільної освіти та виховання дітей</w:t>
            </w:r>
          </w:p>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тис. грн.</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sz w:val="24"/>
                <w:szCs w:val="24"/>
              </w:rPr>
            </w:pPr>
            <w:r>
              <w:rPr>
                <w:rFonts w:eastAsia="ＭＳ 明朝" w:cs="Times New Roman" w:ascii="Times New Roman" w:hAnsi="Times New Roman" w:asciiTheme="majorBidi" w:cstheme="majorBidi" w:hAnsiTheme="majorBidi"/>
                <w:sz w:val="24"/>
                <w:szCs w:val="24"/>
                <w:lang w:eastAsia="uk-UA"/>
              </w:rPr>
              <w:t>2 007 916,6</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sz w:val="24"/>
                <w:szCs w:val="24"/>
              </w:rPr>
            </w:pPr>
            <w:r>
              <w:rPr>
                <w:rFonts w:eastAsia="ＭＳ 明朝" w:cs="Times New Roman" w:ascii="Times New Roman" w:hAnsi="Times New Roman" w:asciiTheme="majorBidi" w:cstheme="majorBidi" w:hAnsiTheme="majorBidi"/>
                <w:sz w:val="24"/>
                <w:szCs w:val="24"/>
                <w:lang w:eastAsia="uk-UA"/>
              </w:rPr>
              <w:t>2 155 994,7</w:t>
            </w:r>
          </w:p>
        </w:tc>
        <w:tc>
          <w:tcPr>
            <w:tcW w:w="1518" w:type="dxa"/>
            <w:gridSpan w:val="2"/>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sz w:val="24"/>
                <w:szCs w:val="24"/>
              </w:rPr>
            </w:pPr>
            <w:r>
              <w:rPr>
                <w:rFonts w:eastAsia="ＭＳ 明朝" w:cs="Times New Roman" w:ascii="Times New Roman" w:hAnsi="Times New Roman" w:asciiTheme="majorBidi" w:cstheme="majorBidi" w:hAnsiTheme="majorBidi"/>
                <w:sz w:val="24"/>
                <w:szCs w:val="24"/>
                <w:lang w:eastAsia="uk-UA"/>
              </w:rPr>
              <w:t>2 273 741,5</w:t>
            </w:r>
          </w:p>
        </w:tc>
        <w:tc>
          <w:tcPr>
            <w:tcW w:w="198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sz w:val="24"/>
                <w:szCs w:val="24"/>
              </w:rPr>
            </w:pPr>
            <w:r>
              <w:rPr>
                <w:rFonts w:eastAsia="ＭＳ 明朝" w:cs="Times New Roman" w:ascii="Times New Roman" w:hAnsi="Times New Roman" w:asciiTheme="majorBidi" w:cstheme="majorBidi" w:hAnsiTheme="majorBidi"/>
                <w:sz w:val="24"/>
                <w:szCs w:val="24"/>
                <w:lang w:eastAsia="uk-UA"/>
              </w:rPr>
              <w:t>6 437 652,8</w:t>
            </w:r>
          </w:p>
        </w:tc>
      </w:tr>
      <w:tr>
        <w:trPr>
          <w:trHeight w:val="419"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w:t>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Кількість дошкільних закладів</w:t>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520</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529</w:t>
            </w:r>
          </w:p>
        </w:tc>
        <w:tc>
          <w:tcPr>
            <w:tcW w:w="1518" w:type="dxa"/>
            <w:gridSpan w:val="2"/>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539</w:t>
            </w:r>
          </w:p>
        </w:tc>
        <w:tc>
          <w:tcPr>
            <w:tcW w:w="1989"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27"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w:t>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Кількість груп</w:t>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4854</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4917</w:t>
            </w:r>
          </w:p>
        </w:tc>
        <w:tc>
          <w:tcPr>
            <w:tcW w:w="1518" w:type="dxa"/>
            <w:gridSpan w:val="2"/>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4961</w:t>
            </w:r>
          </w:p>
        </w:tc>
        <w:tc>
          <w:tcPr>
            <w:tcW w:w="1989"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391"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w:t>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ставок педагогічного персоналу</w:t>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9 726,61</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9 813,01</w:t>
            </w:r>
          </w:p>
        </w:tc>
        <w:tc>
          <w:tcPr>
            <w:tcW w:w="1518" w:type="dxa"/>
            <w:gridSpan w:val="2"/>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9 910,21</w:t>
            </w:r>
          </w:p>
        </w:tc>
        <w:tc>
          <w:tcPr>
            <w:tcW w:w="1989"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553"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5</w:t>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штатних одиниць адмінперсоналу (за умовами оплати віднесених до педагогічних працівників)</w:t>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2 415,6</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2 453,1</w:t>
            </w:r>
          </w:p>
        </w:tc>
        <w:tc>
          <w:tcPr>
            <w:tcW w:w="1518" w:type="dxa"/>
            <w:gridSpan w:val="2"/>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2 495,35</w:t>
            </w:r>
          </w:p>
        </w:tc>
        <w:tc>
          <w:tcPr>
            <w:tcW w:w="1989"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05"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6</w:t>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штатних одиниць спеціалістів</w:t>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1 918,83</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1 989,93</w:t>
            </w:r>
          </w:p>
        </w:tc>
        <w:tc>
          <w:tcPr>
            <w:tcW w:w="1518" w:type="dxa"/>
            <w:gridSpan w:val="2"/>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2 070,58</w:t>
            </w:r>
          </w:p>
        </w:tc>
        <w:tc>
          <w:tcPr>
            <w:tcW w:w="1989"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27"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w:t>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штатних одиниць робітників</w:t>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12 895,05</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12 935,55</w:t>
            </w:r>
          </w:p>
        </w:tc>
        <w:tc>
          <w:tcPr>
            <w:tcW w:w="1518" w:type="dxa"/>
            <w:gridSpan w:val="2"/>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12 982,8</w:t>
            </w:r>
          </w:p>
        </w:tc>
        <w:tc>
          <w:tcPr>
            <w:tcW w:w="1989"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391"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8</w:t>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Усього середньорічна кількість ставок </w:t>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26 956,09</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27 191,59</w:t>
            </w:r>
          </w:p>
        </w:tc>
        <w:tc>
          <w:tcPr>
            <w:tcW w:w="1518" w:type="dxa"/>
            <w:gridSpan w:val="2"/>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27 458,94</w:t>
            </w:r>
          </w:p>
        </w:tc>
        <w:tc>
          <w:tcPr>
            <w:tcW w:w="1989"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87" w:hRule="atLeast"/>
        </w:trPr>
        <w:tc>
          <w:tcPr>
            <w:tcW w:w="15371" w:type="dxa"/>
            <w:gridSpan w:val="8"/>
            <w:tcBorders/>
            <w:shd w:fill="auto" w:val="clear"/>
            <w:tcMar>
              <w:left w:w="108" w:type="dxa"/>
            </w:tcMar>
            <w:vAlign w:val="center"/>
          </w:tcPr>
          <w:p>
            <w:pPr>
              <w:pStyle w:val="Normal"/>
              <w:spacing w:lineRule="auto" w:line="240" w:before="0" w:after="0"/>
              <w:jc w:val="center"/>
              <w:rPr>
                <w:rFonts w:ascii="Times New Roman" w:hAnsi="Times New Roman" w:cs="Times New Roman"/>
                <w:bCs/>
                <w:i/>
                <w:i/>
                <w:sz w:val="24"/>
                <w:szCs w:val="24"/>
              </w:rPr>
            </w:pPr>
            <w:r>
              <w:rPr>
                <w:rFonts w:eastAsia="ＭＳ 明朝" w:cs="Times New Roman" w:eastAsiaTheme="minorEastAsia" w:ascii="Times New Roman" w:hAnsi="Times New Roman"/>
                <w:bCs/>
                <w:i/>
                <w:sz w:val="24"/>
                <w:szCs w:val="24"/>
                <w:lang w:eastAsia="uk-UA"/>
              </w:rPr>
              <w:t>Показники продукту</w:t>
            </w:r>
          </w:p>
        </w:tc>
      </w:tr>
      <w:tr>
        <w:trPr>
          <w:trHeight w:val="660"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w:t>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дітей, що відвідують дошкільні заклади</w:t>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осіб</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10 1095</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103 285</w:t>
            </w:r>
          </w:p>
        </w:tc>
        <w:tc>
          <w:tcPr>
            <w:tcW w:w="1518"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10 5090</w:t>
            </w:r>
          </w:p>
        </w:tc>
        <w:tc>
          <w:tcPr>
            <w:tcW w:w="1989" w:type="dxa"/>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52" w:hRule="atLeast"/>
        </w:trPr>
        <w:tc>
          <w:tcPr>
            <w:tcW w:w="15371" w:type="dxa"/>
            <w:gridSpan w:val="8"/>
            <w:tcBorders/>
            <w:shd w:fill="auto" w:val="clear"/>
            <w:tcMar>
              <w:left w:w="108" w:type="dxa"/>
            </w:tcMar>
            <w:vAlign w:val="center"/>
          </w:tcPr>
          <w:p>
            <w:pPr>
              <w:pStyle w:val="Normal"/>
              <w:spacing w:lineRule="auto" w:line="240" w:before="0" w:after="0"/>
              <w:jc w:val="center"/>
              <w:rPr>
                <w:rFonts w:ascii="Times New Roman" w:hAnsi="Times New Roman" w:cs="Times New Roman"/>
                <w:bCs/>
                <w:i/>
                <w:i/>
                <w:sz w:val="24"/>
                <w:szCs w:val="24"/>
              </w:rPr>
            </w:pPr>
            <w:r>
              <w:rPr>
                <w:rFonts w:eastAsia="ＭＳ 明朝" w:cs="Times New Roman" w:eastAsiaTheme="minorEastAsia" w:ascii="Times New Roman" w:hAnsi="Times New Roman"/>
                <w:bCs/>
                <w:i/>
                <w:sz w:val="24"/>
                <w:szCs w:val="24"/>
                <w:lang w:eastAsia="uk-UA"/>
              </w:rPr>
              <w:t>Показники ефективності</w:t>
            </w:r>
          </w:p>
        </w:tc>
      </w:tr>
      <w:tr>
        <w:trPr>
          <w:trHeight w:val="510"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w:t>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Витрати на перебування 1 дитини в дошкільному закладі</w:t>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грн.</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lang w:val="en-US"/>
              </w:rPr>
            </w:pPr>
            <w:r>
              <w:rPr>
                <w:rFonts w:eastAsia="ＭＳ 明朝" w:cs="Times New Roman" w:eastAsiaTheme="minorEastAsia" w:ascii="Times New Roman" w:hAnsi="Times New Roman"/>
                <w:sz w:val="24"/>
                <w:szCs w:val="24"/>
                <w:lang w:eastAsia="uk-UA"/>
              </w:rPr>
              <w:t>19 861,68</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eastAsia="ＭＳ 明朝" w:cs="Times New Roman" w:eastAsiaTheme="minorEastAsia" w:ascii="Times New Roman" w:hAnsi="Times New Roman"/>
                <w:sz w:val="24"/>
                <w:szCs w:val="24"/>
                <w:lang w:eastAsia="uk-UA"/>
              </w:rPr>
              <w:t>20 874,23</w:t>
            </w:r>
          </w:p>
        </w:tc>
        <w:tc>
          <w:tcPr>
            <w:tcW w:w="1518" w:type="dxa"/>
            <w:gridSpan w:val="2"/>
            <w:tcBorders/>
            <w:shd w:fill="auto" w:val="clear"/>
            <w:tcMar>
              <w:left w:w="108" w:type="dxa"/>
            </w:tcMar>
          </w:tcPr>
          <w:p>
            <w:pPr>
              <w:pStyle w:val="Normal"/>
              <w:spacing w:lineRule="auto" w:line="240" w:before="0" w:after="0"/>
              <w:jc w:val="center"/>
              <w:rPr>
                <w:rFonts w:ascii="Times New Roman" w:hAnsi="Times New Roman" w:cs="Times New Roman"/>
                <w:bCs/>
                <w:sz w:val="24"/>
                <w:szCs w:val="24"/>
                <w:lang w:val="en-US"/>
              </w:rPr>
            </w:pPr>
            <w:r>
              <w:rPr>
                <w:rFonts w:eastAsia="ＭＳ 明朝" w:cs="Times New Roman" w:eastAsiaTheme="minorEastAsia" w:ascii="Times New Roman" w:hAnsi="Times New Roman"/>
                <w:sz w:val="24"/>
                <w:szCs w:val="24"/>
                <w:lang w:eastAsia="uk-UA"/>
              </w:rPr>
              <w:t>21 636,14</w:t>
            </w:r>
          </w:p>
        </w:tc>
        <w:tc>
          <w:tcPr>
            <w:tcW w:w="1989" w:type="dxa"/>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r>
      <w:tr>
        <w:trPr>
          <w:trHeight w:val="425" w:hRule="atLeast"/>
        </w:trPr>
        <w:tc>
          <w:tcPr>
            <w:tcW w:w="1697"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w:t>
            </w:r>
          </w:p>
        </w:tc>
        <w:tc>
          <w:tcPr>
            <w:tcW w:w="5566"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Діто-дні відвідування</w:t>
            </w:r>
          </w:p>
        </w:tc>
        <w:tc>
          <w:tcPr>
            <w:tcW w:w="1563"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дні</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15 164 250</w:t>
            </w:r>
          </w:p>
        </w:tc>
        <w:tc>
          <w:tcPr>
            <w:tcW w:w="151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15 492 750</w:t>
            </w:r>
          </w:p>
        </w:tc>
        <w:tc>
          <w:tcPr>
            <w:tcW w:w="1518"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15 763 500</w:t>
            </w:r>
          </w:p>
        </w:tc>
        <w:tc>
          <w:tcPr>
            <w:tcW w:w="1989" w:type="dxa"/>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bl>
    <w:p>
      <w:pPr>
        <w:pStyle w:val="1"/>
        <w:jc w:val="center"/>
        <w:rPr>
          <w:rFonts w:ascii="Times New Roman" w:hAnsi="Times New Roman" w:cs="Times New Roman"/>
          <w:color w:val="00000A"/>
        </w:rPr>
      </w:pPr>
      <w:bookmarkStart w:id="10" w:name="_Toc431397865"/>
      <w:bookmarkEnd w:id="10"/>
      <w:r>
        <w:rPr>
          <w:rFonts w:cs="Times New Roman" w:ascii="Times New Roman" w:hAnsi="Times New Roman"/>
          <w:color w:val="00000A"/>
        </w:rPr>
        <w:t>Підпрограма «Загальна середня освіта»</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bookmarkStart w:id="11" w:name="1303"/>
      <w:bookmarkEnd w:id="11"/>
      <w:r>
        <w:rPr>
          <w:rFonts w:eastAsia="Times New Roman" w:cs="Times New Roman" w:ascii="Times New Roman" w:hAnsi="Times New Roman"/>
          <w:color w:val="000000"/>
          <w:sz w:val="28"/>
          <w:szCs w:val="28"/>
          <w:lang w:eastAsia="uk-UA"/>
        </w:rPr>
        <w:t xml:space="preserve">Загальній середній освіті належить унікальна роль у системі столичної освіти, адже шкільне навчання є обов'язковим, воно охоплює три вікові періоди.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З 2011-2012  навчального року поступово збільшується кількість школярів. Так, у 2014-2015 навчальному році кількість учнів порівняно з 2011-2012 навчальним роком збільшилася на 24 392 особи (на 11%). Це обумовлено змінами в демографічній ситуації країни, збільшенням у київських школах кількості дітей із прилеглих до столиці районів Київської області та тимчасовим переміщенням учнів із АР Крим та  східних регіонів України. </w:t>
      </w:r>
    </w:p>
    <w:p>
      <w:pPr>
        <w:pStyle w:val="Normal"/>
        <w:spacing w:lineRule="auto" w:line="240" w:beforeAutospacing="1" w:afterAutospacing="1"/>
        <w:jc w:val="center"/>
        <w:rPr>
          <w:rFonts w:ascii="Times New Roman" w:hAnsi="Times New Roman" w:eastAsia="Times New Roman" w:cs="Times New Roman"/>
          <w:bCs/>
          <w:color w:val="000000"/>
          <w:sz w:val="28"/>
          <w:szCs w:val="28"/>
          <w:lang w:eastAsia="uk-UA"/>
        </w:rPr>
      </w:pPr>
      <w:r>
        <w:rPr>
          <w:rFonts w:eastAsia="Times New Roman" w:cs="Times New Roman" w:ascii="Times New Roman" w:hAnsi="Times New Roman"/>
          <w:bCs/>
          <w:color w:val="000000"/>
          <w:sz w:val="28"/>
          <w:szCs w:val="28"/>
          <w:lang w:eastAsia="uk-UA"/>
        </w:rPr>
        <w:t xml:space="preserve">Зміни в мережі загальноосвітніх навчальних закладів міста Києва </w:t>
      </w:r>
      <w:r>
        <w:rPr>
          <w:rFonts w:eastAsia="Times New Roman" w:cs="Times New Roman" w:ascii="Times New Roman" w:hAnsi="Times New Roman"/>
          <w:bCs/>
          <w:color w:val="000000"/>
          <w:sz w:val="28"/>
          <w:szCs w:val="28"/>
          <w:lang w:val="ru-RU" w:eastAsia="uk-UA"/>
        </w:rPr>
        <w:br/>
      </w:r>
      <w:r>
        <w:rPr>
          <w:rFonts w:eastAsia="Times New Roman" w:cs="Times New Roman" w:ascii="Times New Roman" w:hAnsi="Times New Roman"/>
          <w:bCs/>
          <w:color w:val="000000"/>
          <w:sz w:val="28"/>
          <w:szCs w:val="28"/>
          <w:lang w:eastAsia="uk-UA"/>
        </w:rPr>
        <w:t>всіх типів та форм власності</w:t>
      </w:r>
      <w:r>
        <w:rPr>
          <w:rFonts w:eastAsia="Times New Roman" w:cs="Times New Roman" w:ascii="Times New Roman" w:hAnsi="Times New Roman"/>
          <w:bCs/>
          <w:color w:val="000000"/>
          <w:sz w:val="28"/>
          <w:szCs w:val="28"/>
          <w:lang w:val="ru-RU" w:eastAsia="uk-UA"/>
        </w:rPr>
        <w:t xml:space="preserve"> </w:t>
      </w:r>
      <w:r>
        <w:rPr>
          <w:rFonts w:eastAsia="Times New Roman" w:cs="Times New Roman" w:ascii="Times New Roman" w:hAnsi="Times New Roman"/>
          <w:bCs/>
          <w:color w:val="000000"/>
          <w:sz w:val="28"/>
          <w:szCs w:val="28"/>
          <w:lang w:eastAsia="uk-UA"/>
        </w:rPr>
        <w:t>за 2012-2015 роки</w:t>
      </w:r>
    </w:p>
    <w:tbl>
      <w:tblPr>
        <w:tblStyle w:val="16"/>
        <w:tblW w:w="10421" w:type="dxa"/>
        <w:jc w:val="center"/>
        <w:tblInd w:w="0" w:type="dxa"/>
        <w:tblCellMar>
          <w:top w:w="0" w:type="dxa"/>
          <w:left w:w="108" w:type="dxa"/>
          <w:bottom w:w="0" w:type="dxa"/>
          <w:right w:w="108" w:type="dxa"/>
        </w:tblCellMar>
        <w:tblLook w:firstRow="1" w:noVBand="1" w:lastRow="0" w:firstColumn="1" w:lastColumn="0" w:noHBand="0" w:val="04a0"/>
      </w:tblPr>
      <w:tblGrid>
        <w:gridCol w:w="3437"/>
        <w:gridCol w:w="3692"/>
        <w:gridCol w:w="3292"/>
      </w:tblGrid>
      <w:tr>
        <w:trPr/>
        <w:tc>
          <w:tcPr>
            <w:tcW w:w="3437"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Навчальний  рік</w:t>
            </w:r>
          </w:p>
          <w:p>
            <w:pPr>
              <w:pStyle w:val="Normal"/>
              <w:spacing w:lineRule="auto" w:line="240" w:beforeAutospacing="1" w:after="0"/>
              <w:ind w:firstLine="567"/>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3692"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Кількість загальноосвітніх навчальних закладів</w:t>
            </w:r>
          </w:p>
        </w:tc>
        <w:tc>
          <w:tcPr>
            <w:tcW w:w="3292"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Кількість учнів</w:t>
            </w:r>
          </w:p>
        </w:tc>
      </w:tr>
      <w:tr>
        <w:trPr/>
        <w:tc>
          <w:tcPr>
            <w:tcW w:w="3437"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2012-2013</w:t>
            </w:r>
          </w:p>
        </w:tc>
        <w:tc>
          <w:tcPr>
            <w:tcW w:w="3692"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508</w:t>
            </w:r>
          </w:p>
        </w:tc>
        <w:tc>
          <w:tcPr>
            <w:tcW w:w="3292"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231534</w:t>
            </w:r>
          </w:p>
        </w:tc>
      </w:tr>
      <w:tr>
        <w:trPr/>
        <w:tc>
          <w:tcPr>
            <w:tcW w:w="3437"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2013-2014</w:t>
            </w:r>
          </w:p>
        </w:tc>
        <w:tc>
          <w:tcPr>
            <w:tcW w:w="3692"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508</w:t>
            </w:r>
          </w:p>
        </w:tc>
        <w:tc>
          <w:tcPr>
            <w:tcW w:w="3292"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241104</w:t>
            </w:r>
          </w:p>
        </w:tc>
      </w:tr>
      <w:tr>
        <w:trPr/>
        <w:tc>
          <w:tcPr>
            <w:tcW w:w="3437"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2014-2015</w:t>
            </w:r>
          </w:p>
        </w:tc>
        <w:tc>
          <w:tcPr>
            <w:tcW w:w="3692"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510</w:t>
            </w:r>
          </w:p>
        </w:tc>
        <w:tc>
          <w:tcPr>
            <w:tcW w:w="3292" w:type="dxa"/>
            <w:tcBorders/>
            <w:shd w:fill="auto" w:val="clear"/>
            <w:tcMar>
              <w:left w:w="108" w:type="dxa"/>
            </w:tcMar>
          </w:tcPr>
          <w:p>
            <w:pPr>
              <w:pStyle w:val="Normal"/>
              <w:spacing w:lineRule="auto" w:line="240" w:beforeAutospacing="1"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254532</w:t>
            </w:r>
          </w:p>
        </w:tc>
      </w:tr>
    </w:tbl>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З 2008-2009 навчального року зростає наповненість класів. Середня наповнюваність класів у 2014-2015 навчальному році становила 26,8 що на 7,2% більше порівняно з 2012-2013 навчальним роком.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Найбільша наповнюваність класів – у загальноосвітніх навчальних закладах Дарницького району (29,2), найменша – у Шевченківському (25,2), Печерському (25,3) та Подільському (25,4) районах. </w:t>
      </w:r>
    </w:p>
    <w:p>
      <w:pPr>
        <w:pStyle w:val="Normal"/>
        <w:spacing w:lineRule="auto" w:line="240" w:beforeAutospacing="1" w:afterAutospacing="1"/>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Середня наповнюваність класів (за районами)</w:t>
      </w:r>
    </w:p>
    <w:tbl>
      <w:tblPr>
        <w:tblW w:w="10646"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15" w:type="dxa"/>
          <w:left w:w="103" w:type="dxa"/>
          <w:bottom w:w="0" w:type="dxa"/>
          <w:right w:w="108" w:type="dxa"/>
        </w:tblCellMar>
        <w:tblLook w:firstRow="1" w:noVBand="1" w:lastRow="0" w:firstColumn="1" w:lastColumn="0" w:noHBand="0" w:val="04a0"/>
      </w:tblPr>
      <w:tblGrid>
        <w:gridCol w:w="534"/>
        <w:gridCol w:w="2204"/>
        <w:gridCol w:w="1"/>
        <w:gridCol w:w="1781"/>
        <w:gridCol w:w="1"/>
        <w:gridCol w:w="1519"/>
        <w:gridCol w:w="1"/>
        <w:gridCol w:w="1590"/>
        <w:gridCol w:w="1"/>
        <w:gridCol w:w="1507"/>
        <w:gridCol w:w="1"/>
        <w:gridCol w:w="1505"/>
      </w:tblGrid>
      <w:tr>
        <w:trPr>
          <w:trHeight w:val="507"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w:t>
            </w:r>
          </w:p>
        </w:tc>
        <w:tc>
          <w:tcPr>
            <w:tcW w:w="22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 xml:space="preserve">Район </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2008-2009</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2011-2012</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2012-2013</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jc w:val="center"/>
              <w:rPr>
                <w:rFonts w:ascii="Times New Roman" w:hAnsi="Times New Roman" w:eastAsia="Times New Roman" w:cs="Times New Roman"/>
                <w:bCs/>
                <w:color w:val="000000"/>
                <w:sz w:val="28"/>
                <w:szCs w:val="28"/>
                <w:lang w:eastAsia="uk-UA"/>
              </w:rPr>
            </w:pPr>
            <w:r>
              <w:rPr>
                <w:rFonts w:eastAsia="Times New Roman" w:cs="Times New Roman" w:ascii="Times New Roman" w:hAnsi="Times New Roman"/>
                <w:bCs/>
                <w:color w:val="000000"/>
                <w:sz w:val="28"/>
                <w:szCs w:val="28"/>
                <w:lang w:eastAsia="uk-UA"/>
              </w:rPr>
              <w:t>2013-2014</w:t>
            </w:r>
          </w:p>
        </w:tc>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jc w:val="center"/>
              <w:rPr>
                <w:rFonts w:ascii="Times New Roman" w:hAnsi="Times New Roman" w:eastAsia="Times New Roman" w:cs="Times New Roman"/>
                <w:bCs/>
                <w:color w:val="000000"/>
                <w:sz w:val="28"/>
                <w:szCs w:val="28"/>
                <w:lang w:eastAsia="uk-UA"/>
              </w:rPr>
            </w:pPr>
            <w:r>
              <w:rPr>
                <w:rFonts w:eastAsia="Times New Roman" w:cs="Times New Roman" w:ascii="Times New Roman" w:hAnsi="Times New Roman"/>
                <w:bCs/>
                <w:color w:val="000000"/>
                <w:sz w:val="28"/>
                <w:szCs w:val="28"/>
                <w:lang w:eastAsia="uk-UA"/>
              </w:rPr>
              <w:t>2014-2015</w:t>
            </w:r>
          </w:p>
        </w:tc>
      </w:tr>
      <w:tr>
        <w:trPr>
          <w:trHeight w:val="375"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ListParagraph"/>
              <w:numPr>
                <w:ilvl w:val="0"/>
                <w:numId w:val="7"/>
              </w:numPr>
              <w:spacing w:lineRule="auto" w:line="240" w:beforeAutospacing="1" w:afterAutospacing="1"/>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22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Голосіївський </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25,3</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24,5</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24,6</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25,2</w:t>
            </w:r>
          </w:p>
        </w:tc>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26,4</w:t>
            </w:r>
          </w:p>
        </w:tc>
      </w:tr>
      <w:tr>
        <w:trPr>
          <w:trHeight w:val="172"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ListParagraph"/>
              <w:numPr>
                <w:ilvl w:val="0"/>
                <w:numId w:val="7"/>
              </w:numPr>
              <w:spacing w:lineRule="auto" w:line="240" w:beforeAutospacing="1" w:afterAutospacing="1"/>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22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 xml:space="preserve">Дарницький </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26,1</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27,2</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27,0</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bCs/>
                <w:color w:val="000000"/>
                <w:sz w:val="28"/>
                <w:szCs w:val="28"/>
                <w:lang w:eastAsia="uk-UA"/>
              </w:rPr>
            </w:pPr>
            <w:r>
              <w:rPr>
                <w:rFonts w:eastAsia="Times New Roman" w:cs="Times New Roman" w:ascii="Times New Roman" w:hAnsi="Times New Roman"/>
                <w:bCs/>
                <w:color w:val="000000"/>
                <w:sz w:val="28"/>
                <w:szCs w:val="28"/>
                <w:lang w:eastAsia="uk-UA"/>
              </w:rPr>
              <w:t>27,5</w:t>
            </w:r>
          </w:p>
        </w:tc>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bCs/>
                <w:color w:val="000000"/>
                <w:sz w:val="28"/>
                <w:szCs w:val="28"/>
                <w:lang w:eastAsia="uk-UA"/>
              </w:rPr>
            </w:pPr>
            <w:r>
              <w:rPr>
                <w:rFonts w:eastAsia="Times New Roman" w:cs="Times New Roman" w:ascii="Times New Roman" w:hAnsi="Times New Roman"/>
                <w:bCs/>
                <w:color w:val="000000"/>
                <w:sz w:val="28"/>
                <w:szCs w:val="28"/>
                <w:lang w:eastAsia="uk-UA"/>
              </w:rPr>
              <w:t>29,2</w:t>
            </w:r>
          </w:p>
        </w:tc>
      </w:tr>
      <w:tr>
        <w:trPr>
          <w:trHeight w:val="507"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ListParagraph"/>
              <w:numPr>
                <w:ilvl w:val="0"/>
                <w:numId w:val="7"/>
              </w:numPr>
              <w:spacing w:lineRule="auto" w:line="240" w:beforeAutospacing="1" w:afterAutospacing="1"/>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22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Деснянський </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25,5</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25,5</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25,7</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26,2</w:t>
            </w:r>
          </w:p>
        </w:tc>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26,7</w:t>
            </w:r>
          </w:p>
        </w:tc>
      </w:tr>
      <w:tr>
        <w:trPr>
          <w:trHeight w:val="507"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ListParagraph"/>
              <w:numPr>
                <w:ilvl w:val="0"/>
                <w:numId w:val="7"/>
              </w:numPr>
              <w:spacing w:lineRule="auto" w:line="240" w:beforeAutospacing="1" w:afterAutospacing="1"/>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22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Дніпровський </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24,5</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24,6</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24,6</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25,3</w:t>
            </w:r>
          </w:p>
        </w:tc>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26,0</w:t>
            </w:r>
          </w:p>
        </w:tc>
      </w:tr>
      <w:tr>
        <w:trPr>
          <w:trHeight w:val="507"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ListParagraph"/>
              <w:numPr>
                <w:ilvl w:val="0"/>
                <w:numId w:val="7"/>
              </w:numPr>
              <w:spacing w:lineRule="auto" w:line="240" w:beforeAutospacing="1" w:afterAutospacing="1"/>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22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Оболонський </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23,6</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24,0</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24,0</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24,9</w:t>
            </w:r>
          </w:p>
        </w:tc>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26,1</w:t>
            </w:r>
          </w:p>
        </w:tc>
      </w:tr>
      <w:tr>
        <w:trPr>
          <w:trHeight w:val="507"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ListParagraph"/>
              <w:numPr>
                <w:ilvl w:val="0"/>
                <w:numId w:val="7"/>
              </w:numPr>
              <w:spacing w:lineRule="auto" w:line="240" w:beforeAutospacing="1" w:afterAutospacing="1"/>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22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Печерський </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24,6</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24,2</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23,9</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24,3</w:t>
            </w:r>
          </w:p>
        </w:tc>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25,3</w:t>
            </w:r>
          </w:p>
        </w:tc>
      </w:tr>
      <w:tr>
        <w:trPr>
          <w:trHeight w:val="507"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ListParagraph"/>
              <w:numPr>
                <w:ilvl w:val="0"/>
                <w:numId w:val="7"/>
              </w:numPr>
              <w:spacing w:lineRule="auto" w:line="240" w:beforeAutospacing="1" w:afterAutospacing="1"/>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22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Подільський </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23,2</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24,0</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23,9</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24,4</w:t>
            </w:r>
          </w:p>
        </w:tc>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25,4</w:t>
            </w:r>
          </w:p>
        </w:tc>
      </w:tr>
      <w:tr>
        <w:trPr>
          <w:trHeight w:val="507"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ListParagraph"/>
              <w:numPr>
                <w:ilvl w:val="0"/>
                <w:numId w:val="7"/>
              </w:numPr>
              <w:spacing w:lineRule="auto" w:line="240" w:beforeAutospacing="1" w:afterAutospacing="1"/>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22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Святошинський </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25,8</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25,8</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26,1</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26,3</w:t>
            </w:r>
          </w:p>
        </w:tc>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27,2</w:t>
            </w:r>
          </w:p>
        </w:tc>
      </w:tr>
      <w:tr>
        <w:trPr>
          <w:trHeight w:val="507"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ListParagraph"/>
              <w:numPr>
                <w:ilvl w:val="0"/>
                <w:numId w:val="7"/>
              </w:numPr>
              <w:spacing w:lineRule="auto" w:line="240" w:beforeAutospacing="1" w:afterAutospacing="1"/>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22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Солом'янський </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23,5</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24,8</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24,9</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25,6</w:t>
            </w:r>
          </w:p>
        </w:tc>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26,4</w:t>
            </w:r>
          </w:p>
        </w:tc>
      </w:tr>
      <w:tr>
        <w:trPr>
          <w:trHeight w:val="507" w:hRule="atLeast"/>
        </w:trPr>
        <w:tc>
          <w:tcPr>
            <w:tcW w:w="53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ListParagraph"/>
              <w:numPr>
                <w:ilvl w:val="0"/>
                <w:numId w:val="7"/>
              </w:numPr>
              <w:spacing w:lineRule="auto" w:line="240" w:beforeAutospacing="1" w:afterAutospacing="1"/>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r>
          </w:p>
        </w:tc>
        <w:tc>
          <w:tcPr>
            <w:tcW w:w="220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Шевченківський </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23,6</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23,6</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23,5</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24,1</w:t>
            </w:r>
          </w:p>
        </w:tc>
        <w:tc>
          <w:tcPr>
            <w:tcW w:w="15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25,2</w:t>
            </w:r>
          </w:p>
        </w:tc>
      </w:tr>
      <w:tr>
        <w:trPr>
          <w:trHeight w:val="45" w:hRule="atLeast"/>
        </w:trPr>
        <w:tc>
          <w:tcPr>
            <w:tcW w:w="273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Середній показник по місту</w:t>
            </w:r>
          </w:p>
        </w:tc>
        <w:tc>
          <w:tcPr>
            <w:tcW w:w="178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24,4</w:t>
            </w:r>
          </w:p>
        </w:tc>
        <w:tc>
          <w:tcPr>
            <w:tcW w:w="1520"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25,0</w:t>
            </w:r>
          </w:p>
        </w:tc>
        <w:tc>
          <w:tcPr>
            <w:tcW w:w="159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tcPr>
          <w:p>
            <w:pPr>
              <w:pStyle w:val="Normal"/>
              <w:spacing w:lineRule="auto" w:line="240" w:beforeAutospacing="1" w:afterAutospacing="1"/>
              <w:ind w:firstLine="567"/>
              <w:rPr>
                <w:rFonts w:ascii="Times New Roman" w:hAnsi="Times New Roman" w:eastAsia="Times New Roman" w:cs="Times New Roman"/>
                <w:color w:val="000000"/>
                <w:sz w:val="28"/>
                <w:szCs w:val="28"/>
                <w:lang w:eastAsia="uk-UA"/>
              </w:rPr>
            </w:pPr>
            <w:r>
              <w:rPr>
                <w:rFonts w:eastAsia="Times New Roman" w:cs="Times New Roman" w:ascii="Times New Roman" w:hAnsi="Times New Roman"/>
                <w:bCs/>
                <w:color w:val="000000"/>
                <w:sz w:val="28"/>
                <w:szCs w:val="28"/>
                <w:lang w:eastAsia="uk-UA"/>
              </w:rPr>
              <w:t>25,0</w:t>
            </w:r>
          </w:p>
        </w:tc>
        <w:tc>
          <w:tcPr>
            <w:tcW w:w="150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bCs/>
                <w:color w:val="000000"/>
                <w:sz w:val="28"/>
                <w:szCs w:val="28"/>
                <w:lang w:eastAsia="uk-UA"/>
              </w:rPr>
            </w:pPr>
            <w:r>
              <w:rPr>
                <w:rFonts w:eastAsia="Times New Roman" w:cs="Times New Roman" w:ascii="Times New Roman" w:hAnsi="Times New Roman"/>
                <w:bCs/>
                <w:color w:val="000000"/>
                <w:sz w:val="28"/>
                <w:szCs w:val="28"/>
                <w:lang w:eastAsia="uk-UA"/>
              </w:rPr>
              <w:t>25,6</w:t>
            </w:r>
          </w:p>
        </w:tc>
        <w:tc>
          <w:tcPr>
            <w:tcW w:w="1506"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top w:w="0" w:type="dxa"/>
              <w:left w:w="-5" w:type="dxa"/>
              <w:right w:w="0" w:type="dxa"/>
            </w:tcMar>
          </w:tcPr>
          <w:p>
            <w:pPr>
              <w:pStyle w:val="Normal"/>
              <w:spacing w:lineRule="auto" w:line="240" w:beforeAutospacing="1" w:afterAutospacing="1"/>
              <w:ind w:firstLine="567"/>
              <w:rPr>
                <w:rFonts w:ascii="Times New Roman" w:hAnsi="Times New Roman" w:eastAsia="Times New Roman" w:cs="Times New Roman"/>
                <w:bCs/>
                <w:color w:val="000000"/>
                <w:sz w:val="28"/>
                <w:szCs w:val="28"/>
                <w:lang w:eastAsia="uk-UA"/>
              </w:rPr>
            </w:pPr>
            <w:r>
              <w:rPr>
                <w:rFonts w:eastAsia="Times New Roman" w:cs="Times New Roman" w:ascii="Times New Roman" w:hAnsi="Times New Roman"/>
                <w:bCs/>
                <w:color w:val="000000"/>
                <w:sz w:val="28"/>
                <w:szCs w:val="28"/>
                <w:lang w:eastAsia="uk-UA"/>
              </w:rPr>
              <w:t>26,8</w:t>
            </w:r>
          </w:p>
        </w:tc>
      </w:tr>
    </w:tbl>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Мережа загальноосвітніх навчальних закладів міста Києва в цілому задовольняє освітні потреби мешканців столиці. У Києві працює 510 закладів різного типу та форм власності, з них 450 – комунальних.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Серед загальноосвітніх навчальних закладів комунальної форми власності: </w:t>
      </w:r>
    </w:p>
    <w:p>
      <w:pPr>
        <w:pStyle w:val="ListParagraph"/>
        <w:numPr>
          <w:ilvl w:val="0"/>
          <w:numId w:val="8"/>
        </w:numPr>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33 ліцеї; </w:t>
      </w:r>
    </w:p>
    <w:p>
      <w:pPr>
        <w:pStyle w:val="ListParagraph"/>
        <w:numPr>
          <w:ilvl w:val="0"/>
          <w:numId w:val="8"/>
        </w:numPr>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46 гімназій; </w:t>
      </w:r>
    </w:p>
    <w:p>
      <w:pPr>
        <w:pStyle w:val="ListParagraph"/>
        <w:numPr>
          <w:ilvl w:val="0"/>
          <w:numId w:val="8"/>
        </w:numPr>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144 спеціалізовані школи; </w:t>
      </w:r>
    </w:p>
    <w:p>
      <w:pPr>
        <w:pStyle w:val="ListParagraph"/>
        <w:numPr>
          <w:ilvl w:val="0"/>
          <w:numId w:val="8"/>
        </w:numPr>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7 навчально-виховних комплексів; </w:t>
      </w:r>
    </w:p>
    <w:p>
      <w:pPr>
        <w:pStyle w:val="ListParagraph"/>
        <w:numPr>
          <w:ilvl w:val="0"/>
          <w:numId w:val="8"/>
        </w:numPr>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54 школи-дитячі садки; </w:t>
      </w:r>
    </w:p>
    <w:p>
      <w:pPr>
        <w:pStyle w:val="ListParagraph"/>
        <w:numPr>
          <w:ilvl w:val="0"/>
          <w:numId w:val="8"/>
        </w:numPr>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11 вечірніх (змінних) шкіл; </w:t>
      </w:r>
    </w:p>
    <w:p>
      <w:pPr>
        <w:pStyle w:val="ListParagraph"/>
        <w:numPr>
          <w:ilvl w:val="0"/>
          <w:numId w:val="8"/>
        </w:numPr>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26 інтернатів (з них 17 спеціальних); </w:t>
      </w:r>
    </w:p>
    <w:p>
      <w:pPr>
        <w:pStyle w:val="ListParagraph"/>
        <w:numPr>
          <w:ilvl w:val="0"/>
          <w:numId w:val="8"/>
        </w:numPr>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12 початкових шкіл; </w:t>
      </w:r>
    </w:p>
    <w:p>
      <w:pPr>
        <w:pStyle w:val="ListParagraph"/>
        <w:numPr>
          <w:ilvl w:val="0"/>
          <w:numId w:val="8"/>
        </w:numPr>
        <w:spacing w:lineRule="auto" w:line="240" w:beforeAutospacing="1" w:afterAutospacing="1"/>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117 шкіл І-ІІІ ступенів.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Частка ліцеїв та гімназій у мережі загальноосвітніх навчальних закладів комунальної форми власності в місті Києва становить 17,5 %. У них навчається 56 884 учні (по Україні – 172 639), що становить 23,3 % від їх загальної кількості. У 2014-2015 навчальному році в київських гімназіях і ліцеях навчалося майже 33% всіх гімназистів та ліцеїстів України.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Кількість учнів та вчителів із розрахунку на один загальноосвітній навчальний заклад Києва у 2014-2015 навчальному році становила відповідно 507 (по Україні - 213) та 45 (по Україні – 26).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Збільшується кількість першокласників: у 2010 році кількість першокласників становила 24 234, у 2015 році – майже 32 000.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У мережі навчальних закладів міста Києва, які надають послуги у сфері загальної середньої освіти, функціонує 51 приватний загальноосвітній навчальний заклад (5 053 учні).</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У навчальних закладах міста Києва навчається та виховується 10 547 дітей, які прибули з АР Крим та східних регіонів (Донецька й Луганська обл.).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bookmarkStart w:id="12" w:name="1277"/>
      <w:bookmarkStart w:id="13" w:name="1274"/>
      <w:bookmarkStart w:id="14" w:name="1272"/>
      <w:bookmarkStart w:id="15" w:name="1269"/>
      <w:bookmarkStart w:id="16" w:name="1299"/>
      <w:bookmarkEnd w:id="12"/>
      <w:bookmarkEnd w:id="13"/>
      <w:bookmarkEnd w:id="14"/>
      <w:bookmarkEnd w:id="15"/>
      <w:bookmarkEnd w:id="16"/>
      <w:r>
        <w:rPr>
          <w:rFonts w:eastAsia="Times New Roman" w:cs="Times New Roman" w:ascii="Times New Roman" w:hAnsi="Times New Roman"/>
          <w:color w:val="000000"/>
          <w:sz w:val="28"/>
          <w:szCs w:val="28"/>
          <w:lang w:eastAsia="uk-UA"/>
        </w:rPr>
        <w:t>Основні вектори розвитку шкільної освіти столиці:</w:t>
      </w:r>
    </w:p>
    <w:p>
      <w:pPr>
        <w:pStyle w:val="Normal"/>
        <w:numPr>
          <w:ilvl w:val="0"/>
          <w:numId w:val="2"/>
        </w:numPr>
        <w:spacing w:beforeAutospacing="1" w:afterAutospacing="1"/>
        <w:jc w:val="both"/>
        <w:rPr>
          <w:rFonts w:ascii="Times New Roman" w:hAnsi="Times New Roman" w:eastAsia="Times New Roman" w:cs="Times New Roman"/>
          <w:color w:val="000000"/>
          <w:sz w:val="28"/>
          <w:szCs w:val="28"/>
          <w:lang w:eastAsia="uk-UA"/>
        </w:rPr>
      </w:pPr>
      <w:bookmarkStart w:id="17" w:name="1300"/>
      <w:bookmarkEnd w:id="17"/>
      <w:r>
        <w:rPr>
          <w:rFonts w:eastAsia="Times New Roman" w:cs="Times New Roman" w:ascii="Times New Roman" w:hAnsi="Times New Roman"/>
          <w:color w:val="000000"/>
          <w:sz w:val="28"/>
          <w:szCs w:val="28"/>
          <w:lang w:eastAsia="uk-UA"/>
        </w:rPr>
        <w:t>реалізація особистісно-зорієнтованого та компетентнісного підходів;</w:t>
      </w:r>
    </w:p>
    <w:p>
      <w:pPr>
        <w:pStyle w:val="Normal"/>
        <w:numPr>
          <w:ilvl w:val="0"/>
          <w:numId w:val="2"/>
        </w:numPr>
        <w:spacing w:beforeAutospacing="1" w:afterAutospacing="1"/>
        <w:jc w:val="both"/>
        <w:rPr>
          <w:rFonts w:ascii="Times New Roman" w:hAnsi="Times New Roman" w:eastAsia="Times New Roman" w:cs="Times New Roman"/>
          <w:color w:val="000000"/>
          <w:sz w:val="28"/>
          <w:szCs w:val="28"/>
          <w:lang w:eastAsia="uk-UA"/>
        </w:rPr>
      </w:pPr>
      <w:bookmarkStart w:id="18" w:name="1301"/>
      <w:bookmarkEnd w:id="18"/>
      <w:r>
        <w:rPr>
          <w:rFonts w:eastAsia="Times New Roman" w:cs="Times New Roman" w:ascii="Times New Roman" w:hAnsi="Times New Roman"/>
          <w:color w:val="000000"/>
          <w:sz w:val="28"/>
          <w:szCs w:val="28"/>
          <w:lang w:eastAsia="uk-UA"/>
        </w:rPr>
        <w:t>технологізація, інформатизація та інноваційність навчального процесу;</w:t>
      </w:r>
    </w:p>
    <w:p>
      <w:pPr>
        <w:sectPr>
          <w:headerReference w:type="default" r:id="rId8"/>
          <w:headerReference w:type="first" r:id="rId9"/>
          <w:type w:val="nextPage"/>
          <w:pgSz w:orient="landscape" w:w="16838" w:h="11906"/>
          <w:pgMar w:left="851" w:right="851" w:header="709" w:top="1134" w:footer="0" w:bottom="1134" w:gutter="0"/>
          <w:pgNumType w:fmt="decimal"/>
          <w:formProt w:val="false"/>
          <w:titlePg/>
          <w:textDirection w:val="lrTb"/>
          <w:docGrid w:type="default" w:linePitch="360" w:charSpace="4294965247"/>
        </w:sectPr>
        <w:pStyle w:val="Normal"/>
        <w:numPr>
          <w:ilvl w:val="0"/>
          <w:numId w:val="2"/>
        </w:numPr>
        <w:spacing w:beforeAutospacing="1" w:afterAutospacing="1"/>
        <w:jc w:val="both"/>
        <w:rPr>
          <w:rStyle w:val="22"/>
          <w:rFonts w:eastAsia="Times New Roman" w:cs="Times New Roman"/>
          <w:color w:val="000000"/>
          <w:szCs w:val="28"/>
          <w:lang w:eastAsia="uk-UA"/>
        </w:rPr>
      </w:pPr>
      <w:bookmarkStart w:id="19" w:name="1302"/>
      <w:bookmarkEnd w:id="19"/>
      <w:r>
        <w:rPr>
          <w:rFonts w:eastAsia="Times New Roman" w:cs="Times New Roman" w:ascii="Times New Roman" w:hAnsi="Times New Roman"/>
          <w:color w:val="000000"/>
          <w:sz w:val="28"/>
          <w:szCs w:val="28"/>
          <w:lang w:eastAsia="uk-UA"/>
        </w:rPr>
        <w:t>профілізація навчання та запровадження системи моніторингу якості освіти.</w:t>
      </w:r>
    </w:p>
    <w:p>
      <w:pPr>
        <w:pStyle w:val="2"/>
        <w:spacing w:before="120" w:after="120"/>
        <w:jc w:val="center"/>
        <w:rPr>
          <w:rFonts w:ascii="Times New Roman" w:hAnsi="Times New Roman" w:cs="Times New Roman"/>
          <w:b w:val="false"/>
          <w:b w:val="false"/>
          <w:color w:val="00000A"/>
          <w:sz w:val="28"/>
          <w:szCs w:val="28"/>
          <w:lang w:val="ru-RU"/>
        </w:rPr>
      </w:pPr>
      <w:bookmarkStart w:id="20" w:name="_Toc431397866"/>
      <w:r>
        <w:rPr>
          <w:rStyle w:val="22"/>
          <w:rFonts w:cs="Times New Roman"/>
          <w:b w:val="false"/>
          <w:color w:val="00000A"/>
          <w:szCs w:val="28"/>
        </w:rPr>
        <w:t>Напрями діяльності, завдання та заходи</w:t>
      </w:r>
      <w:bookmarkEnd w:id="20"/>
      <w:r>
        <w:rPr>
          <w:rFonts w:cs="Times New Roman" w:ascii="Times New Roman" w:hAnsi="Times New Roman"/>
          <w:b w:val="false"/>
          <w:color w:val="00000A"/>
          <w:sz w:val="28"/>
          <w:szCs w:val="28"/>
        </w:rPr>
        <w:t xml:space="preserve"> підпрограми «Загальна середня освіта»</w:t>
      </w:r>
    </w:p>
    <w:tbl>
      <w:tblPr>
        <w:tblStyle w:val="a9"/>
        <w:tblW w:w="15276" w:type="dxa"/>
        <w:jc w:val="left"/>
        <w:tblInd w:w="108" w:type="dxa"/>
        <w:tblCellMar>
          <w:top w:w="0" w:type="dxa"/>
          <w:left w:w="108" w:type="dxa"/>
          <w:bottom w:w="0" w:type="dxa"/>
          <w:right w:w="108" w:type="dxa"/>
        </w:tblCellMar>
        <w:tblLook w:firstRow="1" w:noVBand="1" w:lastRow="0" w:firstColumn="1" w:lastColumn="0" w:noHBand="0" w:val="04a0"/>
      </w:tblPr>
      <w:tblGrid>
        <w:gridCol w:w="679"/>
        <w:gridCol w:w="2264"/>
        <w:gridCol w:w="2835"/>
        <w:gridCol w:w="1349"/>
        <w:gridCol w:w="2055"/>
        <w:gridCol w:w="1705"/>
        <w:gridCol w:w="2297"/>
        <w:gridCol w:w="2090"/>
      </w:tblGrid>
      <w:tr>
        <w:trPr>
          <w:trHeight w:val="1455" w:hRule="atLeast"/>
        </w:trPr>
        <w:tc>
          <w:tcPr>
            <w:tcW w:w="679"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w:t>
            </w:r>
          </w:p>
        </w:tc>
        <w:tc>
          <w:tcPr>
            <w:tcW w:w="226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Назва напряму діяльності (пріоритетні завдання)</w:t>
            </w:r>
          </w:p>
        </w:tc>
        <w:tc>
          <w:tcPr>
            <w:tcW w:w="2835"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Заходи підпрограми</w:t>
            </w:r>
          </w:p>
        </w:tc>
        <w:tc>
          <w:tcPr>
            <w:tcW w:w="134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Терміни виконання заходу</w:t>
            </w:r>
          </w:p>
        </w:tc>
        <w:tc>
          <w:tcPr>
            <w:tcW w:w="2055"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Виконавці</w:t>
            </w:r>
          </w:p>
        </w:tc>
        <w:tc>
          <w:tcPr>
            <w:tcW w:w="1705"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Джерела фінансування</w:t>
            </w:r>
          </w:p>
        </w:tc>
        <w:tc>
          <w:tcPr>
            <w:tcW w:w="2297"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Орієнтовні обсяги фінансування (вартість), тис. гривень, у тому числі за роками:</w:t>
            </w:r>
          </w:p>
        </w:tc>
        <w:tc>
          <w:tcPr>
            <w:tcW w:w="2090"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Очікуваний результат</w:t>
            </w:r>
          </w:p>
        </w:tc>
      </w:tr>
      <w:tr>
        <w:trPr>
          <w:trHeight w:val="300" w:hRule="atLeast"/>
        </w:trPr>
        <w:tc>
          <w:tcPr>
            <w:tcW w:w="67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w:t>
            </w:r>
          </w:p>
        </w:tc>
        <w:tc>
          <w:tcPr>
            <w:tcW w:w="226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w:t>
            </w:r>
          </w:p>
        </w:tc>
        <w:tc>
          <w:tcPr>
            <w:tcW w:w="2835"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w:t>
            </w:r>
          </w:p>
        </w:tc>
        <w:tc>
          <w:tcPr>
            <w:tcW w:w="134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w:t>
            </w:r>
          </w:p>
        </w:tc>
        <w:tc>
          <w:tcPr>
            <w:tcW w:w="2055"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5</w:t>
            </w:r>
          </w:p>
        </w:tc>
        <w:tc>
          <w:tcPr>
            <w:tcW w:w="1705"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6</w:t>
            </w:r>
          </w:p>
        </w:tc>
        <w:tc>
          <w:tcPr>
            <w:tcW w:w="2297"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w:t>
            </w:r>
          </w:p>
        </w:tc>
        <w:tc>
          <w:tcPr>
            <w:tcW w:w="2090"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8</w:t>
            </w:r>
          </w:p>
        </w:tc>
      </w:tr>
      <w:tr>
        <w:trPr>
          <w:trHeight w:val="4556" w:hRule="atLeast"/>
        </w:trPr>
        <w:tc>
          <w:tcPr>
            <w:tcW w:w="679" w:type="dxa"/>
            <w:vMerge w:val="restart"/>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w:t>
            </w:r>
          </w:p>
        </w:tc>
        <w:tc>
          <w:tcPr>
            <w:tcW w:w="2264" w:type="dxa"/>
            <w:vMerge w:val="restart"/>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Удосконалення  мережі загальноосвітніх навчальних закладів відповідно до освітніх потреб мешканців столиці</w:t>
            </w:r>
          </w:p>
        </w:tc>
        <w:tc>
          <w:tcPr>
            <w:tcW w:w="283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Забезпечити належне функціонування загальноосвітніх навчальних закладів </w:t>
            </w:r>
          </w:p>
        </w:tc>
        <w:tc>
          <w:tcPr>
            <w:tcW w:w="1349"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2016- 2018</w:t>
            </w:r>
          </w:p>
        </w:tc>
        <w:tc>
          <w:tcPr>
            <w:tcW w:w="205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Департамент освіти і науки, молоді та спорту, районні в місті Києві державні адміністрації</w:t>
            </w:r>
          </w:p>
          <w:p>
            <w:pPr>
              <w:pStyle w:val="Normal"/>
              <w:spacing w:lineRule="auto" w:line="240" w:before="0" w:after="0"/>
              <w:rPr>
                <w:rFonts w:ascii="Times New Roman" w:hAnsi="Times New Roman" w:eastAsia="ＭＳ 明朝" w:cs="Times New Roman" w:eastAsiaTheme="minorEastAsia"/>
                <w:sz w:val="24"/>
                <w:szCs w:val="24"/>
                <w:lang w:val="ru-RU" w:eastAsia="uk-UA"/>
              </w:rPr>
            </w:pPr>
            <w:r>
              <w:rPr>
                <w:rFonts w:eastAsia="ＭＳ 明朝" w:cs="Times New Roman" w:eastAsiaTheme="minorEastAsia" w:ascii="Times New Roman" w:hAnsi="Times New Roman"/>
                <w:sz w:val="24"/>
                <w:szCs w:val="24"/>
                <w:lang w:val="ru-RU" w:eastAsia="uk-UA"/>
              </w:rPr>
            </w:r>
          </w:p>
        </w:tc>
        <w:tc>
          <w:tcPr>
            <w:tcW w:w="170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Бюджет </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м. Києва, власні надходження</w:t>
            </w:r>
          </w:p>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297"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Усього:</w:t>
            </w:r>
          </w:p>
          <w:p>
            <w:pPr>
              <w:pStyle w:val="Normal"/>
              <w:spacing w:lineRule="auto" w:line="240" w:before="0" w:after="0"/>
              <w:rPr>
                <w:rFonts w:ascii="Times New Roman" w:hAnsi="Times New Roman" w:cs="Times New Roman"/>
                <w:sz w:val="24"/>
                <w:szCs w:val="24"/>
                <w:lang w:val="ru-RU"/>
              </w:rPr>
            </w:pPr>
            <w:r>
              <w:rPr>
                <w:rFonts w:eastAsia="ＭＳ 明朝" w:cs="Times New Roman" w:eastAsiaTheme="minorEastAsia" w:ascii="Times New Roman" w:hAnsi="Times New Roman"/>
                <w:sz w:val="24"/>
                <w:szCs w:val="24"/>
                <w:lang w:eastAsia="uk-UA"/>
              </w:rPr>
              <w:t>9 </w:t>
            </w:r>
            <w:r>
              <w:rPr>
                <w:rFonts w:eastAsia="ＭＳ 明朝" w:cs="Times New Roman" w:eastAsiaTheme="minorEastAsia" w:ascii="Times New Roman" w:hAnsi="Times New Roman"/>
                <w:sz w:val="24"/>
                <w:szCs w:val="24"/>
                <w:lang w:val="ru-RU" w:eastAsia="uk-UA"/>
              </w:rPr>
              <w:t>508 191,2</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у тому числі:</w:t>
            </w:r>
          </w:p>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Бюджет м. Києва загальний фонд: </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9 305 626,8</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у тому числі:</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 р –2 895 032,0</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2017 р.–3 117 858,4</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2018 р.–3 292 736,4</w:t>
            </w:r>
          </w:p>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Власні надходження:</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202 564,4</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у тому числі:</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2016р. – 62 328,5</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2017р. – 67 876,3</w:t>
            </w:r>
          </w:p>
          <w:p>
            <w:pPr>
              <w:pStyle w:val="Normal"/>
              <w:spacing w:lineRule="auto" w:line="240" w:before="0" w:after="0"/>
              <w:rPr>
                <w:rFonts w:ascii="Times New Roman" w:hAnsi="Times New Roman" w:cs="Times New Roman"/>
                <w:sz w:val="24"/>
                <w:szCs w:val="24"/>
                <w:lang w:val="ru-RU"/>
              </w:rPr>
            </w:pPr>
            <w:r>
              <w:rPr>
                <w:rFonts w:eastAsia="ＭＳ 明朝" w:cs="Times New Roman" w:eastAsiaTheme="minorEastAsia" w:ascii="Times New Roman" w:hAnsi="Times New Roman"/>
                <w:sz w:val="24"/>
                <w:szCs w:val="24"/>
                <w:lang w:eastAsia="uk-UA"/>
              </w:rPr>
              <w:t>2018р. – 72359,6</w:t>
            </w:r>
          </w:p>
        </w:tc>
        <w:tc>
          <w:tcPr>
            <w:tcW w:w="2090" w:type="dxa"/>
            <w:tcBorders/>
            <w:shd w:fill="auto" w:val="clear"/>
            <w:tcMar>
              <w:left w:w="108" w:type="dxa"/>
            </w:tcMar>
          </w:tcPr>
          <w:p>
            <w:pPr>
              <w:pStyle w:val="Normal"/>
              <w:spacing w:lineRule="auto" w:line="240" w:before="0" w:after="0"/>
              <w:rPr>
                <w:rFonts w:ascii="Times New Roman" w:hAnsi="Times New Roman" w:cs="Times New Roman"/>
                <w:sz w:val="24"/>
                <w:szCs w:val="24"/>
                <w:lang w:val="ru-RU"/>
              </w:rPr>
            </w:pPr>
            <w:r>
              <w:rPr>
                <w:rFonts w:eastAsia="ＭＳ 明朝" w:cs="Times New Roman" w:eastAsiaTheme="minorEastAsia" w:ascii="Times New Roman" w:hAnsi="Times New Roman"/>
                <w:sz w:val="24"/>
                <w:szCs w:val="24"/>
                <w:lang w:eastAsia="uk-UA"/>
              </w:rPr>
              <w:t>Оптимізація та вдосконалення мережі загальноосвітніх навчальних закладів. Створення належних умов для здобуття освіти на сучасному рівні</w:t>
            </w:r>
          </w:p>
        </w:tc>
      </w:tr>
      <w:tr>
        <w:trPr>
          <w:trHeight w:val="1723" w:hRule="atLeast"/>
        </w:trPr>
        <w:tc>
          <w:tcPr>
            <w:tcW w:w="679"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264"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83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Забезпечити безоплатним харчуванням учнів загальноосвітніх навчальних закладів в установленому порядку</w:t>
            </w:r>
          </w:p>
        </w:tc>
        <w:tc>
          <w:tcPr>
            <w:tcW w:w="1349"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2016- 2018</w:t>
            </w:r>
          </w:p>
        </w:tc>
        <w:tc>
          <w:tcPr>
            <w:tcW w:w="2055" w:type="dxa"/>
            <w:tcBorders/>
            <w:shd w:fill="auto" w:val="clear"/>
            <w:tcMar>
              <w:left w:w="108" w:type="dxa"/>
            </w:tcMar>
          </w:tcPr>
          <w:p>
            <w:pPr>
              <w:pStyle w:val="Normal"/>
              <w:spacing w:lineRule="auto" w:line="240" w:before="0" w:after="0"/>
              <w:rPr>
                <w:rFonts w:ascii="Times New Roman" w:hAnsi="Times New Roman" w:cs="Times New Roman"/>
                <w:sz w:val="24"/>
                <w:szCs w:val="24"/>
                <w:lang w:val="ru-RU"/>
              </w:rPr>
            </w:pPr>
            <w:r>
              <w:rPr>
                <w:rFonts w:eastAsia="ＭＳ 明朝" w:cs="Times New Roman" w:eastAsiaTheme="minorEastAsia" w:ascii="Times New Roman" w:hAnsi="Times New Roman"/>
                <w:sz w:val="24"/>
                <w:szCs w:val="24"/>
                <w:lang w:eastAsia="uk-UA"/>
              </w:rPr>
              <w:t>Департамент освіти і науки, молоді та спорту, районні в місті Києві державні адміністрації</w:t>
            </w:r>
          </w:p>
        </w:tc>
        <w:tc>
          <w:tcPr>
            <w:tcW w:w="170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Бюджет м.</w:t>
            </w:r>
            <w:r>
              <w:rPr>
                <w:rFonts w:eastAsia="ＭＳ 明朝" w:cs="Times New Roman" w:eastAsiaTheme="minorEastAsia" w:ascii="Times New Roman" w:hAnsi="Times New Roman"/>
                <w:sz w:val="24"/>
                <w:szCs w:val="24"/>
                <w:lang w:val="en-US" w:eastAsia="uk-UA"/>
              </w:rPr>
              <w:t> </w:t>
            </w:r>
            <w:r>
              <w:rPr>
                <w:rFonts w:eastAsia="ＭＳ 明朝" w:cs="Times New Roman" w:eastAsiaTheme="minorEastAsia" w:ascii="Times New Roman" w:hAnsi="Times New Roman"/>
                <w:sz w:val="24"/>
                <w:szCs w:val="24"/>
                <w:lang w:eastAsia="uk-UA"/>
              </w:rPr>
              <w:t>Києва</w:t>
            </w:r>
          </w:p>
          <w:p>
            <w:pPr>
              <w:pStyle w:val="Normal"/>
              <w:tabs>
                <w:tab w:val="center" w:pos="744" w:leader="none"/>
              </w:tabs>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r>
              <w:rPr>
                <w:rFonts w:eastAsia="ＭＳ 明朝" w:cs="Times New Roman" w:eastAsiaTheme="minorEastAsia" w:ascii="Times New Roman" w:hAnsi="Times New Roman"/>
                <w:sz w:val="24"/>
                <w:szCs w:val="24"/>
                <w:lang w:eastAsia="uk-UA"/>
              </w:rPr>
              <w:tab/>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p>
        </w:tc>
        <w:tc>
          <w:tcPr>
            <w:tcW w:w="2297" w:type="dxa"/>
            <w:tcBorders/>
            <w:shd w:fill="auto" w:val="clear"/>
            <w:tcMar>
              <w:left w:w="108" w:type="dxa"/>
            </w:tcMar>
          </w:tcPr>
          <w:p>
            <w:pPr>
              <w:pStyle w:val="Normal"/>
              <w:spacing w:lineRule="auto" w:line="240" w:before="0" w:after="0"/>
              <w:rPr>
                <w:rFonts w:ascii="Times New Roman" w:hAnsi="Times New Roman" w:cs="Times New Roman"/>
                <w:sz w:val="24"/>
                <w:szCs w:val="24"/>
                <w:lang w:val="ru-RU"/>
              </w:rPr>
            </w:pPr>
            <w:r>
              <w:rPr>
                <w:rFonts w:eastAsia="ＭＳ 明朝" w:cs="Times New Roman" w:eastAsiaTheme="minorEastAsia" w:ascii="Times New Roman" w:hAnsi="Times New Roman"/>
                <w:sz w:val="24"/>
                <w:szCs w:val="24"/>
                <w:lang w:eastAsia="uk-UA"/>
              </w:rPr>
              <w:t>Загальний фонд усього: 536</w:t>
            </w:r>
            <w:r>
              <w:rPr>
                <w:rFonts w:eastAsia="ＭＳ 明朝" w:cs="Times New Roman" w:eastAsiaTheme="minorEastAsia" w:ascii="Times New Roman" w:hAnsi="Times New Roman"/>
                <w:sz w:val="24"/>
                <w:szCs w:val="24"/>
                <w:lang w:val="ru-RU" w:eastAsia="uk-UA"/>
              </w:rPr>
              <w:t xml:space="preserve"> </w:t>
            </w:r>
            <w:r>
              <w:rPr>
                <w:rFonts w:eastAsia="ＭＳ 明朝" w:cs="Times New Roman" w:eastAsiaTheme="minorEastAsia" w:ascii="Times New Roman" w:hAnsi="Times New Roman"/>
                <w:sz w:val="24"/>
                <w:szCs w:val="24"/>
                <w:lang w:eastAsia="uk-UA"/>
              </w:rPr>
              <w:t>447,6</w:t>
            </w:r>
          </w:p>
          <w:p>
            <w:pPr>
              <w:pStyle w:val="Normal"/>
              <w:spacing w:lineRule="auto" w:line="240" w:before="0" w:after="0"/>
              <w:rPr>
                <w:rFonts w:ascii="Times New Roman" w:hAnsi="Times New Roman" w:cs="Times New Roman"/>
                <w:sz w:val="24"/>
                <w:szCs w:val="24"/>
                <w:lang w:val="ru-RU"/>
              </w:rPr>
            </w:pPr>
            <w:r>
              <w:rPr>
                <w:rFonts w:eastAsia="ＭＳ 明朝" w:cs="Times New Roman" w:eastAsiaTheme="minorEastAsia" w:ascii="Times New Roman" w:hAnsi="Times New Roman"/>
                <w:sz w:val="24"/>
                <w:szCs w:val="24"/>
                <w:lang w:eastAsia="uk-UA"/>
              </w:rPr>
              <w:t>у тому числі:</w:t>
            </w:r>
          </w:p>
          <w:p>
            <w:pPr>
              <w:pStyle w:val="Normal"/>
              <w:spacing w:lineRule="auto" w:line="240" w:before="0" w:after="0"/>
              <w:rPr>
                <w:rFonts w:ascii="Times New Roman" w:hAnsi="Times New Roman" w:cs="Times New Roman"/>
                <w:sz w:val="24"/>
                <w:szCs w:val="24"/>
                <w:lang w:val="ru-RU"/>
              </w:rPr>
            </w:pPr>
            <w:r>
              <w:rPr>
                <w:rFonts w:eastAsia="ＭＳ 明朝" w:cs="Times New Roman" w:eastAsiaTheme="minorEastAsia" w:ascii="Times New Roman" w:hAnsi="Times New Roman"/>
                <w:sz w:val="24"/>
                <w:szCs w:val="24"/>
                <w:lang w:eastAsia="uk-UA"/>
              </w:rPr>
              <w:t>2016р. – 166</w:t>
            </w:r>
            <w:r>
              <w:rPr>
                <w:rFonts w:eastAsia="ＭＳ 明朝" w:cs="Times New Roman" w:eastAsiaTheme="minorEastAsia" w:ascii="Times New Roman" w:hAnsi="Times New Roman"/>
                <w:sz w:val="24"/>
                <w:szCs w:val="24"/>
                <w:lang w:val="ru-RU" w:eastAsia="uk-UA"/>
              </w:rPr>
              <w:t xml:space="preserve"> </w:t>
            </w:r>
            <w:r>
              <w:rPr>
                <w:rFonts w:eastAsia="ＭＳ 明朝" w:cs="Times New Roman" w:eastAsiaTheme="minorEastAsia" w:ascii="Times New Roman" w:hAnsi="Times New Roman"/>
                <w:sz w:val="24"/>
                <w:szCs w:val="24"/>
                <w:lang w:eastAsia="uk-UA"/>
              </w:rPr>
              <w:t>523,9</w:t>
            </w:r>
          </w:p>
          <w:p>
            <w:pPr>
              <w:pStyle w:val="Normal"/>
              <w:spacing w:lineRule="auto" w:line="240" w:before="0" w:after="0"/>
              <w:rPr>
                <w:rFonts w:ascii="Times New Roman" w:hAnsi="Times New Roman" w:cs="Times New Roman"/>
                <w:sz w:val="24"/>
                <w:szCs w:val="24"/>
                <w:lang w:val="en-US"/>
              </w:rPr>
            </w:pPr>
            <w:r>
              <w:rPr>
                <w:rFonts w:eastAsia="ＭＳ 明朝" w:cs="Times New Roman" w:eastAsiaTheme="minorEastAsia" w:ascii="Times New Roman" w:hAnsi="Times New Roman"/>
                <w:sz w:val="24"/>
                <w:szCs w:val="24"/>
                <w:lang w:eastAsia="uk-UA"/>
              </w:rPr>
              <w:t>2017р. – 180</w:t>
            </w:r>
            <w:r>
              <w:rPr>
                <w:rFonts w:eastAsia="ＭＳ 明朝" w:cs="Times New Roman" w:eastAsiaTheme="minorEastAsia" w:ascii="Times New Roman" w:hAnsi="Times New Roman"/>
                <w:sz w:val="24"/>
                <w:szCs w:val="24"/>
                <w:lang w:val="en-US" w:eastAsia="uk-UA"/>
              </w:rPr>
              <w:t xml:space="preserve"> </w:t>
            </w:r>
            <w:r>
              <w:rPr>
                <w:rFonts w:eastAsia="ＭＳ 明朝" w:cs="Times New Roman" w:eastAsiaTheme="minorEastAsia" w:ascii="Times New Roman" w:hAnsi="Times New Roman"/>
                <w:sz w:val="24"/>
                <w:szCs w:val="24"/>
                <w:lang w:eastAsia="uk-UA"/>
              </w:rPr>
              <w:t>013,1</w:t>
            </w:r>
          </w:p>
          <w:p>
            <w:pPr>
              <w:pStyle w:val="Normal"/>
              <w:spacing w:lineRule="auto" w:line="240" w:before="0" w:after="0"/>
              <w:rPr>
                <w:rFonts w:ascii="Times New Roman" w:hAnsi="Times New Roman" w:cs="Times New Roman"/>
                <w:sz w:val="24"/>
                <w:szCs w:val="24"/>
                <w:lang w:val="en-US"/>
              </w:rPr>
            </w:pPr>
            <w:r>
              <w:rPr>
                <w:rFonts w:eastAsia="ＭＳ 明朝" w:cs="Times New Roman" w:eastAsiaTheme="minorEastAsia" w:ascii="Times New Roman" w:hAnsi="Times New Roman"/>
                <w:sz w:val="24"/>
                <w:szCs w:val="24"/>
                <w:lang w:eastAsia="uk-UA"/>
              </w:rPr>
              <w:t>2018р. – 189</w:t>
            </w:r>
            <w:r>
              <w:rPr>
                <w:rFonts w:eastAsia="ＭＳ 明朝" w:cs="Times New Roman" w:eastAsiaTheme="minorEastAsia" w:ascii="Times New Roman" w:hAnsi="Times New Roman"/>
                <w:sz w:val="24"/>
                <w:szCs w:val="24"/>
                <w:lang w:val="en-US" w:eastAsia="uk-UA"/>
              </w:rPr>
              <w:t xml:space="preserve"> </w:t>
            </w:r>
            <w:r>
              <w:rPr>
                <w:rFonts w:eastAsia="ＭＳ 明朝" w:cs="Times New Roman" w:eastAsiaTheme="minorEastAsia" w:ascii="Times New Roman" w:hAnsi="Times New Roman"/>
                <w:sz w:val="24"/>
                <w:szCs w:val="24"/>
                <w:lang w:eastAsia="uk-UA"/>
              </w:rPr>
              <w:t>910,6</w:t>
            </w:r>
          </w:p>
        </w:tc>
        <w:tc>
          <w:tcPr>
            <w:tcW w:w="2090"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Соціальний захист дітей та збереження  їхнього здоров’я</w:t>
            </w:r>
          </w:p>
        </w:tc>
      </w:tr>
      <w:tr>
        <w:trPr>
          <w:trHeight w:val="2290" w:hRule="atLeast"/>
        </w:trPr>
        <w:tc>
          <w:tcPr>
            <w:tcW w:w="679"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264"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83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Оптимізувати мережу гімназій, ліцеїв та спеціалізованих шкіл</w:t>
            </w:r>
          </w:p>
        </w:tc>
        <w:tc>
          <w:tcPr>
            <w:tcW w:w="1349"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2016-2018</w:t>
            </w:r>
          </w:p>
        </w:tc>
        <w:tc>
          <w:tcPr>
            <w:tcW w:w="205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Департамент освіти і науки, молоді та спорту, районні в місті Києві державні адміністрації</w:t>
            </w:r>
          </w:p>
        </w:tc>
        <w:tc>
          <w:tcPr>
            <w:tcW w:w="170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Фінансування не потребує</w:t>
            </w:r>
          </w:p>
        </w:tc>
        <w:tc>
          <w:tcPr>
            <w:tcW w:w="2297"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Фінансування не потребує</w:t>
            </w:r>
          </w:p>
        </w:tc>
        <w:tc>
          <w:tcPr>
            <w:tcW w:w="2090"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Задоволення освітніх потреб мешканців столиці.      Створення комфортних та безпечних умов навчання  учнів. </w:t>
            </w:r>
          </w:p>
        </w:tc>
      </w:tr>
      <w:tr>
        <w:trPr>
          <w:trHeight w:val="2397" w:hRule="atLeast"/>
        </w:trPr>
        <w:tc>
          <w:tcPr>
            <w:tcW w:w="679"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264"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83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Вивести початкову школу зі структури гімназій та 1-7 класи зі структури ліцеїв шляхом створення навчально-виховних комплексів, у структурі яких буде збережено школу І ступеня</w:t>
            </w:r>
          </w:p>
        </w:tc>
        <w:tc>
          <w:tcPr>
            <w:tcW w:w="1349"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2016-2018</w:t>
            </w:r>
          </w:p>
        </w:tc>
        <w:tc>
          <w:tcPr>
            <w:tcW w:w="205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r>
              <w:rPr>
                <w:rFonts w:eastAsia="ＭＳ 明朝" w:cs="Times New Roman" w:eastAsiaTheme="minorEastAsia" w:ascii="Times New Roman" w:hAnsi="Times New Roman"/>
                <w:sz w:val="24"/>
                <w:szCs w:val="24"/>
                <w:lang w:eastAsia="uk-UA"/>
              </w:rPr>
              <w:t>Департамент освіти і науки, молоді та спорту, районні в місті Києві державні адміністрації</w:t>
            </w:r>
          </w:p>
        </w:tc>
        <w:tc>
          <w:tcPr>
            <w:tcW w:w="170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Фінансування не потребує</w:t>
            </w:r>
          </w:p>
        </w:tc>
        <w:tc>
          <w:tcPr>
            <w:tcW w:w="2297"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Фінансування не потребує</w:t>
            </w:r>
          </w:p>
        </w:tc>
        <w:tc>
          <w:tcPr>
            <w:tcW w:w="2090"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Створення умов для здобуття початкової освіти в межах мікрорайону на безконкурсній основі</w:t>
            </w:r>
          </w:p>
        </w:tc>
      </w:tr>
      <w:tr>
        <w:trPr>
          <w:trHeight w:val="1748" w:hRule="atLeast"/>
        </w:trPr>
        <w:tc>
          <w:tcPr>
            <w:tcW w:w="679" w:type="dxa"/>
            <w:vMerge w:val="restart"/>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w:t>
            </w:r>
          </w:p>
        </w:tc>
        <w:tc>
          <w:tcPr>
            <w:tcW w:w="2264" w:type="dxa"/>
            <w:vMerge w:val="restart"/>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Модернізація та утримання на належному рівні матеріально-технічної та навчально-методичної бази загальноосвітніх навчальних закладів</w:t>
            </w:r>
          </w:p>
        </w:tc>
        <w:tc>
          <w:tcPr>
            <w:tcW w:w="283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Провести заміну, ремонт та обслуговування фільтруючих систем та питних фонтанчиків у загальноосвітніх навчальних закладах </w:t>
            </w:r>
          </w:p>
        </w:tc>
        <w:tc>
          <w:tcPr>
            <w:tcW w:w="1349"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2016- 2018</w:t>
            </w:r>
          </w:p>
        </w:tc>
        <w:tc>
          <w:tcPr>
            <w:tcW w:w="205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Районні в місті Києві державні адміністрації</w:t>
            </w:r>
          </w:p>
        </w:tc>
        <w:tc>
          <w:tcPr>
            <w:tcW w:w="170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Бюджет </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м. Києва</w:t>
            </w:r>
          </w:p>
        </w:tc>
        <w:tc>
          <w:tcPr>
            <w:tcW w:w="2297"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Загальний фонд усього:  46 028,0                               у тому числі:                  2016р. -  14 287,9                                   2017р. -  15 445,3                           2018р.  - 16 294,8</w:t>
            </w:r>
          </w:p>
        </w:tc>
        <w:tc>
          <w:tcPr>
            <w:tcW w:w="2090" w:type="dxa"/>
            <w:vMerge w:val="restart"/>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Створення належних та безпечних умов для організації навчально-виховного процесу та підвищення якості освітніх послуг</w:t>
            </w:r>
          </w:p>
        </w:tc>
      </w:tr>
      <w:tr>
        <w:trPr>
          <w:trHeight w:val="1572" w:hRule="atLeast"/>
        </w:trPr>
        <w:tc>
          <w:tcPr>
            <w:tcW w:w="679"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264"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83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Оновити матеріально-технічну та навчально-методичну базу кабінетів "Захист Вітчизни"</w:t>
            </w:r>
          </w:p>
        </w:tc>
        <w:tc>
          <w:tcPr>
            <w:tcW w:w="1349"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2016-2018</w:t>
            </w:r>
          </w:p>
        </w:tc>
        <w:tc>
          <w:tcPr>
            <w:tcW w:w="205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Районні в місті Києві державні адміністрації</w:t>
            </w:r>
          </w:p>
        </w:tc>
        <w:tc>
          <w:tcPr>
            <w:tcW w:w="170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Бюджет </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м. Києва</w:t>
            </w:r>
          </w:p>
        </w:tc>
        <w:tc>
          <w:tcPr>
            <w:tcW w:w="2297"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Загальний фонд усього:  257,7                               у тому числі:                  2016р. - 80,0                                  2017р. - 86,5                            2018р. - 91,2</w:t>
            </w:r>
          </w:p>
        </w:tc>
        <w:tc>
          <w:tcPr>
            <w:tcW w:w="2090"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1493" w:hRule="atLeast"/>
        </w:trPr>
        <w:tc>
          <w:tcPr>
            <w:tcW w:w="679" w:type="dxa"/>
            <w:vMerge w:val="restart"/>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w:t>
            </w:r>
          </w:p>
        </w:tc>
        <w:tc>
          <w:tcPr>
            <w:tcW w:w="2264" w:type="dxa"/>
            <w:vMerge w:val="restart"/>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Забезпечення високоякісної загальноосвітньої профільної та професійної підготовки учнів</w:t>
            </w:r>
          </w:p>
        </w:tc>
        <w:tc>
          <w:tcPr>
            <w:tcW w:w="283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Створити міський ресурсний центр для забезпечення дистанційного навчання та самоосвіти на базі Київського університету імені Бориса Грінченка</w:t>
            </w:r>
          </w:p>
        </w:tc>
        <w:tc>
          <w:tcPr>
            <w:tcW w:w="1349"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2016-2018</w:t>
            </w:r>
          </w:p>
        </w:tc>
        <w:tc>
          <w:tcPr>
            <w:tcW w:w="205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Департамент освіти і науки, молоді та спорту, Київський університет імені Бориса Грінченка</w:t>
            </w:r>
          </w:p>
        </w:tc>
        <w:tc>
          <w:tcPr>
            <w:tcW w:w="170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Фінансування не потребує</w:t>
            </w:r>
          </w:p>
        </w:tc>
        <w:tc>
          <w:tcPr>
            <w:tcW w:w="2297"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Фінансування не потребує</w:t>
            </w:r>
          </w:p>
        </w:tc>
        <w:tc>
          <w:tcPr>
            <w:tcW w:w="2090" w:type="dxa"/>
            <w:vMerge w:val="restart"/>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Створення  сприятливих умов  для  врахування  індивідуальних  особливостей, </w:t>
              <w:br/>
              <w:t xml:space="preserve">інтересів  і  потреб  учнів,  формування  в  школярів  орієнтації  на   майбутню </w:t>
              <w:br/>
              <w:t>професійну діяльність  відповідно до потреб суспільства</w:t>
            </w:r>
          </w:p>
        </w:tc>
      </w:tr>
      <w:tr>
        <w:trPr>
          <w:trHeight w:val="1260" w:hRule="atLeast"/>
        </w:trPr>
        <w:tc>
          <w:tcPr>
            <w:tcW w:w="679"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264"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83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Сприяти розвитку мережі класів з поглибленим вивченням окремих предметів</w:t>
            </w:r>
          </w:p>
        </w:tc>
        <w:tc>
          <w:tcPr>
            <w:tcW w:w="1349"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2016-2018</w:t>
            </w:r>
          </w:p>
        </w:tc>
        <w:tc>
          <w:tcPr>
            <w:tcW w:w="205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Департамент освіти і науки, молоді та спорту </w:t>
            </w:r>
          </w:p>
        </w:tc>
        <w:tc>
          <w:tcPr>
            <w:tcW w:w="170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Фінансування не потребує</w:t>
            </w:r>
          </w:p>
        </w:tc>
        <w:tc>
          <w:tcPr>
            <w:tcW w:w="2297"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Фінансування не потребує</w:t>
            </w:r>
          </w:p>
        </w:tc>
        <w:tc>
          <w:tcPr>
            <w:tcW w:w="2090"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1626" w:hRule="atLeast"/>
        </w:trPr>
        <w:tc>
          <w:tcPr>
            <w:tcW w:w="679"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264"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83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Оснастити кабінети природничих дисциплін для забезпечення якісного виконання практикумів та лабораторних робіт</w:t>
            </w:r>
          </w:p>
        </w:tc>
        <w:tc>
          <w:tcPr>
            <w:tcW w:w="1349"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2016-2018</w:t>
            </w:r>
          </w:p>
        </w:tc>
        <w:tc>
          <w:tcPr>
            <w:tcW w:w="205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Районні в місті Києві державні адміністрації</w:t>
            </w:r>
          </w:p>
        </w:tc>
        <w:tc>
          <w:tcPr>
            <w:tcW w:w="170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Бюджет</w:t>
            </w:r>
          </w:p>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 </w:t>
            </w:r>
            <w:r>
              <w:rPr>
                <w:rFonts w:eastAsia="ＭＳ 明朝" w:cs="Times New Roman" w:eastAsiaTheme="minorEastAsia" w:ascii="Times New Roman" w:hAnsi="Times New Roman"/>
                <w:sz w:val="24"/>
                <w:szCs w:val="24"/>
                <w:lang w:eastAsia="uk-UA"/>
              </w:rPr>
              <w:t>м. Києва</w:t>
            </w:r>
          </w:p>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297"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Загальний фонд усього: 2 577,2                                у тому числі:                  2016р. -  800,0                                  2017р. -  864,8                           2018р. -  912,4</w:t>
            </w:r>
          </w:p>
        </w:tc>
        <w:tc>
          <w:tcPr>
            <w:tcW w:w="2090"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1948" w:hRule="atLeast"/>
        </w:trPr>
        <w:tc>
          <w:tcPr>
            <w:tcW w:w="679"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264"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83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Розробити та запровадити проект «Мережева модель профілізації старшої школи в умовах інноваційного розвитку сучасної освіти»</w:t>
            </w:r>
          </w:p>
        </w:tc>
        <w:tc>
          <w:tcPr>
            <w:tcW w:w="1349"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2017</w:t>
            </w:r>
          </w:p>
        </w:tc>
        <w:tc>
          <w:tcPr>
            <w:tcW w:w="205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Департамент освіти і науки, молоді та спорту,  Київський університет імені Бориса Грінченка</w:t>
            </w:r>
          </w:p>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705"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Фінансування не потребує</w:t>
            </w:r>
          </w:p>
        </w:tc>
        <w:tc>
          <w:tcPr>
            <w:tcW w:w="2297"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Фінансування не потребує</w:t>
            </w:r>
          </w:p>
        </w:tc>
        <w:tc>
          <w:tcPr>
            <w:tcW w:w="2090" w:type="dxa"/>
            <w:vMerge w:val="continue"/>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360" w:hRule="atLeast"/>
        </w:trPr>
        <w:tc>
          <w:tcPr>
            <w:tcW w:w="679" w:type="dxa"/>
            <w:tcBorders/>
            <w:shd w:fill="auto" w:val="clear"/>
            <w:tcMar>
              <w:left w:w="108" w:type="dxa"/>
            </w:tcMar>
          </w:tcPr>
          <w:p>
            <w:pPr>
              <w:pStyle w:val="Normal"/>
              <w:spacing w:lineRule="auto" w:line="240" w:before="0" w:after="0"/>
              <w:rPr>
                <w:rFonts w:ascii="Times New Roman" w:hAnsi="Times New Roman" w:cs="Times New Roman"/>
                <w:b/>
                <w:b/>
                <w:bCs/>
                <w:sz w:val="24"/>
                <w:szCs w:val="24"/>
              </w:rPr>
            </w:pPr>
            <w:r>
              <w:rPr>
                <w:rFonts w:eastAsia="ＭＳ 明朝" w:cs="Times New Roman" w:eastAsiaTheme="minorEastAsia" w:ascii="Times New Roman" w:hAnsi="Times New Roman"/>
                <w:b/>
                <w:bCs/>
                <w:sz w:val="24"/>
                <w:szCs w:val="24"/>
                <w:lang w:eastAsia="uk-UA"/>
              </w:rPr>
              <w:t> </w:t>
            </w:r>
          </w:p>
        </w:tc>
        <w:tc>
          <w:tcPr>
            <w:tcW w:w="2264" w:type="dx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p>
        </w:tc>
        <w:tc>
          <w:tcPr>
            <w:tcW w:w="2835" w:type="dxa"/>
            <w:tcBorders/>
            <w:shd w:fill="auto" w:val="clear"/>
            <w:tcMar>
              <w:left w:w="108" w:type="dxa"/>
            </w:tcMar>
          </w:tcPr>
          <w:p>
            <w:pPr>
              <w:pStyle w:val="Normal"/>
              <w:spacing w:lineRule="auto" w:line="240" w:before="0" w:after="0"/>
              <w:jc w:val="center"/>
              <w:rPr>
                <w:rFonts w:ascii="Times New Roman" w:hAnsi="Times New Roman" w:cs="Times New Roman"/>
                <w:sz w:val="28"/>
                <w:szCs w:val="28"/>
              </w:rPr>
            </w:pPr>
            <w:r>
              <w:rPr>
                <w:rFonts w:eastAsia="ＭＳ 明朝" w:cs="Times New Roman" w:eastAsiaTheme="minorEastAsia" w:ascii="Times New Roman" w:hAnsi="Times New Roman"/>
                <w:sz w:val="28"/>
                <w:szCs w:val="28"/>
                <w:lang w:eastAsia="uk-UA"/>
              </w:rPr>
              <w:t>Разом</w:t>
            </w:r>
          </w:p>
        </w:tc>
        <w:tc>
          <w:tcPr>
            <w:tcW w:w="1349"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2055"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1705"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8"/>
                <w:szCs w:val="28"/>
                <w:lang w:eastAsia="uk-UA"/>
              </w:rPr>
            </w:pPr>
            <w:r>
              <w:rPr>
                <w:rFonts w:eastAsia="ＭＳ 明朝" w:cs="Times New Roman" w:eastAsiaTheme="minorEastAsia" w:ascii="Times New Roman" w:hAnsi="Times New Roman"/>
                <w:sz w:val="28"/>
                <w:szCs w:val="28"/>
                <w:lang w:eastAsia="uk-UA"/>
              </w:rPr>
            </w:r>
          </w:p>
        </w:tc>
        <w:tc>
          <w:tcPr>
            <w:tcW w:w="2297" w:type="dxa"/>
            <w:tcBorders/>
            <w:shd w:fill="auto" w:val="clear"/>
            <w:tcMar>
              <w:left w:w="108" w:type="dxa"/>
            </w:tcMar>
          </w:tcPr>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10 093 501,7</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 xml:space="preserve">У тому числі: </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 xml:space="preserve">Бюджет м. Києва  загальний фонд: </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Усього: 9 890 937,3</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у тому числі:</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2016р. – 3 076 723,8</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2017р. – 3 314 268,1</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2018р. – 3 499 945,4</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Власні надходження</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усього: 202 564,4</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У тому числі:</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2016р. – 62 328,5</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2017р. – 67 876,3</w:t>
            </w:r>
          </w:p>
          <w:p>
            <w:pPr>
              <w:pStyle w:val="Normal"/>
              <w:spacing w:lineRule="auto" w:line="240" w:before="0" w:after="0"/>
              <w:rPr>
                <w:rFonts w:ascii="Times New Roman" w:hAnsi="Times New Roman" w:cs="Times New Roman"/>
                <w:color w:val="000000"/>
                <w:sz w:val="24"/>
                <w:szCs w:val="24"/>
              </w:rPr>
            </w:pPr>
            <w:r>
              <w:rPr>
                <w:rFonts w:eastAsia="ＭＳ 明朝" w:cs="Times New Roman" w:ascii="Times New Roman" w:hAnsi="Times New Roman"/>
                <w:color w:val="000000"/>
                <w:sz w:val="24"/>
                <w:szCs w:val="24"/>
                <w:lang w:eastAsia="uk-UA"/>
              </w:rPr>
              <w:t>2018р. – 72 359,6</w:t>
            </w:r>
          </w:p>
          <w:p>
            <w:pPr>
              <w:pStyle w:val="Normal"/>
              <w:spacing w:lineRule="auto" w:line="240" w:before="0" w:after="0"/>
              <w:rPr>
                <w:rFonts w:ascii="Times New Roman" w:hAnsi="Times New Roman" w:eastAsia="ＭＳ 明朝" w:cs="Times New Roman"/>
                <w:color w:val="000000"/>
                <w:sz w:val="24"/>
                <w:szCs w:val="24"/>
                <w:lang w:eastAsia="uk-UA"/>
              </w:rPr>
            </w:pPr>
            <w:r>
              <w:rPr>
                <w:rFonts w:eastAsia="ＭＳ 明朝" w:cs="Times New Roman" w:ascii="Times New Roman" w:hAnsi="Times New Roman"/>
                <w:color w:val="000000"/>
                <w:sz w:val="24"/>
                <w:szCs w:val="24"/>
                <w:lang w:eastAsia="uk-UA"/>
              </w:rPr>
            </w:r>
          </w:p>
          <w:p>
            <w:pPr>
              <w:pStyle w:val="Normal"/>
              <w:spacing w:lineRule="auto" w:line="240" w:before="0" w:after="0"/>
              <w:rPr>
                <w:rFonts w:ascii="Times New Roman" w:hAnsi="Times New Roman" w:eastAsia="ＭＳ 明朝" w:cs="Times New Roman"/>
                <w:color w:val="000000"/>
                <w:sz w:val="24"/>
                <w:szCs w:val="24"/>
                <w:lang w:eastAsia="uk-UA"/>
              </w:rPr>
            </w:pPr>
            <w:r>
              <w:rPr>
                <w:rFonts w:eastAsia="ＭＳ 明朝" w:cs="Times New Roman" w:ascii="Times New Roman" w:hAnsi="Times New Roman"/>
                <w:color w:val="000000"/>
                <w:sz w:val="24"/>
                <w:szCs w:val="24"/>
                <w:lang w:eastAsia="uk-UA"/>
              </w:rPr>
            </w:r>
          </w:p>
        </w:tc>
        <w:tc>
          <w:tcPr>
            <w:tcW w:w="2090" w:type="dxa"/>
            <w:tcBorders/>
            <w:shd w:fill="auto" w:val="clear"/>
            <w:tcMar>
              <w:left w:w="108" w:type="dxa"/>
            </w:tcMar>
          </w:tcPr>
          <w:p>
            <w:pPr>
              <w:pStyle w:val="Normal"/>
              <w:spacing w:lineRule="auto" w:line="240" w:before="0" w:after="0"/>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bl>
    <w:p>
      <w:pPr>
        <w:pStyle w:val="Normal"/>
        <w:rPr>
          <w:rFonts w:ascii="Times New Roman" w:hAnsi="Times New Roman" w:cs="Times New Roman"/>
          <w:sz w:val="24"/>
          <w:szCs w:val="24"/>
        </w:rPr>
      </w:pPr>
      <w:r>
        <w:rPr>
          <w:rFonts w:cs="Times New Roman" w:ascii="Times New Roman" w:hAnsi="Times New Roman"/>
          <w:sz w:val="24"/>
          <w:szCs w:val="24"/>
        </w:rPr>
      </w:r>
      <w:r>
        <w:br w:type="page"/>
      </w:r>
    </w:p>
    <w:p>
      <w:pPr>
        <w:pStyle w:val="2"/>
        <w:spacing w:before="120" w:after="120"/>
        <w:jc w:val="center"/>
        <w:rPr>
          <w:rFonts w:ascii="Times New Roman" w:hAnsi="Times New Roman" w:cs="Times New Roman"/>
          <w:b w:val="false"/>
          <w:b w:val="false"/>
          <w:color w:val="00000A"/>
          <w:sz w:val="28"/>
          <w:szCs w:val="28"/>
        </w:rPr>
      </w:pPr>
      <w:bookmarkStart w:id="21" w:name="_Toc431397867"/>
      <w:r>
        <w:rPr>
          <w:rStyle w:val="22"/>
          <w:rFonts w:cs="Times New Roman"/>
          <w:b w:val="false"/>
          <w:color w:val="00000A"/>
          <w:szCs w:val="28"/>
        </w:rPr>
        <w:t>Очікувані показники виконання підпрограми</w:t>
      </w:r>
      <w:bookmarkEnd w:id="21"/>
      <w:r>
        <w:rPr>
          <w:rFonts w:cs="Times New Roman" w:ascii="Times New Roman" w:hAnsi="Times New Roman"/>
          <w:b w:val="false"/>
          <w:color w:val="00000A"/>
          <w:sz w:val="28"/>
          <w:szCs w:val="28"/>
        </w:rPr>
        <w:t xml:space="preserve"> «Загальна середня освіта»</w:t>
      </w:r>
    </w:p>
    <w:tbl>
      <w:tblPr>
        <w:tblStyle w:val="a9"/>
        <w:tblW w:w="15559" w:type="dxa"/>
        <w:jc w:val="left"/>
        <w:tblInd w:w="0" w:type="dxa"/>
        <w:tblCellMar>
          <w:top w:w="0" w:type="dxa"/>
          <w:left w:w="108" w:type="dxa"/>
          <w:bottom w:w="0" w:type="dxa"/>
          <w:right w:w="108" w:type="dxa"/>
        </w:tblCellMar>
        <w:tblLook w:firstRow="1" w:noVBand="1" w:lastRow="0" w:firstColumn="1" w:lastColumn="0" w:noHBand="0" w:val="04a0"/>
      </w:tblPr>
      <w:tblGrid>
        <w:gridCol w:w="546"/>
        <w:gridCol w:w="6502"/>
        <w:gridCol w:w="1559"/>
        <w:gridCol w:w="71"/>
        <w:gridCol w:w="70"/>
        <w:gridCol w:w="1559"/>
        <w:gridCol w:w="1561"/>
        <w:gridCol w:w="143"/>
        <w:gridCol w:w="1702"/>
        <w:gridCol w:w="2"/>
        <w:gridCol w:w="1843"/>
      </w:tblGrid>
      <w:tr>
        <w:trPr>
          <w:trHeight w:val="510" w:hRule="atLeast"/>
        </w:trPr>
        <w:tc>
          <w:tcPr>
            <w:tcW w:w="546"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w:t>
            </w:r>
          </w:p>
        </w:tc>
        <w:tc>
          <w:tcPr>
            <w:tcW w:w="6502"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Обсяг коштів на виконання підпрограми</w:t>
            </w:r>
          </w:p>
        </w:tc>
        <w:tc>
          <w:tcPr>
            <w:tcW w:w="1700" w:type="dxa"/>
            <w:gridSpan w:val="3"/>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Одиниці вимірювання</w:t>
            </w:r>
          </w:p>
        </w:tc>
        <w:tc>
          <w:tcPr>
            <w:tcW w:w="4967" w:type="dxa"/>
            <w:gridSpan w:val="5"/>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Етапи виконання підпрограми за роками</w:t>
            </w:r>
          </w:p>
        </w:tc>
        <w:tc>
          <w:tcPr>
            <w:tcW w:w="1843"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Усього витрат на виконання підпрограми</w:t>
            </w:r>
          </w:p>
        </w:tc>
      </w:tr>
      <w:tr>
        <w:trPr>
          <w:trHeight w:val="529" w:hRule="atLeast"/>
        </w:trPr>
        <w:tc>
          <w:tcPr>
            <w:tcW w:w="546"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6502"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700" w:type="dxa"/>
            <w:gridSpan w:val="3"/>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2017</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2018</w:t>
            </w:r>
          </w:p>
        </w:tc>
        <w:tc>
          <w:tcPr>
            <w:tcW w:w="1843"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36" w:hRule="atLeast"/>
        </w:trPr>
        <w:tc>
          <w:tcPr>
            <w:tcW w:w="15558" w:type="dxa"/>
            <w:gridSpan w:val="11"/>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eastAsia="ＭＳ 明朝" w:cs="Times New Roman" w:eastAsiaTheme="minorEastAsia" w:ascii="Times New Roman" w:hAnsi="Times New Roman"/>
                <w:bCs/>
                <w:sz w:val="24"/>
                <w:szCs w:val="24"/>
                <w:lang w:eastAsia="uk-UA"/>
              </w:rPr>
              <w:t>Загальноосвітні навчальні заклади, вечірні (змінні) школи</w:t>
            </w:r>
          </w:p>
        </w:tc>
      </w:tr>
      <w:tr>
        <w:trPr>
          <w:trHeight w:val="400" w:hRule="atLeast"/>
        </w:trPr>
        <w:tc>
          <w:tcPr>
            <w:tcW w:w="546"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eastAsia="ＭＳ 明朝" w:cs="Times New Roman" w:eastAsiaTheme="minorEastAsia" w:ascii="Times New Roman" w:hAnsi="Times New Roman"/>
                <w:bCs/>
                <w:sz w:val="24"/>
                <w:szCs w:val="24"/>
                <w:lang w:eastAsia="uk-UA"/>
              </w:rPr>
              <w:t>Бюджет м. Києва</w:t>
            </w:r>
          </w:p>
        </w:tc>
        <w:tc>
          <w:tcPr>
            <w:tcW w:w="1630"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тис. грн.</w:t>
            </w:r>
          </w:p>
        </w:tc>
        <w:tc>
          <w:tcPr>
            <w:tcW w:w="1629" w:type="dxa"/>
            <w:gridSpan w:val="2"/>
            <w:tcBorders/>
            <w:shd w:fill="auto" w:val="clear"/>
            <w:tcMar>
              <w:left w:w="108" w:type="dxa"/>
            </w:tcMar>
          </w:tcPr>
          <w:p>
            <w:pPr>
              <w:pStyle w:val="Normal"/>
              <w:spacing w:lineRule="auto" w:line="240" w:before="0" w:after="0"/>
              <w:jc w:val="center"/>
              <w:rPr>
                <w:rFonts w:ascii="Times New Roman" w:hAnsi="Times New Roman" w:cs="Times New Roman"/>
                <w:color w:val="000000"/>
                <w:sz w:val="24"/>
                <w:szCs w:val="24"/>
              </w:rPr>
            </w:pPr>
            <w:r>
              <w:rPr>
                <w:rFonts w:eastAsia="ＭＳ 明朝" w:cs="Times New Roman" w:eastAsiaTheme="minorEastAsia" w:ascii="Times New Roman" w:hAnsi="Times New Roman"/>
                <w:sz w:val="24"/>
                <w:szCs w:val="24"/>
                <w:lang w:eastAsia="uk-UA"/>
              </w:rPr>
              <w:t>3 139 052,300</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color w:val="000000"/>
                <w:sz w:val="24"/>
                <w:szCs w:val="24"/>
              </w:rPr>
            </w:pPr>
            <w:r>
              <w:rPr>
                <w:rFonts w:eastAsia="ＭＳ 明朝" w:cs="Times New Roman" w:eastAsiaTheme="minorEastAsia" w:ascii="Times New Roman" w:hAnsi="Times New Roman"/>
                <w:sz w:val="24"/>
                <w:szCs w:val="24"/>
                <w:lang w:eastAsia="uk-UA"/>
              </w:rPr>
              <w:t>3 382 144,400</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color w:val="000000"/>
                <w:sz w:val="24"/>
                <w:szCs w:val="24"/>
              </w:rPr>
            </w:pPr>
            <w:r>
              <w:rPr>
                <w:rFonts w:eastAsia="ＭＳ 明朝" w:cs="Times New Roman" w:eastAsiaTheme="minorEastAsia" w:ascii="Times New Roman" w:hAnsi="Times New Roman"/>
                <w:sz w:val="24"/>
                <w:szCs w:val="24"/>
                <w:lang w:eastAsia="uk-UA"/>
              </w:rPr>
              <w:t>3 572 305,000</w:t>
            </w:r>
          </w:p>
        </w:tc>
        <w:tc>
          <w:tcPr>
            <w:tcW w:w="1843" w:type="dxa"/>
            <w:tcBorders/>
            <w:shd w:fill="auto" w:val="clear"/>
            <w:tcMar>
              <w:left w:w="108" w:type="dxa"/>
            </w:tcMar>
          </w:tcPr>
          <w:p>
            <w:pPr>
              <w:pStyle w:val="Normal"/>
              <w:spacing w:lineRule="auto" w:line="240" w:before="0" w:after="0"/>
              <w:jc w:val="center"/>
              <w:rPr>
                <w:rFonts w:ascii="Times New Roman" w:hAnsi="Times New Roman" w:cs="Times New Roman"/>
                <w:color w:val="000000"/>
                <w:sz w:val="24"/>
                <w:szCs w:val="24"/>
              </w:rPr>
            </w:pPr>
            <w:r>
              <w:rPr>
                <w:rFonts w:eastAsia="ＭＳ 明朝" w:cs="Times New Roman" w:eastAsiaTheme="minorEastAsia" w:ascii="Times New Roman" w:hAnsi="Times New Roman"/>
                <w:sz w:val="24"/>
                <w:szCs w:val="24"/>
                <w:lang w:eastAsia="uk-UA"/>
              </w:rPr>
              <w:t>10 093 501,700</w:t>
            </w:r>
          </w:p>
        </w:tc>
      </w:tr>
      <w:tr>
        <w:trPr>
          <w:trHeight w:val="420" w:hRule="atLeast"/>
        </w:trPr>
        <w:tc>
          <w:tcPr>
            <w:tcW w:w="15558" w:type="dxa"/>
            <w:gridSpan w:val="11"/>
            <w:tcBorders/>
            <w:shd w:fill="auto" w:val="clear"/>
            <w:tcMar>
              <w:left w:w="108" w:type="dxa"/>
            </w:tcMar>
          </w:tcPr>
          <w:p>
            <w:pPr>
              <w:pStyle w:val="Normal"/>
              <w:spacing w:lineRule="auto" w:line="240" w:before="0" w:after="0"/>
              <w:jc w:val="center"/>
              <w:rPr>
                <w:rFonts w:ascii="Times New Roman" w:hAnsi="Times New Roman" w:cs="Times New Roman"/>
                <w:bCs/>
                <w:i/>
                <w:i/>
                <w:sz w:val="24"/>
                <w:szCs w:val="24"/>
              </w:rPr>
            </w:pPr>
            <w:r>
              <w:rPr>
                <w:rFonts w:eastAsia="ＭＳ 明朝" w:cs="Times New Roman" w:eastAsiaTheme="minorEastAsia" w:ascii="Times New Roman" w:hAnsi="Times New Roman"/>
                <w:bCs/>
                <w:i/>
                <w:sz w:val="24"/>
                <w:szCs w:val="24"/>
                <w:lang w:eastAsia="uk-UA"/>
              </w:rPr>
              <w:t>Показники затрат</w:t>
            </w:r>
          </w:p>
        </w:tc>
      </w:tr>
      <w:tr>
        <w:trPr>
          <w:trHeight w:val="556"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w:t>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Забезпечення надання освітніх послуг денними загально-освітніми навчальними закладами та вечірніми школами</w:t>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тис. грн.</w:t>
            </w:r>
          </w:p>
        </w:tc>
        <w:tc>
          <w:tcPr>
            <w:tcW w:w="1700" w:type="dxa"/>
            <w:gridSpan w:val="3"/>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eastAsia="ＭＳ 明朝" w:cs="Times New Roman" w:eastAsiaTheme="minorEastAsia" w:ascii="Times New Roman" w:hAnsi="Times New Roman"/>
                <w:sz w:val="24"/>
                <w:szCs w:val="24"/>
                <w:lang w:eastAsia="uk-UA"/>
              </w:rPr>
              <w:t>3 139 052,300</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eastAsia="ＭＳ 明朝" w:cs="Times New Roman" w:eastAsiaTheme="minorEastAsia" w:ascii="Times New Roman" w:hAnsi="Times New Roman"/>
                <w:sz w:val="24"/>
                <w:szCs w:val="24"/>
                <w:lang w:eastAsia="uk-UA"/>
              </w:rPr>
              <w:t>3 382 144,400</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eastAsia="ＭＳ 明朝" w:cs="Times New Roman" w:eastAsiaTheme="minorEastAsia" w:ascii="Times New Roman" w:hAnsi="Times New Roman"/>
                <w:sz w:val="24"/>
                <w:szCs w:val="24"/>
                <w:lang w:eastAsia="uk-UA"/>
              </w:rPr>
              <w:t>3 572 305,000</w:t>
            </w:r>
          </w:p>
        </w:tc>
        <w:tc>
          <w:tcPr>
            <w:tcW w:w="1843"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eastAsia="ＭＳ 明朝" w:cs="Times New Roman" w:eastAsiaTheme="minorEastAsia" w:ascii="Times New Roman" w:hAnsi="Times New Roman"/>
                <w:sz w:val="24"/>
                <w:szCs w:val="24"/>
                <w:lang w:eastAsia="uk-UA"/>
              </w:rPr>
              <w:t>10 093 501,700</w:t>
            </w:r>
          </w:p>
        </w:tc>
      </w:tr>
      <w:tr>
        <w:trPr>
          <w:trHeight w:val="400"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w:t>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Кількість закладів</w:t>
            </w:r>
          </w:p>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700" w:type="dxa"/>
            <w:gridSpan w:val="3"/>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416</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413</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410</w:t>
            </w:r>
          </w:p>
        </w:tc>
        <w:tc>
          <w:tcPr>
            <w:tcW w:w="1843"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139"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w:t>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Кількість класів</w:t>
            </w:r>
          </w:p>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00" w:type="dxa"/>
            <w:gridSpan w:val="3"/>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9 203</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9 503</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9 803</w:t>
            </w:r>
          </w:p>
        </w:tc>
        <w:tc>
          <w:tcPr>
            <w:tcW w:w="1843"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15"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w:t>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ставок педагогічного персоналу</w:t>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00" w:type="dxa"/>
            <w:gridSpan w:val="3"/>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13 485,21</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13 451,61</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13 418,01</w:t>
            </w:r>
          </w:p>
        </w:tc>
        <w:tc>
          <w:tcPr>
            <w:tcW w:w="1843"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562"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5</w:t>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штатних одиниць адмінперсоналу (за умовами оплати віднесених до педагогічного персоналу)</w:t>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00" w:type="dxa"/>
            <w:gridSpan w:val="3"/>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472,97</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466,97</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460,97</w:t>
            </w:r>
          </w:p>
        </w:tc>
        <w:tc>
          <w:tcPr>
            <w:tcW w:w="1843"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14"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6</w:t>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штатних одиниць спеціалістів</w:t>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00" w:type="dxa"/>
            <w:gridSpan w:val="3"/>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2 971,81</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2 971,81</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2 971,81</w:t>
            </w:r>
          </w:p>
        </w:tc>
        <w:tc>
          <w:tcPr>
            <w:tcW w:w="1843"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06"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w:t>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штатних одиниць робітників</w:t>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00" w:type="dxa"/>
            <w:gridSpan w:val="3"/>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10 374,23</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10 374,23</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10 374,23</w:t>
            </w:r>
          </w:p>
        </w:tc>
        <w:tc>
          <w:tcPr>
            <w:tcW w:w="1843"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27"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8</w:t>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Усього – середньорічна кількість ставок </w:t>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00" w:type="dxa"/>
            <w:gridSpan w:val="3"/>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27 304,22</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27 264,62</w:t>
            </w:r>
          </w:p>
        </w:tc>
        <w:tc>
          <w:tcPr>
            <w:tcW w:w="1704"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27 225,02</w:t>
            </w:r>
          </w:p>
        </w:tc>
        <w:tc>
          <w:tcPr>
            <w:tcW w:w="1843"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47" w:hRule="atLeast"/>
        </w:trPr>
        <w:tc>
          <w:tcPr>
            <w:tcW w:w="15558" w:type="dxa"/>
            <w:gridSpan w:val="11"/>
            <w:tcBorders/>
            <w:shd w:fill="auto" w:val="clear"/>
            <w:tcMar>
              <w:left w:w="108" w:type="dxa"/>
            </w:tcMar>
          </w:tcPr>
          <w:p>
            <w:pPr>
              <w:pStyle w:val="Normal"/>
              <w:spacing w:lineRule="auto" w:line="240" w:before="0" w:after="0"/>
              <w:jc w:val="center"/>
              <w:rPr>
                <w:rFonts w:ascii="Times New Roman" w:hAnsi="Times New Roman" w:cs="Times New Roman"/>
                <w:bCs/>
                <w:i/>
                <w:i/>
                <w:sz w:val="24"/>
                <w:szCs w:val="24"/>
              </w:rPr>
            </w:pPr>
            <w:r>
              <w:rPr>
                <w:rFonts w:eastAsia="ＭＳ 明朝" w:cs="Times New Roman" w:eastAsiaTheme="minorEastAsia" w:ascii="Times New Roman" w:hAnsi="Times New Roman"/>
                <w:bCs/>
                <w:i/>
                <w:sz w:val="24"/>
                <w:szCs w:val="24"/>
                <w:lang w:eastAsia="uk-UA"/>
              </w:rPr>
              <w:t>Показники продукту</w:t>
            </w:r>
          </w:p>
        </w:tc>
      </w:tr>
      <w:tr>
        <w:trPr>
          <w:trHeight w:val="472"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w:t>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учнів</w:t>
            </w:r>
          </w:p>
        </w:tc>
        <w:tc>
          <w:tcPr>
            <w:tcW w:w="1630"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осіб</w:t>
            </w:r>
          </w:p>
        </w:tc>
        <w:tc>
          <w:tcPr>
            <w:tcW w:w="1629"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257 464</w:t>
            </w:r>
          </w:p>
        </w:tc>
        <w:tc>
          <w:tcPr>
            <w:tcW w:w="1561"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269 801</w:t>
            </w:r>
          </w:p>
        </w:tc>
        <w:tc>
          <w:tcPr>
            <w:tcW w:w="1845"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284 319</w:t>
            </w:r>
          </w:p>
        </w:tc>
        <w:tc>
          <w:tcPr>
            <w:tcW w:w="1845"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354" w:hRule="atLeast"/>
        </w:trPr>
        <w:tc>
          <w:tcPr>
            <w:tcW w:w="15558" w:type="dxa"/>
            <w:gridSpan w:val="11"/>
            <w:tcBorders/>
            <w:shd w:fill="auto" w:val="clear"/>
            <w:tcMar>
              <w:left w:w="108" w:type="dxa"/>
            </w:tcMar>
          </w:tcPr>
          <w:p>
            <w:pPr>
              <w:pStyle w:val="Normal"/>
              <w:spacing w:lineRule="auto" w:line="240" w:before="0" w:after="0"/>
              <w:jc w:val="center"/>
              <w:rPr>
                <w:rFonts w:ascii="Times New Roman" w:hAnsi="Times New Roman" w:cs="Times New Roman"/>
                <w:bCs/>
                <w:i/>
                <w:i/>
                <w:sz w:val="24"/>
                <w:szCs w:val="24"/>
              </w:rPr>
            </w:pPr>
            <w:r>
              <w:rPr>
                <w:rFonts w:eastAsia="ＭＳ 明朝" w:cs="Times New Roman" w:eastAsiaTheme="minorEastAsia" w:ascii="Times New Roman" w:hAnsi="Times New Roman"/>
                <w:bCs/>
                <w:i/>
                <w:sz w:val="24"/>
                <w:szCs w:val="24"/>
                <w:lang w:eastAsia="uk-UA"/>
              </w:rPr>
              <w:t>Показники ефективності</w:t>
            </w:r>
          </w:p>
        </w:tc>
      </w:tr>
      <w:tr>
        <w:trPr>
          <w:trHeight w:val="348"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w:t>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Витрати на 1 учня (дитину)</w:t>
            </w:r>
          </w:p>
        </w:tc>
        <w:tc>
          <w:tcPr>
            <w:tcW w:w="1630"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грн.</w:t>
            </w:r>
          </w:p>
        </w:tc>
        <w:tc>
          <w:tcPr>
            <w:tcW w:w="1629"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12 192,199</w:t>
            </w:r>
          </w:p>
        </w:tc>
        <w:tc>
          <w:tcPr>
            <w:tcW w:w="1561"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12 535,700</w:t>
            </w:r>
          </w:p>
        </w:tc>
        <w:tc>
          <w:tcPr>
            <w:tcW w:w="1845"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12 564,426</w:t>
            </w:r>
          </w:p>
        </w:tc>
        <w:tc>
          <w:tcPr>
            <w:tcW w:w="1845"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84"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w:t>
            </w:r>
          </w:p>
        </w:tc>
        <w:tc>
          <w:tcPr>
            <w:tcW w:w="650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Діто-дні відвідування</w:t>
            </w:r>
          </w:p>
        </w:tc>
        <w:tc>
          <w:tcPr>
            <w:tcW w:w="1630"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дні</w:t>
            </w:r>
          </w:p>
        </w:tc>
        <w:tc>
          <w:tcPr>
            <w:tcW w:w="1629"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45 056 200</w:t>
            </w:r>
          </w:p>
        </w:tc>
        <w:tc>
          <w:tcPr>
            <w:tcW w:w="1561"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47 215 175</w:t>
            </w:r>
          </w:p>
        </w:tc>
        <w:tc>
          <w:tcPr>
            <w:tcW w:w="1845"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49 755 825</w:t>
            </w:r>
          </w:p>
        </w:tc>
        <w:tc>
          <w:tcPr>
            <w:tcW w:w="1845"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bl>
    <w:p>
      <w:pPr>
        <w:pStyle w:val="1"/>
        <w:jc w:val="center"/>
        <w:rPr>
          <w:rFonts w:ascii="Times New Roman" w:hAnsi="Times New Roman" w:eastAsia="Calibri" w:cs="Times New Roman" w:eastAsiaTheme="minorHAnsi"/>
          <w:bCs w:val="false"/>
          <w:color w:val="00000A"/>
        </w:rPr>
      </w:pPr>
      <w:r>
        <w:rPr>
          <w:rFonts w:eastAsia="Calibri" w:cs="Times New Roman" w:ascii="Times New Roman" w:hAnsi="Times New Roman" w:eastAsiaTheme="minorHAnsi"/>
          <w:bCs w:val="false"/>
          <w:color w:val="00000A"/>
        </w:rPr>
        <w:t>Підпрограма «Особлива школа»</w:t>
      </w:r>
    </w:p>
    <w:p>
      <w:pPr>
        <w:pStyle w:val="Normal"/>
        <w:spacing w:before="48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З метою забезпечення рівного доступу до освіти дітей з особливими потребами, їх ранньої соціальної адаптації, найбільш повного розкриття потенціалу дітей та створення умов для здійснення індивідуального та диференційованого підходу у загальноосвітніх навчальних закладах міста Києва функціонує мережа шкіл-інтернатів, спеціальних та інклюзивних класів.</w:t>
      </w:r>
    </w:p>
    <w:p>
      <w:pPr>
        <w:pStyle w:val="Normal"/>
        <w:spacing w:before="48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spacing w:before="48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За останні 5 років кількість спеціальних класів збільшилася в 3,1 рази, чисельність учнів у них, зросла у 3,9 разів. </w:t>
      </w:r>
    </w:p>
    <w:p>
      <w:pPr>
        <w:pStyle w:val="Normal"/>
        <w:spacing w:lineRule="auto" w:line="240" w:before="48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spacing w:lineRule="auto" w:line="240" w:before="480" w:after="0"/>
        <w:jc w:val="center"/>
        <w:rPr>
          <w:rFonts w:ascii="Times New Roman" w:hAnsi="Times New Roman" w:eastAsia="Calibri" w:cs="Times New Roman"/>
          <w:i/>
          <w:i/>
          <w:sz w:val="28"/>
          <w:szCs w:val="28"/>
        </w:rPr>
      </w:pPr>
      <w:r>
        <w:rPr>
          <w:rFonts w:eastAsia="Calibri" w:cs="Times New Roman" w:ascii="Times New Roman" w:hAnsi="Times New Roman"/>
          <w:i/>
          <w:sz w:val="28"/>
          <w:szCs w:val="28"/>
        </w:rPr>
        <w:t>Кількість ЗНЗ зі спеціальними класами</w:t>
      </w:r>
    </w:p>
    <w:p>
      <w:pPr>
        <w:pStyle w:val="Normal"/>
        <w:spacing w:lineRule="auto" w:line="240" w:before="48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r>
    </w:p>
    <w:tbl>
      <w:tblPr>
        <w:tblW w:w="9781" w:type="dxa"/>
        <w:jc w:val="left"/>
        <w:tblInd w:w="163"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top w:w="0" w:type="dxa"/>
          <w:left w:w="107" w:type="dxa"/>
          <w:bottom w:w="0" w:type="dxa"/>
          <w:right w:w="108" w:type="dxa"/>
        </w:tblCellMar>
        <w:tblLook w:firstRow="1" w:noVBand="0" w:lastRow="1" w:firstColumn="1" w:lastColumn="1" w:noHBand="0" w:val="01e0"/>
      </w:tblPr>
      <w:tblGrid>
        <w:gridCol w:w="2551"/>
        <w:gridCol w:w="1418"/>
        <w:gridCol w:w="1418"/>
        <w:gridCol w:w="1417"/>
        <w:gridCol w:w="1418"/>
        <w:gridCol w:w="1558"/>
      </w:tblGrid>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Район/</w:t>
            </w:r>
          </w:p>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Навчальний рік</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2010-2011 </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2011-2012 </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2012-2013 </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2013-2014 </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2014-2015 </w:t>
            </w:r>
          </w:p>
        </w:tc>
      </w:tr>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Голосіївський</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w:t>
            </w:r>
          </w:p>
        </w:tc>
      </w:tr>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Дарницький</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r>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Деснянський</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r>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Дніпровський</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r>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Оболонський</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w:t>
            </w:r>
          </w:p>
        </w:tc>
      </w:tr>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Печерський</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r>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Подільський</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r>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Святошинський</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Солом’янський </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r>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Шевченківський</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c>
          <w:tcPr>
            <w:tcW w:w="255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Всього по місту:</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6</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9</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12</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13</w:t>
            </w:r>
          </w:p>
        </w:tc>
        <w:tc>
          <w:tcPr>
            <w:tcW w:w="155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13</w:t>
            </w:r>
          </w:p>
        </w:tc>
      </w:tr>
    </w:tbl>
    <w:p>
      <w:pPr>
        <w:pStyle w:val="Normal"/>
        <w:spacing w:lineRule="auto" w:line="240" w:before="480" w:after="0"/>
        <w:ind w:left="360"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p>
      <w:pPr>
        <w:pStyle w:val="Normal"/>
        <w:spacing w:lineRule="auto" w:line="240" w:before="480" w:after="0"/>
        <w:ind w:left="360"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Кількість учнів у спеціальних класах</w:t>
      </w:r>
    </w:p>
    <w:p>
      <w:pPr>
        <w:pStyle w:val="Normal"/>
        <w:spacing w:lineRule="auto" w:line="240" w:before="480" w:after="0"/>
        <w:ind w:left="360" w:hanging="0"/>
        <w:contextualSpacing/>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r>
    </w:p>
    <w:tbl>
      <w:tblPr>
        <w:tblW w:w="9639" w:type="dxa"/>
        <w:jc w:val="left"/>
        <w:tblInd w:w="305"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top w:w="0" w:type="dxa"/>
          <w:left w:w="107" w:type="dxa"/>
          <w:bottom w:w="0" w:type="dxa"/>
          <w:right w:w="108" w:type="dxa"/>
        </w:tblCellMar>
        <w:tblLook w:firstRow="1" w:noVBand="0" w:lastRow="1" w:firstColumn="1" w:lastColumn="1" w:noHBand="0" w:val="01e0"/>
      </w:tblPr>
      <w:tblGrid>
        <w:gridCol w:w="2409"/>
        <w:gridCol w:w="1417"/>
        <w:gridCol w:w="1418"/>
        <w:gridCol w:w="1417"/>
        <w:gridCol w:w="1418"/>
        <w:gridCol w:w="1559"/>
      </w:tblGrid>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Район/</w:t>
            </w:r>
          </w:p>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Навчальний рік</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2010-2011 </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2011-2012 </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2012-2013 </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2013-2014 </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2014-2015 </w:t>
            </w:r>
          </w:p>
        </w:tc>
      </w:tr>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Голосіївський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w:t>
            </w:r>
          </w:p>
        </w:tc>
      </w:tr>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Дарницький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18</w:t>
            </w:r>
          </w:p>
        </w:tc>
      </w:tr>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Деснянський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96</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144</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169</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211</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321</w:t>
            </w:r>
          </w:p>
        </w:tc>
      </w:tr>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Дніпровський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11</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r>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Оболонський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23</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40</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0</w:t>
            </w:r>
          </w:p>
        </w:tc>
      </w:tr>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Печерський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31</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38</w:t>
            </w:r>
          </w:p>
        </w:tc>
      </w:tr>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Подільський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14</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r>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Святошинський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12</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39</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50</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84</w:t>
            </w:r>
          </w:p>
        </w:tc>
      </w:tr>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Солом’янський </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9</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27</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32</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74</w:t>
            </w:r>
          </w:p>
        </w:tc>
      </w:tr>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Шевченківський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16</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42</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40</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42</w:t>
            </w:r>
          </w:p>
        </w:tc>
      </w:tr>
      <w:tr>
        <w:trPr/>
        <w:tc>
          <w:tcPr>
            <w:tcW w:w="240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Всього по місту:</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156</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247</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312</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402</w:t>
            </w:r>
          </w:p>
        </w:tc>
        <w:tc>
          <w:tcPr>
            <w:tcW w:w="1559"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601</w:t>
            </w:r>
          </w:p>
        </w:tc>
      </w:tr>
    </w:tbl>
    <w:p>
      <w:pPr>
        <w:pStyle w:val="Normal"/>
        <w:spacing w:lineRule="auto" w:line="240" w:before="480" w:after="0"/>
        <w:jc w:val="both"/>
        <w:rPr>
          <w:rFonts w:ascii="Times New Roman" w:hAnsi="Times New Roman" w:eastAsia="Calibri" w:cs="Times New Roman"/>
          <w:sz w:val="28"/>
          <w:szCs w:val="28"/>
        </w:rPr>
      </w:pPr>
      <w:r>
        <w:rPr>
          <w:rFonts w:eastAsia="Calibri" w:cs="Times New Roman" w:ascii="Times New Roman" w:hAnsi="Times New Roman"/>
          <w:sz w:val="28"/>
          <w:szCs w:val="28"/>
        </w:rPr>
      </w:r>
    </w:p>
    <w:p>
      <w:pPr>
        <w:pStyle w:val="Normal"/>
        <w:spacing w:before="480" w:after="0"/>
        <w:ind w:firstLine="709"/>
        <w:jc w:val="both"/>
        <w:rPr>
          <w:rFonts w:ascii="Times New Roman" w:hAnsi="Times New Roman" w:eastAsia="Calibri" w:cs="Times New Roman"/>
          <w:sz w:val="28"/>
          <w:szCs w:val="28"/>
        </w:rPr>
      </w:pPr>
      <w:r>
        <w:rPr>
          <w:rFonts w:eastAsia="Calibri" w:cs="Times New Roman" w:ascii="Times New Roman" w:hAnsi="Times New Roman"/>
          <w:sz w:val="28"/>
          <w:szCs w:val="28"/>
        </w:rPr>
        <w:t>Кількість інклюзивних класів збільшилася у 2,7 разів, чисельність учнів, які в них навчаються, зросла у 4, 2 рази. Серед 355 дітей, які навчаються за інклюзивною формою – 134 дитини-інваліда (38%).</w:t>
      </w:r>
    </w:p>
    <w:p>
      <w:pPr>
        <w:pStyle w:val="Normal"/>
        <w:spacing w:lineRule="auto" w:line="240" w:before="480" w:after="0"/>
        <w:ind w:firstLine="709"/>
        <w:jc w:val="center"/>
        <w:rPr>
          <w:rFonts w:ascii="Times New Roman" w:hAnsi="Times New Roman" w:eastAsia="Times New Roman" w:cs="Times New Roman"/>
          <w:b/>
          <w:b/>
          <w:i/>
          <w:i/>
          <w:sz w:val="28"/>
          <w:szCs w:val="28"/>
          <w:lang w:eastAsia="ru-RU"/>
        </w:rPr>
      </w:pPr>
      <w:r>
        <w:rPr>
          <w:rFonts w:eastAsia="Times New Roman" w:cs="Times New Roman" w:ascii="Times New Roman" w:hAnsi="Times New Roman"/>
          <w:b/>
          <w:i/>
          <w:sz w:val="28"/>
          <w:szCs w:val="28"/>
          <w:lang w:eastAsia="ru-RU"/>
        </w:rPr>
      </w:r>
    </w:p>
    <w:p>
      <w:pPr>
        <w:pStyle w:val="Normal"/>
        <w:spacing w:lineRule="auto" w:line="240" w:before="480" w:after="0"/>
        <w:ind w:firstLine="709"/>
        <w:jc w:val="center"/>
        <w:rPr>
          <w:rFonts w:ascii="Times New Roman" w:hAnsi="Times New Roman" w:eastAsia="Times New Roman" w:cs="Times New Roman"/>
          <w:i/>
          <w:i/>
          <w:sz w:val="28"/>
          <w:szCs w:val="28"/>
          <w:lang w:eastAsia="ru-RU"/>
        </w:rPr>
      </w:pPr>
      <w:r>
        <w:rPr>
          <w:rFonts w:eastAsia="Times New Roman" w:cs="Times New Roman" w:ascii="Times New Roman" w:hAnsi="Times New Roman"/>
          <w:i/>
          <w:sz w:val="28"/>
          <w:szCs w:val="28"/>
          <w:lang w:eastAsia="ru-RU"/>
        </w:rPr>
        <w:t>Кількість ЗНЗ з інклюзивною формою навчання</w:t>
      </w:r>
    </w:p>
    <w:p>
      <w:pPr>
        <w:pStyle w:val="Normal"/>
        <w:spacing w:lineRule="auto" w:line="240" w:before="480" w:after="0"/>
        <w:ind w:firstLine="709"/>
        <w:jc w:val="center"/>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tbl>
      <w:tblPr>
        <w:tblW w:w="10206" w:type="dxa"/>
        <w:jc w:val="left"/>
        <w:tblInd w:w="163"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top w:w="0" w:type="dxa"/>
          <w:left w:w="107" w:type="dxa"/>
          <w:bottom w:w="0" w:type="dxa"/>
          <w:right w:w="108" w:type="dxa"/>
        </w:tblCellMar>
        <w:tblLook w:firstRow="1" w:noVBand="0" w:lastRow="1" w:firstColumn="1" w:lastColumn="1" w:noHBand="0" w:val="01e0"/>
      </w:tblPr>
      <w:tblGrid>
        <w:gridCol w:w="2126"/>
        <w:gridCol w:w="1417"/>
        <w:gridCol w:w="1418"/>
        <w:gridCol w:w="1416"/>
        <w:gridCol w:w="1276"/>
        <w:gridCol w:w="1276"/>
        <w:gridCol w:w="1276"/>
      </w:tblGrid>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b/>
                <w:sz w:val="24"/>
                <w:szCs w:val="24"/>
                <w:lang w:eastAsia="ru-RU"/>
              </w:rPr>
              <w:t>Район</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2010-2011 </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2011-2012 </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2012-2013 </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2013-2014 </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lang w:eastAsia="ru-RU"/>
              </w:rPr>
            </w:pPr>
            <w:r>
              <w:rPr>
                <w:rFonts w:eastAsia="Times New Roman" w:cs="Times New Roman" w:ascii="Times New Roman" w:hAnsi="Times New Roman"/>
                <w:b/>
                <w:lang w:eastAsia="ru-RU"/>
              </w:rPr>
              <w:t xml:space="preserve">2014-2015 </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lang w:eastAsia="ru-RU"/>
              </w:rPr>
            </w:pPr>
            <w:r>
              <w:rPr>
                <w:rFonts w:eastAsia="Times New Roman" w:cs="Times New Roman" w:ascii="Times New Roman" w:hAnsi="Times New Roman"/>
                <w:b/>
                <w:lang w:eastAsia="ru-RU"/>
              </w:rPr>
              <w:t>2015-2016</w:t>
            </w:r>
          </w:p>
        </w:tc>
      </w:tr>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Голосіївський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r>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Дарницький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r>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Деснянський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Дніпровський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Оболонський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w:t>
            </w:r>
          </w:p>
        </w:tc>
      </w:tr>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Печерський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Подільський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4</w:t>
            </w:r>
          </w:p>
        </w:tc>
      </w:tr>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Святошинський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w:t>
            </w:r>
          </w:p>
        </w:tc>
      </w:tr>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Солом’янський </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r>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Шевченківський</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w:t>
            </w:r>
          </w:p>
        </w:tc>
      </w:tr>
      <w:tr>
        <w:trPr/>
        <w:tc>
          <w:tcPr>
            <w:tcW w:w="212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Всього по місту:</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9</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9</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8</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18</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19</w:t>
            </w:r>
          </w:p>
        </w:tc>
        <w:tc>
          <w:tcPr>
            <w:tcW w:w="127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18</w:t>
            </w:r>
          </w:p>
        </w:tc>
      </w:tr>
    </w:tbl>
    <w:p>
      <w:pPr>
        <w:pStyle w:val="Normal"/>
        <w:spacing w:lineRule="auto" w:line="240" w:before="480" w:after="0"/>
        <w:ind w:firstLine="708"/>
        <w:jc w:val="both"/>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r>
    </w:p>
    <w:p>
      <w:pPr>
        <w:pStyle w:val="Normal"/>
        <w:spacing w:lineRule="auto" w:line="240" w:before="480" w:after="0"/>
        <w:ind w:firstLine="709"/>
        <w:jc w:val="center"/>
        <w:rPr>
          <w:rFonts w:ascii="Times New Roman" w:hAnsi="Times New Roman" w:eastAsia="Times New Roman" w:cs="Times New Roman"/>
          <w:i/>
          <w:i/>
          <w:sz w:val="28"/>
          <w:szCs w:val="28"/>
          <w:lang w:eastAsia="ru-RU"/>
        </w:rPr>
      </w:pPr>
      <w:r>
        <w:rPr>
          <w:rFonts w:eastAsia="Calibri" w:cs="Times New Roman" w:ascii="Times New Roman" w:hAnsi="Times New Roman"/>
          <w:i/>
          <w:sz w:val="28"/>
          <w:szCs w:val="28"/>
          <w:lang w:eastAsia="ru-RU"/>
        </w:rPr>
        <w:t xml:space="preserve">Кількість класів </w:t>
      </w:r>
      <w:r>
        <w:rPr>
          <w:rFonts w:eastAsia="Times New Roman" w:cs="Times New Roman" w:ascii="Times New Roman" w:hAnsi="Times New Roman"/>
          <w:i/>
          <w:sz w:val="28"/>
          <w:szCs w:val="28"/>
          <w:lang w:eastAsia="ru-RU"/>
        </w:rPr>
        <w:t>з інклюзивною формою навчання</w:t>
      </w:r>
    </w:p>
    <w:p>
      <w:pPr>
        <w:pStyle w:val="Normal"/>
        <w:spacing w:lineRule="auto" w:line="240" w:before="480" w:after="0"/>
        <w:ind w:firstLine="709"/>
        <w:jc w:val="center"/>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r>
    </w:p>
    <w:tbl>
      <w:tblPr>
        <w:tblW w:w="10206" w:type="dxa"/>
        <w:jc w:val="left"/>
        <w:tblInd w:w="163"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top w:w="0" w:type="dxa"/>
          <w:left w:w="107" w:type="dxa"/>
          <w:bottom w:w="0" w:type="dxa"/>
          <w:right w:w="108" w:type="dxa"/>
        </w:tblCellMar>
        <w:tblLook w:firstRow="1" w:noVBand="0" w:lastRow="1" w:firstColumn="1" w:lastColumn="1" w:noHBand="0" w:val="01e0"/>
      </w:tblPr>
      <w:tblGrid>
        <w:gridCol w:w="1701"/>
        <w:gridCol w:w="1417"/>
        <w:gridCol w:w="1417"/>
        <w:gridCol w:w="1418"/>
        <w:gridCol w:w="1416"/>
        <w:gridCol w:w="1418"/>
        <w:gridCol w:w="1418"/>
      </w:tblGrid>
      <w:tr>
        <w:trPr/>
        <w:tc>
          <w:tcPr>
            <w:tcW w:w="170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Навчальний </w:t>
            </w:r>
          </w:p>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рік</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2010-2011</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2011-2012</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2012-2013</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2013-2014</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2014-2015</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2015-2016</w:t>
            </w:r>
          </w:p>
        </w:tc>
      </w:tr>
      <w:tr>
        <w:trPr/>
        <w:tc>
          <w:tcPr>
            <w:tcW w:w="1701"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Кількість</w:t>
            </w:r>
          </w:p>
          <w:p>
            <w:pPr>
              <w:pStyle w:val="Normal"/>
              <w:spacing w:lineRule="auto" w:line="240" w:before="480" w:after="0"/>
              <w:jc w:val="both"/>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 </w:t>
            </w:r>
            <w:r>
              <w:rPr>
                <w:rFonts w:eastAsia="Times New Roman" w:cs="Times New Roman" w:ascii="Times New Roman" w:hAnsi="Times New Roman"/>
                <w:b/>
                <w:sz w:val="24"/>
                <w:szCs w:val="24"/>
                <w:lang w:eastAsia="ru-RU"/>
              </w:rPr>
              <w:t>класів</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28</w:t>
            </w:r>
          </w:p>
        </w:tc>
        <w:tc>
          <w:tcPr>
            <w:tcW w:w="1417"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37</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43</w:t>
            </w:r>
          </w:p>
        </w:tc>
        <w:tc>
          <w:tcPr>
            <w:tcW w:w="1416"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67</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78</w:t>
            </w:r>
          </w:p>
        </w:tc>
        <w:tc>
          <w:tcPr>
            <w:tcW w:w="1418" w:type="dxa"/>
            <w:tcBorders>
              <w:top w:val="inset" w:sz="6" w:space="0" w:color="00000A"/>
              <w:left w:val="inset" w:sz="6" w:space="0" w:color="00000A"/>
              <w:bottom w:val="inset" w:sz="6" w:space="0" w:color="00000A"/>
              <w:right w:val="inset" w:sz="6" w:space="0" w:color="00000A"/>
              <w:insideH w:val="inset" w:sz="6" w:space="0" w:color="00000A"/>
              <w:insideV w:val="inset" w:sz="6" w:space="0" w:color="00000A"/>
            </w:tcBorders>
            <w:shd w:fill="auto" w:val="clear"/>
            <w:tcMar>
              <w:left w:w="107" w:type="dxa"/>
            </w:tcMar>
          </w:tcPr>
          <w:p>
            <w:pPr>
              <w:pStyle w:val="Normal"/>
              <w:spacing w:lineRule="auto" w:line="240" w:before="480" w:after="0"/>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95</w:t>
            </w:r>
          </w:p>
        </w:tc>
      </w:tr>
    </w:tbl>
    <w:p>
      <w:pPr>
        <w:pStyle w:val="Normal"/>
        <w:spacing w:lineRule="auto" w:line="240" w:before="480" w:after="0"/>
        <w:rPr>
          <w:rFonts w:ascii="Calibri" w:hAnsi="Calibri" w:eastAsia="Calibri" w:cs="Times New Roman"/>
          <w:lang w:eastAsia="uk-UA"/>
        </w:rPr>
      </w:pPr>
      <w:r>
        <w:rPr>
          <w:rFonts w:eastAsia="Calibri" w:cs="Times New Roman"/>
          <w:lang w:eastAsia="uk-UA"/>
        </w:rPr>
      </w:r>
    </w:p>
    <w:p>
      <w:pPr>
        <w:pStyle w:val="Normal"/>
        <w:spacing w:lineRule="auto" w:line="240" w:before="480" w:after="0"/>
        <w:rPr>
          <w:rFonts w:ascii="Calibri" w:hAnsi="Calibri" w:eastAsia="Calibri" w:cs="Times New Roman"/>
          <w:lang w:eastAsia="uk-UA"/>
        </w:rPr>
      </w:pPr>
      <w:r>
        <w:rPr>
          <w:rFonts w:eastAsia="Calibri" w:cs="Times New Roman"/>
          <w:lang w:eastAsia="uk-UA"/>
        </w:rPr>
      </w:r>
    </w:p>
    <w:p>
      <w:pPr>
        <w:pStyle w:val="Normal"/>
        <w:spacing w:lineRule="auto" w:line="240" w:before="480" w:after="0"/>
        <w:rPr>
          <w:rFonts w:ascii="Calibri" w:hAnsi="Calibri" w:eastAsia="Calibri" w:cs="Times New Roman"/>
          <w:lang w:eastAsia="uk-UA"/>
        </w:rPr>
      </w:pPr>
      <w:r>
        <w:rPr/>
        <w:drawing>
          <wp:inline distT="0" distB="0" distL="0" distR="0">
            <wp:extent cx="6496050" cy="2085975"/>
            <wp:effectExtent l="0" t="0" r="0" b="0"/>
            <wp:docPr id="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pStyle w:val="Normal"/>
        <w:spacing w:lineRule="auto" w:line="240" w:before="480" w:after="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before="480" w:after="0"/>
        <w:ind w:firstLine="709"/>
        <w:jc w:val="both"/>
        <w:rPr>
          <w:rFonts w:ascii="Times New Roman" w:hAnsi="Times New Roman" w:eastAsia="Calibri" w:cs="Times New Roman"/>
          <w:sz w:val="28"/>
          <w:szCs w:val="28"/>
        </w:rPr>
      </w:pPr>
      <w:r>
        <w:rPr>
          <w:rFonts w:eastAsia="Times New Roman" w:cs="Times New Roman" w:ascii="Times New Roman" w:hAnsi="Times New Roman"/>
          <w:sz w:val="28"/>
          <w:szCs w:val="28"/>
          <w:lang w:eastAsia="ru-RU"/>
        </w:rPr>
        <w:t>У 17 спеціальних та 5 санаторних школах-інтернатах у 2014-2015 навчальному році забезпечено навчанням та корекційно-розвитковою  роботою 4770 дітей з особливими освітніми потребами.</w:t>
      </w:r>
    </w:p>
    <w:p>
      <w:pPr>
        <w:pStyle w:val="Normal"/>
        <w:spacing w:before="480" w:after="0"/>
        <w:ind w:firstLine="708"/>
        <w:jc w:val="both"/>
        <w:rPr>
          <w:rFonts w:ascii="Times New Roman" w:hAnsi="Times New Roman" w:eastAsia="Calibri" w:cs="Times New Roman"/>
          <w:sz w:val="28"/>
        </w:rPr>
      </w:pPr>
      <w:r>
        <w:rPr>
          <w:rFonts w:eastAsia="Calibri" w:cs="Times New Roman" w:ascii="Times New Roman" w:hAnsi="Times New Roman"/>
          <w:sz w:val="28"/>
        </w:rPr>
        <w:t>На сьогоднішній день навчальні заклади системи освіти міста забезпечують право на освіту дітей з особливими потребами:</w:t>
      </w:r>
    </w:p>
    <w:p>
      <w:pPr>
        <w:pStyle w:val="Normal"/>
        <w:numPr>
          <w:ilvl w:val="0"/>
          <w:numId w:val="13"/>
        </w:numPr>
        <w:spacing w:before="480" w:after="0"/>
        <w:jc w:val="both"/>
        <w:rPr>
          <w:rFonts w:ascii="Times New Roman" w:hAnsi="Times New Roman" w:eastAsia="Calibri" w:cs="Times New Roman"/>
          <w:sz w:val="28"/>
        </w:rPr>
      </w:pPr>
      <w:r>
        <w:rPr>
          <w:rFonts w:eastAsia="Calibri" w:cs="Times New Roman" w:ascii="Times New Roman" w:hAnsi="Times New Roman"/>
          <w:sz w:val="28"/>
        </w:rPr>
        <w:t>сліпих та слабозорих;</w:t>
      </w:r>
    </w:p>
    <w:p>
      <w:pPr>
        <w:pStyle w:val="Normal"/>
        <w:numPr>
          <w:ilvl w:val="0"/>
          <w:numId w:val="13"/>
        </w:numPr>
        <w:spacing w:before="480" w:after="0"/>
        <w:jc w:val="both"/>
        <w:rPr>
          <w:rFonts w:ascii="Times New Roman" w:hAnsi="Times New Roman" w:eastAsia="Calibri" w:cs="Times New Roman"/>
          <w:sz w:val="28"/>
        </w:rPr>
      </w:pPr>
      <w:r>
        <w:rPr>
          <w:rFonts w:eastAsia="Calibri" w:cs="Times New Roman" w:ascii="Times New Roman" w:hAnsi="Times New Roman"/>
          <w:sz w:val="28"/>
        </w:rPr>
        <w:t>глухих та слабочуючих;</w:t>
      </w:r>
    </w:p>
    <w:p>
      <w:pPr>
        <w:pStyle w:val="Normal"/>
        <w:numPr>
          <w:ilvl w:val="0"/>
          <w:numId w:val="13"/>
        </w:numPr>
        <w:spacing w:before="480" w:after="0"/>
        <w:jc w:val="both"/>
        <w:rPr>
          <w:rFonts w:ascii="Times New Roman" w:hAnsi="Times New Roman" w:eastAsia="Calibri" w:cs="Times New Roman"/>
          <w:sz w:val="28"/>
        </w:rPr>
      </w:pPr>
      <w:r>
        <w:rPr>
          <w:rFonts w:eastAsia="Calibri" w:cs="Times New Roman" w:ascii="Times New Roman" w:hAnsi="Times New Roman"/>
          <w:sz w:val="28"/>
        </w:rPr>
        <w:t>з розумовою відсталістю;</w:t>
      </w:r>
    </w:p>
    <w:p>
      <w:pPr>
        <w:pStyle w:val="Normal"/>
        <w:numPr>
          <w:ilvl w:val="0"/>
          <w:numId w:val="13"/>
        </w:numPr>
        <w:spacing w:before="480" w:after="0"/>
        <w:jc w:val="both"/>
        <w:rPr>
          <w:rFonts w:ascii="Times New Roman" w:hAnsi="Times New Roman" w:eastAsia="Calibri" w:cs="Times New Roman"/>
          <w:sz w:val="28"/>
        </w:rPr>
      </w:pPr>
      <w:r>
        <w:rPr>
          <w:rFonts w:eastAsia="Calibri" w:cs="Times New Roman" w:ascii="Times New Roman" w:hAnsi="Times New Roman"/>
          <w:sz w:val="28"/>
        </w:rPr>
        <w:t>із затримкою психічного розвитку;</w:t>
      </w:r>
    </w:p>
    <w:p>
      <w:pPr>
        <w:pStyle w:val="Normal"/>
        <w:numPr>
          <w:ilvl w:val="0"/>
          <w:numId w:val="13"/>
        </w:numPr>
        <w:spacing w:before="480" w:after="0"/>
        <w:jc w:val="both"/>
        <w:rPr>
          <w:rFonts w:ascii="Times New Roman" w:hAnsi="Times New Roman" w:eastAsia="Calibri" w:cs="Times New Roman"/>
          <w:sz w:val="28"/>
        </w:rPr>
      </w:pPr>
      <w:r>
        <w:rPr>
          <w:rFonts w:eastAsia="Calibri" w:cs="Times New Roman" w:ascii="Times New Roman" w:hAnsi="Times New Roman"/>
          <w:sz w:val="28"/>
        </w:rPr>
        <w:t>з дитячим церебральним паралічем;</w:t>
      </w:r>
    </w:p>
    <w:p>
      <w:pPr>
        <w:pStyle w:val="Normal"/>
        <w:numPr>
          <w:ilvl w:val="0"/>
          <w:numId w:val="13"/>
        </w:numPr>
        <w:spacing w:before="480" w:after="0"/>
        <w:jc w:val="both"/>
        <w:rPr>
          <w:rFonts w:ascii="Times New Roman" w:hAnsi="Times New Roman" w:eastAsia="Calibri" w:cs="Times New Roman"/>
          <w:sz w:val="28"/>
        </w:rPr>
      </w:pPr>
      <w:r>
        <w:rPr>
          <w:rFonts w:eastAsia="Calibri" w:cs="Times New Roman" w:ascii="Times New Roman" w:hAnsi="Times New Roman"/>
          <w:sz w:val="28"/>
        </w:rPr>
        <w:t>з тяжкими вадами мовлення.</w:t>
      </w:r>
    </w:p>
    <w:p>
      <w:pPr>
        <w:pStyle w:val="Normal"/>
        <w:spacing w:before="480" w:after="0"/>
        <w:ind w:firstLine="1134"/>
        <w:jc w:val="both"/>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r>
    </w:p>
    <w:p>
      <w:pPr>
        <w:pStyle w:val="Normal"/>
        <w:spacing w:before="480" w:after="0"/>
        <w:ind w:firstLine="1134"/>
        <w:jc w:val="both"/>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t>У загальноосвітніх навчальних закладах міста Києва навчається 1527 дітей-сиріт, та дітей, позбавлених батьківського піклування, 3256 дітей-інвалідів та 491 дитина з малозабезпечених родин.</w:t>
      </w:r>
    </w:p>
    <w:p>
      <w:pPr>
        <w:sectPr>
          <w:headerReference w:type="default" r:id="rId11"/>
          <w:headerReference w:type="first" r:id="rId12"/>
          <w:type w:val="nextPage"/>
          <w:pgSz w:orient="landscape" w:w="16838" w:h="11906"/>
          <w:pgMar w:left="851" w:right="851" w:header="709" w:top="993" w:footer="0" w:bottom="1134" w:gutter="0"/>
          <w:pgNumType w:fmt="decimal"/>
          <w:formProt w:val="false"/>
          <w:titlePg/>
          <w:textDirection w:val="lrTb"/>
          <w:docGrid w:type="default" w:linePitch="360" w:charSpace="4294965247"/>
        </w:sectPr>
        <w:pStyle w:val="Normal"/>
        <w:spacing w:lineRule="auto" w:line="240" w:before="480" w:after="0"/>
        <w:ind w:firstLine="1134"/>
        <w:jc w:val="both"/>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t xml:space="preserve"> </w:t>
      </w:r>
    </w:p>
    <w:p>
      <w:pPr>
        <w:pStyle w:val="1"/>
        <w:jc w:val="center"/>
        <w:rPr>
          <w:rFonts w:ascii="Times New Roman" w:hAnsi="Times New Roman" w:eastAsia="Times New Roman" w:cs="Times New Roman"/>
          <w:b w:val="false"/>
          <w:b w:val="false"/>
          <w:color w:val="00000A"/>
          <w:lang w:eastAsia="ru-RU"/>
        </w:rPr>
      </w:pPr>
      <w:bookmarkStart w:id="22" w:name="_Toc431397869"/>
      <w:r>
        <w:rPr>
          <w:rStyle w:val="22"/>
          <w:rFonts w:cs="Times New Roman"/>
          <w:b w:val="false"/>
          <w:color w:val="00000A"/>
        </w:rPr>
        <w:t>Напрями діяльності, завдання та заходи</w:t>
      </w:r>
      <w:r>
        <w:rPr>
          <w:rFonts w:cs="Times New Roman" w:ascii="Times New Roman" w:hAnsi="Times New Roman"/>
          <w:b w:val="false"/>
          <w:color w:val="00000A"/>
        </w:rPr>
        <w:t xml:space="preserve"> підпрограми</w:t>
      </w:r>
      <w:bookmarkEnd w:id="22"/>
      <w:r>
        <w:rPr>
          <w:rFonts w:cs="Times New Roman" w:ascii="Times New Roman" w:hAnsi="Times New Roman"/>
          <w:b w:val="false"/>
          <w:color w:val="00000A"/>
        </w:rPr>
        <w:t xml:space="preserve"> «</w:t>
      </w:r>
      <w:r>
        <w:rPr>
          <w:rFonts w:eastAsia="Times New Roman" w:cs="Times New Roman" w:ascii="Times New Roman" w:hAnsi="Times New Roman"/>
          <w:b w:val="false"/>
          <w:color w:val="00000A"/>
          <w:lang w:eastAsia="ru-RU"/>
        </w:rPr>
        <w:t>Особлива школа»</w:t>
      </w:r>
    </w:p>
    <w:p>
      <w:pPr>
        <w:pStyle w:val="Normal"/>
        <w:rPr>
          <w:lang w:eastAsia="ru-RU"/>
        </w:rPr>
      </w:pPr>
      <w:r>
        <w:rPr>
          <w:lang w:eastAsia="ru-RU"/>
        </w:rPr>
      </w:r>
    </w:p>
    <w:tbl>
      <w:tblPr>
        <w:tblW w:w="15451"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817"/>
        <w:gridCol w:w="2268"/>
        <w:gridCol w:w="2835"/>
        <w:gridCol w:w="1593"/>
        <w:gridCol w:w="1844"/>
        <w:gridCol w:w="1701"/>
        <w:gridCol w:w="2268"/>
        <w:gridCol w:w="2123"/>
      </w:tblGrid>
      <w:tr>
        <w:trPr>
          <w:tblHeader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Назва напряму діяльності (пріоритетні завдання)</w:t>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Заходи підпрограми</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Терміни виконання заходу</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Виконавці</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Джерела фінансування</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Орієнтовні обсяги фінансування (вартість), тис. гривень, у тому числі за роками:</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Очікуваний результат</w:t>
            </w:r>
          </w:p>
        </w:tc>
      </w:tr>
      <w:tr>
        <w:trPr>
          <w:tblHeader w:val="true"/>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0"/>
                <w:szCs w:val="20"/>
              </w:rPr>
            </w:pPr>
            <w:r>
              <w:rPr>
                <w:rFonts w:cs="Times New Roman" w:ascii="Times New Roman" w:hAnsi="Times New Roman"/>
                <w:sz w:val="20"/>
                <w:szCs w:val="20"/>
              </w:rPr>
              <w:t>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0"/>
                <w:szCs w:val="20"/>
              </w:rPr>
            </w:pPr>
            <w:r>
              <w:rPr>
                <w:rFonts w:cs="Times New Roman" w:ascii="Times New Roman" w:hAnsi="Times New Roman"/>
                <w:sz w:val="20"/>
                <w:szCs w:val="20"/>
              </w:rPr>
              <w:t>2</w:t>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0"/>
                <w:szCs w:val="20"/>
              </w:rPr>
            </w:pPr>
            <w:r>
              <w:rPr>
                <w:rFonts w:cs="Times New Roman" w:ascii="Times New Roman" w:hAnsi="Times New Roman"/>
                <w:sz w:val="20"/>
                <w:szCs w:val="20"/>
              </w:rPr>
              <w:t>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0"/>
                <w:szCs w:val="20"/>
              </w:rPr>
            </w:pPr>
            <w:r>
              <w:rPr>
                <w:rFonts w:cs="Times New Roman" w:ascii="Times New Roman" w:hAnsi="Times New Roman"/>
                <w:sz w:val="20"/>
                <w:szCs w:val="20"/>
              </w:rPr>
              <w:t>4</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0"/>
                <w:szCs w:val="20"/>
              </w:rPr>
            </w:pPr>
            <w:r>
              <w:rPr>
                <w:rFonts w:cs="Times New Roman" w:ascii="Times New Roman" w:hAnsi="Times New Roman"/>
                <w:sz w:val="20"/>
                <w:szCs w:val="20"/>
              </w:rPr>
              <w:t>5</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0"/>
                <w:szCs w:val="20"/>
              </w:rPr>
            </w:pPr>
            <w:r>
              <w:rPr>
                <w:rFonts w:cs="Times New Roman" w:ascii="Times New Roman" w:hAnsi="Times New Roman"/>
                <w:sz w:val="20"/>
                <w:szCs w:val="20"/>
              </w:rPr>
              <w:t>6</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0"/>
                <w:szCs w:val="20"/>
              </w:rPr>
            </w:pPr>
            <w:r>
              <w:rPr>
                <w:rFonts w:cs="Times New Roman" w:ascii="Times New Roman" w:hAnsi="Times New Roman"/>
                <w:sz w:val="20"/>
                <w:szCs w:val="20"/>
              </w:rPr>
              <w:t>7</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0"/>
                <w:szCs w:val="20"/>
              </w:rPr>
            </w:pPr>
            <w:r>
              <w:rPr>
                <w:rFonts w:cs="Times New Roman" w:ascii="Times New Roman" w:hAnsi="Times New Roman"/>
                <w:sz w:val="20"/>
                <w:szCs w:val="20"/>
              </w:rPr>
              <w:t>8</w:t>
            </w:r>
          </w:p>
        </w:tc>
      </w:tr>
      <w:tr>
        <w:trPr>
          <w:tblHeader w:val="true"/>
          <w:trHeight w:val="2760" w:hRule="atLeast"/>
        </w:trPr>
        <w:tc>
          <w:tcPr>
            <w:tcW w:w="8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 </w:t>
            </w:r>
          </w:p>
        </w:tc>
        <w:tc>
          <w:tcPr>
            <w:tcW w:w="226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Здійснення заходів щодо вдосконалення мережі шкіл-інтернатів</w:t>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Забезпечити належне функціонування шкіл-інтернатів</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Департамент освіти і науки, молоді та спорту,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управління освіти</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jc w:val="center"/>
              <w:rPr>
                <w:rFonts w:ascii="Times New Roman" w:hAnsi="Times New Roman" w:cs="Times New Roman"/>
                <w:sz w:val="24"/>
                <w:szCs w:val="24"/>
                <w:lang w:val="ru-RU"/>
              </w:rPr>
            </w:pPr>
            <w:r>
              <w:rPr>
                <w:rFonts w:cs="Times New Roman" w:ascii="Times New Roman" w:hAnsi="Times New Roman"/>
                <w:sz w:val="24"/>
                <w:szCs w:val="24"/>
              </w:rPr>
              <w:t>Бюджет</w:t>
            </w:r>
          </w:p>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м. Києва, власні надходження</w:t>
            </w:r>
          </w:p>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Усього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загальний фонд: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956  990,9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у тому числі:                                 2016 р. –297 895,4 2017 р.- 320 690,0 2018 р –338 405,5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Власні надходження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Усього:13 058,5</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2016р. – 4 075,7  2017р. – 4 370,2   2018р. – 4 612,6</w:t>
            </w:r>
          </w:p>
        </w:tc>
        <w:tc>
          <w:tcPr>
            <w:tcW w:w="212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tcPr>
          <w:p>
            <w:pPr>
              <w:pStyle w:val="Normal"/>
              <w:spacing w:lineRule="auto" w:line="240" w:before="480" w:after="0"/>
              <w:rPr>
                <w:rFonts w:ascii="Times New Roman" w:hAnsi="Times New Roman" w:cs="Times New Roman"/>
                <w:sz w:val="24"/>
                <w:szCs w:val="24"/>
                <w:lang w:eastAsia="uk-UA"/>
              </w:rPr>
            </w:pPr>
            <w:r>
              <w:rPr>
                <w:rFonts w:cs="Times New Roman" w:ascii="Times New Roman" w:hAnsi="Times New Roman"/>
                <w:sz w:val="24"/>
                <w:szCs w:val="24"/>
                <w:lang w:eastAsia="uk-UA"/>
              </w:rPr>
              <w:t> </w:t>
            </w:r>
            <w:r>
              <w:rPr>
                <w:rFonts w:eastAsia="Calibri" w:cs="Times New Roman" w:ascii="Times New Roman" w:hAnsi="Times New Roman"/>
                <w:sz w:val="24"/>
                <w:szCs w:val="24"/>
                <w:lang w:eastAsia="uk-UA"/>
              </w:rPr>
              <w:t xml:space="preserve">Реалізація прав дітей  з особливостями психофізичного розвитку  на здобуття освіти відповідно до їхніх можливостей і здібностей за місцем проживання. </w:t>
            </w:r>
          </w:p>
          <w:p>
            <w:pPr>
              <w:pStyle w:val="Normal"/>
              <w:spacing w:lineRule="auto" w:line="240" w:before="480" w:after="0"/>
              <w:rPr>
                <w:rFonts w:ascii="Times New Roman" w:hAnsi="Times New Roman" w:eastAsia="Calibri" w:cs="Times New Roman"/>
                <w:sz w:val="24"/>
                <w:szCs w:val="24"/>
                <w:lang w:eastAsia="uk-UA"/>
              </w:rPr>
            </w:pPr>
            <w:r>
              <w:rPr>
                <w:rFonts w:cs="Times New Roman" w:ascii="Times New Roman" w:hAnsi="Times New Roman"/>
                <w:sz w:val="24"/>
                <w:szCs w:val="24"/>
              </w:rPr>
              <w:t>Соціальний захист дітей та збереження  їхнього здоров’я</w:t>
            </w:r>
            <w:r>
              <w:rPr>
                <w:rFonts w:cs="Times New Roman" w:ascii="Times New Roman" w:hAnsi="Times New Roman"/>
                <w:sz w:val="24"/>
                <w:szCs w:val="24"/>
                <w:lang w:eastAsia="uk-UA"/>
              </w:rPr>
              <w:t> </w:t>
            </w:r>
          </w:p>
        </w:tc>
      </w:tr>
      <w:tr>
        <w:trPr>
          <w:tblHeader w:val="true"/>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Забезпечити надання допомоги дітям-сиротам та дітям, позбавленим батьківського піклування, яким виповнюється 18 років</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управління освіти</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lang w:val="en-US"/>
              </w:rPr>
            </w:pPr>
            <w:r>
              <w:rPr>
                <w:rFonts w:cs="Times New Roman" w:ascii="Times New Roman" w:hAnsi="Times New Roman"/>
                <w:sz w:val="24"/>
                <w:szCs w:val="24"/>
              </w:rPr>
              <w:t>Бюджет</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м. Києва</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Усього</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загальний фонд:  </w:t>
              <w:br/>
              <w:t xml:space="preserve">3 326,6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у тому числі:                                 2016 р.  -   592,4 2017 р. -  1 072,2 2018 р. – 1 662,0</w:t>
            </w:r>
          </w:p>
        </w:tc>
        <w:tc>
          <w:tcPr>
            <w:tcW w:w="212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8" w:type="dxa"/>
            </w:tcMar>
          </w:tcPr>
          <w:p>
            <w:pPr>
              <w:pStyle w:val="Normal"/>
              <w:spacing w:lineRule="auto" w:line="240" w:before="480" w:after="0"/>
              <w:rPr>
                <w:rFonts w:ascii="Times New Roman" w:hAnsi="Times New Roman" w:cs="Times New Roman"/>
                <w:sz w:val="24"/>
                <w:szCs w:val="24"/>
                <w:lang w:eastAsia="uk-UA"/>
              </w:rPr>
            </w:pPr>
            <w:r>
              <w:rPr>
                <w:rFonts w:cs="Times New Roman" w:ascii="Times New Roman" w:hAnsi="Times New Roman"/>
                <w:sz w:val="24"/>
                <w:szCs w:val="24"/>
                <w:lang w:eastAsia="uk-UA"/>
              </w:rPr>
            </w:r>
          </w:p>
        </w:tc>
      </w:tr>
      <w:tr>
        <w:trPr>
          <w:tblHeader w:val="true"/>
          <w:trHeight w:val="2573" w:hRule="atLeast"/>
        </w:trPr>
        <w:tc>
          <w:tcPr>
            <w:tcW w:w="8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2</w:t>
            </w:r>
          </w:p>
        </w:tc>
        <w:tc>
          <w:tcPr>
            <w:tcW w:w="226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Реалізація та поширення моделі інклюзивного та спеціального навчання дітей у загальноосвітніх навчальних закладах</w:t>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Удосконалити мережу спеціальних та інклюзивних класів відповідно до потреб мешканців міста Києва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Департамент освіти і науки, молоді та спорту,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управління освіти</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Не потребує фінансування</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w:t>
            </w:r>
          </w:p>
        </w:tc>
        <w:tc>
          <w:tcPr>
            <w:tcW w:w="212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eastAsia="Calibri" w:cs="Times New Roman"/>
                <w:i/>
                <w:i/>
                <w:sz w:val="24"/>
                <w:szCs w:val="24"/>
                <w:lang w:eastAsia="uk-UA"/>
              </w:rPr>
            </w:pPr>
            <w:r>
              <w:rPr>
                <w:rFonts w:eastAsia="Calibri" w:cs="Times New Roman" w:ascii="Times New Roman" w:hAnsi="Times New Roman"/>
                <w:sz w:val="24"/>
                <w:szCs w:val="24"/>
                <w:lang w:eastAsia="uk-UA"/>
              </w:rPr>
              <w:t>Соціальна адаптація та інтеграція дітей  з особливими потребами в суспільство.</w:t>
            </w:r>
          </w:p>
          <w:p>
            <w:pPr>
              <w:pStyle w:val="Normal"/>
              <w:spacing w:lineRule="auto" w:line="240" w:before="480" w:after="0"/>
              <w:rPr>
                <w:rFonts w:ascii="Times New Roman" w:hAnsi="Times New Roman" w:cs="Times New Roman"/>
                <w:sz w:val="24"/>
                <w:szCs w:val="24"/>
                <w:lang w:eastAsia="uk-UA"/>
              </w:rPr>
            </w:pPr>
            <w:r>
              <w:rPr>
                <w:rFonts w:eastAsia="Calibri" w:cs="Times New Roman" w:ascii="Times New Roman" w:hAnsi="Times New Roman"/>
                <w:sz w:val="24"/>
                <w:szCs w:val="24"/>
                <w:lang w:eastAsia="uk-UA"/>
              </w:rPr>
              <w:t>Забезпечення якісного виконання навчальних та реабілітаційних програм</w:t>
            </w:r>
          </w:p>
        </w:tc>
      </w:tr>
      <w:tr>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Ввести  до  програми курсів підвищення кваліфікації педагогів  питання інтегрованого та інклюзивного навчання дітей з особливими потребами </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Департамент освіти і науки, молоді та спорту,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управління освіти</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Не потребує фінансування</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r>
          </w:p>
        </w:tc>
        <w:tc>
          <w:tcPr>
            <w:tcW w:w="212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lang w:eastAsia="uk-UA"/>
              </w:rPr>
            </w:pPr>
            <w:r>
              <w:rPr>
                <w:rFonts w:cs="Times New Roman" w:ascii="Times New Roman" w:hAnsi="Times New Roman"/>
                <w:sz w:val="24"/>
                <w:szCs w:val="24"/>
                <w:lang w:eastAsia="uk-UA"/>
              </w:rPr>
            </w:r>
          </w:p>
        </w:tc>
      </w:tr>
      <w:tr>
        <w:trPr>
          <w:trHeight w:val="2690" w:hRule="atLeast"/>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УСЬОГО:</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973 376,0</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т.ч.</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Бюджет м. Києва  загальний фонд: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Усього: 960 317,5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2016р. – 298 487,8  2017р. – 321 762,2   2018р. – 340 067,5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Власні надходження </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Усього:13 058,5</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48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2016р. – 4 075,7  2017р. – 4 370,2   2018р. – 4 612,6</w:t>
            </w:r>
          </w:p>
        </w:tc>
        <w:tc>
          <w:tcPr>
            <w:tcW w:w="212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480" w:after="0"/>
              <w:rPr>
                <w:rFonts w:ascii="Times New Roman" w:hAnsi="Times New Roman" w:cs="Times New Roman"/>
                <w:sz w:val="24"/>
                <w:szCs w:val="24"/>
                <w:lang w:eastAsia="uk-UA"/>
              </w:rPr>
            </w:pPr>
            <w:r>
              <w:rPr>
                <w:rFonts w:cs="Times New Roman" w:ascii="Times New Roman" w:hAnsi="Times New Roman"/>
                <w:sz w:val="24"/>
                <w:szCs w:val="24"/>
                <w:lang w:eastAsia="uk-UA"/>
              </w:rPr>
            </w:r>
          </w:p>
        </w:tc>
      </w:tr>
    </w:tbl>
    <w:p>
      <w:pPr>
        <w:pStyle w:val="2"/>
        <w:spacing w:before="120" w:after="120"/>
        <w:jc w:val="center"/>
        <w:rPr>
          <w:rFonts w:ascii="Times New Roman" w:hAnsi="Times New Roman" w:cs="Times New Roman"/>
          <w:b w:val="false"/>
          <w:b w:val="false"/>
          <w:color w:val="00000A"/>
          <w:sz w:val="28"/>
          <w:szCs w:val="28"/>
        </w:rPr>
      </w:pPr>
      <w:bookmarkStart w:id="23" w:name="_Toc431397870"/>
      <w:r>
        <w:rPr>
          <w:rStyle w:val="22"/>
          <w:rFonts w:cs="Times New Roman"/>
          <w:b w:val="false"/>
          <w:color w:val="00000A"/>
          <w:szCs w:val="28"/>
        </w:rPr>
        <w:t>Очікувані показники виконання підпрограми</w:t>
      </w:r>
      <w:bookmarkEnd w:id="23"/>
      <w:r>
        <w:rPr>
          <w:rFonts w:cs="Times New Roman" w:ascii="Times New Roman" w:hAnsi="Times New Roman"/>
          <w:b w:val="false"/>
          <w:color w:val="00000A"/>
          <w:sz w:val="28"/>
          <w:szCs w:val="28"/>
        </w:rPr>
        <w:t xml:space="preserve"> «Особлива школа»</w:t>
      </w:r>
    </w:p>
    <w:tbl>
      <w:tblPr>
        <w:tblStyle w:val="a9"/>
        <w:tblW w:w="15417" w:type="dxa"/>
        <w:jc w:val="left"/>
        <w:tblInd w:w="0" w:type="dxa"/>
        <w:tblCellMar>
          <w:top w:w="0" w:type="dxa"/>
          <w:left w:w="108" w:type="dxa"/>
          <w:bottom w:w="0" w:type="dxa"/>
          <w:right w:w="108" w:type="dxa"/>
        </w:tblCellMar>
        <w:tblLook w:firstRow="1" w:noVBand="1" w:lastRow="0" w:firstColumn="1" w:lastColumn="0" w:noHBand="0" w:val="04a0"/>
      </w:tblPr>
      <w:tblGrid>
        <w:gridCol w:w="659"/>
        <w:gridCol w:w="4693"/>
        <w:gridCol w:w="142"/>
        <w:gridCol w:w="1559"/>
        <w:gridCol w:w="1794"/>
        <w:gridCol w:w="2074"/>
        <w:gridCol w:w="2369"/>
        <w:gridCol w:w="2126"/>
      </w:tblGrid>
      <w:tr>
        <w:trPr>
          <w:trHeight w:val="494" w:hRule="atLeast"/>
        </w:trPr>
        <w:tc>
          <w:tcPr>
            <w:tcW w:w="659" w:type="dxa"/>
            <w:vMerge w:val="restart"/>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w:t>
            </w:r>
          </w:p>
        </w:tc>
        <w:tc>
          <w:tcPr>
            <w:tcW w:w="4693" w:type="dxa"/>
            <w:vMerge w:val="restart"/>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Обсяг коштів на виконання підпрограми</w:t>
            </w:r>
          </w:p>
        </w:tc>
        <w:tc>
          <w:tcPr>
            <w:tcW w:w="1701" w:type="dxa"/>
            <w:gridSpan w:val="2"/>
            <w:vMerge w:val="restart"/>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Одиниці вимірювання</w:t>
            </w:r>
          </w:p>
        </w:tc>
        <w:tc>
          <w:tcPr>
            <w:tcW w:w="6237" w:type="dxa"/>
            <w:gridSpan w:val="3"/>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Етапи виконання підпрограми за роками</w:t>
            </w:r>
          </w:p>
        </w:tc>
        <w:tc>
          <w:tcPr>
            <w:tcW w:w="2126" w:type="dxa"/>
            <w:vMerge w:val="restart"/>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Усього витрат на виконання підпрограми</w:t>
            </w:r>
          </w:p>
        </w:tc>
      </w:tr>
      <w:tr>
        <w:trPr>
          <w:trHeight w:val="415" w:hRule="atLeast"/>
        </w:trPr>
        <w:tc>
          <w:tcPr>
            <w:tcW w:w="659" w:type="dxa"/>
            <w:vMerge w:val="continue"/>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4693" w:type="dxa"/>
            <w:vMerge w:val="continue"/>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701" w:type="dxa"/>
            <w:gridSpan w:val="2"/>
            <w:vMerge w:val="continue"/>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794"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w:t>
            </w:r>
          </w:p>
        </w:tc>
        <w:tc>
          <w:tcPr>
            <w:tcW w:w="2074"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2017</w:t>
            </w:r>
          </w:p>
        </w:tc>
        <w:tc>
          <w:tcPr>
            <w:tcW w:w="236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2018</w:t>
            </w:r>
          </w:p>
        </w:tc>
        <w:tc>
          <w:tcPr>
            <w:tcW w:w="2126" w:type="dxa"/>
            <w:vMerge w:val="continue"/>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722" w:hRule="atLeast"/>
        </w:trPr>
        <w:tc>
          <w:tcPr>
            <w:tcW w:w="15416" w:type="dxa"/>
            <w:gridSpan w:val="8"/>
            <w:tcBorders/>
            <w:shd w:fill="auto" w:val="clear"/>
            <w:tcMar>
              <w:left w:w="108" w:type="dxa"/>
            </w:tcMar>
            <w:vAlign w:val="center"/>
          </w:tcPr>
          <w:p>
            <w:pPr>
              <w:pStyle w:val="Normal"/>
              <w:spacing w:lineRule="auto" w:line="240" w:before="0" w:after="0"/>
              <w:jc w:val="center"/>
              <w:rPr>
                <w:rFonts w:ascii="Times New Roman" w:hAnsi="Times New Roman" w:cs="Times New Roman"/>
                <w:bCs/>
                <w:sz w:val="24"/>
                <w:szCs w:val="24"/>
              </w:rPr>
            </w:pPr>
            <w:r>
              <w:rPr>
                <w:rFonts w:eastAsia="ＭＳ 明朝" w:cs="Times New Roman" w:eastAsiaTheme="minorEastAsia" w:ascii="Times New Roman" w:hAnsi="Times New Roman"/>
                <w:bCs/>
                <w:sz w:val="24"/>
                <w:szCs w:val="24"/>
                <w:lang w:eastAsia="uk-UA"/>
              </w:rPr>
              <w:t>Загальноосвітні школи-інтернати, санаторні школи-інтернати, школи-інтернати для дітей-сиріт без піклування батьків, дитячі будинки, школи-інтернати (діти з вадами), спеціалізовані школи-інтернати</w:t>
            </w:r>
          </w:p>
        </w:tc>
      </w:tr>
      <w:tr>
        <w:trPr>
          <w:trHeight w:val="435" w:hRule="atLeast"/>
        </w:trPr>
        <w:tc>
          <w:tcPr>
            <w:tcW w:w="659" w:type="dxa"/>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4835" w:type="dxa"/>
            <w:gridSpan w:val="2"/>
            <w:tcBorders/>
            <w:shd w:fill="auto" w:val="clear"/>
            <w:tcMar>
              <w:left w:w="108" w:type="dxa"/>
            </w:tcMar>
            <w:vAlign w:val="center"/>
          </w:tcPr>
          <w:p>
            <w:pPr>
              <w:pStyle w:val="Normal"/>
              <w:spacing w:lineRule="auto" w:line="240" w:before="0" w:after="0"/>
              <w:jc w:val="center"/>
              <w:rPr>
                <w:rFonts w:ascii="Times New Roman" w:hAnsi="Times New Roman" w:cs="Times New Roman"/>
                <w:bCs/>
                <w:sz w:val="24"/>
                <w:szCs w:val="24"/>
              </w:rPr>
            </w:pPr>
            <w:r>
              <w:rPr>
                <w:rFonts w:eastAsia="ＭＳ 明朝" w:cs="Times New Roman" w:eastAsiaTheme="minorEastAsia" w:ascii="Times New Roman" w:hAnsi="Times New Roman"/>
                <w:bCs/>
                <w:sz w:val="24"/>
                <w:szCs w:val="24"/>
                <w:lang w:eastAsia="uk-UA"/>
              </w:rPr>
              <w:t>Бюджет м. Києва</w:t>
            </w:r>
          </w:p>
        </w:tc>
        <w:tc>
          <w:tcPr>
            <w:tcW w:w="1559" w:type="dxa"/>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c>
          <w:tcPr>
            <w:tcW w:w="1794" w:type="dxa"/>
            <w:tcBorders/>
            <w:shd w:fill="auto" w:val="clear"/>
            <w:tcMar>
              <w:left w:w="108" w:type="dxa"/>
            </w:tcMar>
          </w:tcPr>
          <w:p>
            <w:pPr>
              <w:pStyle w:val="Normal"/>
              <w:spacing w:lineRule="auto" w:line="240" w:before="0" w:after="0"/>
              <w:jc w:val="center"/>
              <w:rPr>
                <w:rFonts w:ascii="Times New Roman" w:hAnsi="Times New Roman" w:cs="Times New Roman"/>
                <w:color w:val="000000"/>
                <w:sz w:val="24"/>
                <w:szCs w:val="24"/>
              </w:rPr>
            </w:pPr>
            <w:r>
              <w:rPr>
                <w:rFonts w:eastAsia="ＭＳ 明朝" w:cs="Times New Roman" w:eastAsiaTheme="minorEastAsia" w:ascii="Times New Roman" w:hAnsi="Times New Roman"/>
                <w:sz w:val="24"/>
                <w:szCs w:val="24"/>
                <w:lang w:eastAsia="uk-UA"/>
              </w:rPr>
              <w:t>302 563,5</w:t>
            </w:r>
          </w:p>
        </w:tc>
        <w:tc>
          <w:tcPr>
            <w:tcW w:w="2074" w:type="dxa"/>
            <w:tcBorders/>
            <w:shd w:fill="auto" w:val="clear"/>
            <w:tcMar>
              <w:left w:w="108" w:type="dxa"/>
            </w:tcMar>
          </w:tcPr>
          <w:p>
            <w:pPr>
              <w:pStyle w:val="Normal"/>
              <w:spacing w:lineRule="auto" w:line="240" w:before="0" w:after="0"/>
              <w:jc w:val="center"/>
              <w:rPr>
                <w:rFonts w:ascii="Times New Roman" w:hAnsi="Times New Roman" w:cs="Times New Roman"/>
                <w:color w:val="000000"/>
                <w:sz w:val="24"/>
                <w:szCs w:val="24"/>
                <w:lang w:val="en-US"/>
              </w:rPr>
            </w:pPr>
            <w:r>
              <w:rPr>
                <w:rFonts w:eastAsia="ＭＳ 明朝" w:cs="Times New Roman" w:eastAsiaTheme="minorEastAsia" w:ascii="Times New Roman" w:hAnsi="Times New Roman"/>
                <w:sz w:val="24"/>
                <w:szCs w:val="24"/>
                <w:lang w:eastAsia="uk-UA"/>
              </w:rPr>
              <w:t>326 132,4</w:t>
            </w:r>
          </w:p>
        </w:tc>
        <w:tc>
          <w:tcPr>
            <w:tcW w:w="2369" w:type="dxa"/>
            <w:tcBorders/>
            <w:shd w:fill="auto" w:val="clear"/>
            <w:tcMar>
              <w:left w:w="108" w:type="dxa"/>
            </w:tcMar>
          </w:tcPr>
          <w:p>
            <w:pPr>
              <w:pStyle w:val="Normal"/>
              <w:spacing w:lineRule="auto" w:line="240" w:before="0" w:after="0"/>
              <w:jc w:val="center"/>
              <w:rPr>
                <w:rFonts w:ascii="Times New Roman" w:hAnsi="Times New Roman" w:cs="Times New Roman"/>
                <w:color w:val="000000"/>
                <w:sz w:val="24"/>
                <w:szCs w:val="24"/>
                <w:lang w:val="en-US"/>
              </w:rPr>
            </w:pPr>
            <w:r>
              <w:rPr>
                <w:rFonts w:eastAsia="ＭＳ 明朝" w:cs="Times New Roman" w:eastAsiaTheme="minorEastAsia" w:ascii="Times New Roman" w:hAnsi="Times New Roman"/>
                <w:sz w:val="24"/>
                <w:szCs w:val="24"/>
                <w:lang w:eastAsia="uk-UA"/>
              </w:rPr>
              <w:t>344 680,1</w:t>
            </w:r>
          </w:p>
        </w:tc>
        <w:tc>
          <w:tcPr>
            <w:tcW w:w="2126"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color w:val="000000"/>
                <w:sz w:val="24"/>
                <w:szCs w:val="24"/>
              </w:rPr>
            </w:pPr>
            <w:r>
              <w:rPr>
                <w:rFonts w:eastAsia="ＭＳ 明朝" w:cs="Times New Roman" w:ascii="Times New Roman" w:hAnsi="Times New Roman" w:asciiTheme="majorBidi" w:cstheme="majorBidi" w:hAnsiTheme="majorBidi"/>
                <w:sz w:val="24"/>
                <w:szCs w:val="24"/>
                <w:lang w:eastAsia="uk-UA"/>
              </w:rPr>
              <w:t>973 376,0</w:t>
            </w:r>
          </w:p>
        </w:tc>
      </w:tr>
      <w:tr>
        <w:trPr>
          <w:trHeight w:val="329" w:hRule="atLeast"/>
        </w:trPr>
        <w:tc>
          <w:tcPr>
            <w:tcW w:w="15416" w:type="dxa"/>
            <w:gridSpan w:val="8"/>
            <w:tcBorders/>
            <w:shd w:fill="auto" w:val="clear"/>
            <w:tcMar>
              <w:left w:w="108" w:type="dxa"/>
            </w:tcMar>
            <w:vAlign w:val="center"/>
          </w:tcPr>
          <w:p>
            <w:pPr>
              <w:pStyle w:val="Normal"/>
              <w:spacing w:lineRule="auto" w:line="240" w:before="0" w:after="0"/>
              <w:jc w:val="center"/>
              <w:rPr>
                <w:rFonts w:ascii="Times New Roman" w:hAnsi="Times New Roman" w:cs="Times New Roman"/>
                <w:i/>
                <w:i/>
                <w:sz w:val="24"/>
                <w:szCs w:val="24"/>
              </w:rPr>
            </w:pPr>
            <w:r>
              <w:rPr>
                <w:rFonts w:eastAsia="ＭＳ 明朝" w:cs="Times New Roman" w:eastAsiaTheme="minorEastAsia" w:ascii="Times New Roman" w:hAnsi="Times New Roman"/>
                <w:i/>
                <w:sz w:val="24"/>
                <w:szCs w:val="24"/>
                <w:lang w:eastAsia="uk-UA"/>
              </w:rPr>
              <w:t>Показники затрат</w:t>
            </w:r>
          </w:p>
        </w:tc>
      </w:tr>
      <w:tr>
        <w:trPr>
          <w:trHeight w:val="1117" w:hRule="atLeast"/>
        </w:trPr>
        <w:tc>
          <w:tcPr>
            <w:tcW w:w="6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w:t>
            </w:r>
          </w:p>
        </w:tc>
        <w:tc>
          <w:tcPr>
            <w:tcW w:w="4835" w:type="dxa"/>
            <w:gridSpan w:val="2"/>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Забезпечення надання належної освіти та відповідних умов перебування учнів у загальноосвітніх, санаторних школах-інтернатах</w:t>
            </w:r>
          </w:p>
        </w:tc>
        <w:tc>
          <w:tcPr>
            <w:tcW w:w="15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тис. грн.</w:t>
            </w:r>
          </w:p>
        </w:tc>
        <w:tc>
          <w:tcPr>
            <w:tcW w:w="179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lang w:val="en-US"/>
              </w:rPr>
            </w:pPr>
            <w:r>
              <w:rPr>
                <w:rFonts w:eastAsia="ＭＳ 明朝" w:cs="Times New Roman" w:eastAsiaTheme="minorEastAsia" w:ascii="Times New Roman" w:hAnsi="Times New Roman"/>
                <w:sz w:val="24"/>
                <w:szCs w:val="24"/>
                <w:lang w:eastAsia="uk-UA"/>
              </w:rPr>
              <w:t>302 563,5</w:t>
            </w:r>
          </w:p>
        </w:tc>
        <w:tc>
          <w:tcPr>
            <w:tcW w:w="207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lang w:val="en-US"/>
              </w:rPr>
            </w:pPr>
            <w:r>
              <w:rPr>
                <w:rFonts w:eastAsia="ＭＳ 明朝" w:cs="Times New Roman" w:eastAsiaTheme="minorEastAsia" w:ascii="Times New Roman" w:hAnsi="Times New Roman"/>
                <w:sz w:val="24"/>
                <w:szCs w:val="24"/>
                <w:lang w:eastAsia="uk-UA"/>
              </w:rPr>
              <w:t>326 132,4</w:t>
            </w:r>
          </w:p>
        </w:tc>
        <w:tc>
          <w:tcPr>
            <w:tcW w:w="2369"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lang w:val="en-US"/>
              </w:rPr>
            </w:pPr>
            <w:r>
              <w:rPr>
                <w:rFonts w:eastAsia="ＭＳ 明朝" w:cs="Times New Roman" w:eastAsiaTheme="minorEastAsia" w:ascii="Times New Roman" w:hAnsi="Times New Roman"/>
                <w:sz w:val="24"/>
                <w:szCs w:val="24"/>
                <w:lang w:eastAsia="uk-UA"/>
              </w:rPr>
              <w:t>344 680,1</w:t>
            </w:r>
          </w:p>
        </w:tc>
        <w:tc>
          <w:tcPr>
            <w:tcW w:w="2126" w:type="dxa"/>
            <w:tcBorders/>
            <w:shd w:fill="auto" w:val="clear"/>
            <w:tcMar>
              <w:left w:w="108" w:type="dxa"/>
            </w:tcMar>
            <w:vAlign w:val="bottom"/>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973 376,0</w:t>
            </w:r>
          </w:p>
        </w:tc>
      </w:tr>
      <w:tr>
        <w:trPr>
          <w:trHeight w:val="410" w:hRule="atLeast"/>
        </w:trPr>
        <w:tc>
          <w:tcPr>
            <w:tcW w:w="6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w:t>
            </w:r>
          </w:p>
        </w:tc>
        <w:tc>
          <w:tcPr>
            <w:tcW w:w="4835" w:type="dxa"/>
            <w:gridSpan w:val="2"/>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Кількість закладів</w:t>
            </w:r>
          </w:p>
        </w:tc>
        <w:tc>
          <w:tcPr>
            <w:tcW w:w="15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9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25</w:t>
            </w:r>
          </w:p>
        </w:tc>
        <w:tc>
          <w:tcPr>
            <w:tcW w:w="207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25</w:t>
            </w:r>
          </w:p>
        </w:tc>
        <w:tc>
          <w:tcPr>
            <w:tcW w:w="2369"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25</w:t>
            </w:r>
          </w:p>
        </w:tc>
        <w:tc>
          <w:tcPr>
            <w:tcW w:w="2126"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eastAsiaTheme="minorEastAsia"/>
                <w:sz w:val="32"/>
                <w:szCs w:val="32"/>
                <w:lang w:eastAsia="uk-UA"/>
              </w:rPr>
              <w:t> </w:t>
            </w:r>
          </w:p>
        </w:tc>
      </w:tr>
      <w:tr>
        <w:trPr>
          <w:trHeight w:val="600" w:hRule="atLeast"/>
        </w:trPr>
        <w:tc>
          <w:tcPr>
            <w:tcW w:w="6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w:t>
            </w:r>
          </w:p>
        </w:tc>
        <w:tc>
          <w:tcPr>
            <w:tcW w:w="4835" w:type="dxa"/>
            <w:gridSpan w:val="2"/>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ставок педагогічного персоналу</w:t>
            </w:r>
          </w:p>
        </w:tc>
        <w:tc>
          <w:tcPr>
            <w:tcW w:w="15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9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1 169,33</w:t>
            </w:r>
          </w:p>
        </w:tc>
        <w:tc>
          <w:tcPr>
            <w:tcW w:w="207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1 183,5</w:t>
            </w:r>
          </w:p>
        </w:tc>
        <w:tc>
          <w:tcPr>
            <w:tcW w:w="2369"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1 187,8</w:t>
            </w:r>
          </w:p>
        </w:tc>
        <w:tc>
          <w:tcPr>
            <w:tcW w:w="2126"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eastAsiaTheme="minorEastAsia"/>
                <w:sz w:val="32"/>
                <w:szCs w:val="32"/>
                <w:lang w:eastAsia="uk-UA"/>
              </w:rPr>
              <w:t> </w:t>
            </w:r>
          </w:p>
        </w:tc>
      </w:tr>
      <w:tr>
        <w:trPr>
          <w:trHeight w:val="989" w:hRule="atLeast"/>
        </w:trPr>
        <w:tc>
          <w:tcPr>
            <w:tcW w:w="6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4</w:t>
            </w:r>
          </w:p>
        </w:tc>
        <w:tc>
          <w:tcPr>
            <w:tcW w:w="4835" w:type="dxa"/>
            <w:gridSpan w:val="2"/>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штатних одиниць адмінперсоналу (за умовами оплати віднесених до педагогічного персоналу)</w:t>
            </w:r>
          </w:p>
        </w:tc>
        <w:tc>
          <w:tcPr>
            <w:tcW w:w="15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9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721,6</w:t>
            </w:r>
          </w:p>
        </w:tc>
        <w:tc>
          <w:tcPr>
            <w:tcW w:w="207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721,6</w:t>
            </w:r>
          </w:p>
        </w:tc>
        <w:tc>
          <w:tcPr>
            <w:tcW w:w="2369"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721,6</w:t>
            </w:r>
          </w:p>
        </w:tc>
        <w:tc>
          <w:tcPr>
            <w:tcW w:w="2126"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eastAsiaTheme="minorEastAsia"/>
                <w:sz w:val="32"/>
                <w:szCs w:val="32"/>
                <w:lang w:eastAsia="uk-UA"/>
              </w:rPr>
              <w:t> </w:t>
            </w:r>
          </w:p>
        </w:tc>
      </w:tr>
      <w:tr>
        <w:trPr>
          <w:trHeight w:val="540" w:hRule="atLeast"/>
        </w:trPr>
        <w:tc>
          <w:tcPr>
            <w:tcW w:w="6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5</w:t>
            </w:r>
          </w:p>
        </w:tc>
        <w:tc>
          <w:tcPr>
            <w:tcW w:w="4835" w:type="dxa"/>
            <w:gridSpan w:val="2"/>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штатних одиниць спеціалістів</w:t>
            </w:r>
          </w:p>
        </w:tc>
        <w:tc>
          <w:tcPr>
            <w:tcW w:w="15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9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384,25</w:t>
            </w:r>
          </w:p>
        </w:tc>
        <w:tc>
          <w:tcPr>
            <w:tcW w:w="207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384,25</w:t>
            </w:r>
          </w:p>
        </w:tc>
        <w:tc>
          <w:tcPr>
            <w:tcW w:w="2369"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384,25</w:t>
            </w:r>
          </w:p>
        </w:tc>
        <w:tc>
          <w:tcPr>
            <w:tcW w:w="2126"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eastAsiaTheme="minorEastAsia"/>
                <w:sz w:val="32"/>
                <w:szCs w:val="32"/>
                <w:lang w:eastAsia="uk-UA"/>
              </w:rPr>
              <w:t> </w:t>
            </w:r>
          </w:p>
        </w:tc>
      </w:tr>
      <w:tr>
        <w:trPr>
          <w:trHeight w:val="652" w:hRule="atLeast"/>
        </w:trPr>
        <w:tc>
          <w:tcPr>
            <w:tcW w:w="6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6</w:t>
            </w:r>
          </w:p>
        </w:tc>
        <w:tc>
          <w:tcPr>
            <w:tcW w:w="4835" w:type="dxa"/>
            <w:gridSpan w:val="2"/>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штатних одиниць робітників</w:t>
            </w:r>
          </w:p>
        </w:tc>
        <w:tc>
          <w:tcPr>
            <w:tcW w:w="15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9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1 255,71</w:t>
            </w:r>
          </w:p>
        </w:tc>
        <w:tc>
          <w:tcPr>
            <w:tcW w:w="207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1 255,71</w:t>
            </w:r>
          </w:p>
        </w:tc>
        <w:tc>
          <w:tcPr>
            <w:tcW w:w="2369"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1 255,71</w:t>
            </w:r>
          </w:p>
        </w:tc>
        <w:tc>
          <w:tcPr>
            <w:tcW w:w="2126"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eastAsiaTheme="minorEastAsia"/>
                <w:sz w:val="32"/>
                <w:szCs w:val="32"/>
                <w:lang w:eastAsia="uk-UA"/>
              </w:rPr>
              <w:t> </w:t>
            </w:r>
          </w:p>
        </w:tc>
      </w:tr>
      <w:tr>
        <w:trPr>
          <w:trHeight w:val="352" w:hRule="atLeast"/>
        </w:trPr>
        <w:tc>
          <w:tcPr>
            <w:tcW w:w="6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w:t>
            </w:r>
          </w:p>
        </w:tc>
        <w:tc>
          <w:tcPr>
            <w:tcW w:w="4835" w:type="dxa"/>
            <w:gridSpan w:val="2"/>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xml:space="preserve">Усього – середньорічна кількість ставок </w:t>
            </w:r>
          </w:p>
        </w:tc>
        <w:tc>
          <w:tcPr>
            <w:tcW w:w="15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w:t>
            </w:r>
          </w:p>
        </w:tc>
        <w:tc>
          <w:tcPr>
            <w:tcW w:w="179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3 530,89</w:t>
            </w:r>
          </w:p>
        </w:tc>
        <w:tc>
          <w:tcPr>
            <w:tcW w:w="207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3 545,06</w:t>
            </w:r>
          </w:p>
        </w:tc>
        <w:tc>
          <w:tcPr>
            <w:tcW w:w="2369"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3 549,36</w:t>
            </w:r>
          </w:p>
        </w:tc>
        <w:tc>
          <w:tcPr>
            <w:tcW w:w="2126"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eastAsiaTheme="minorEastAsia"/>
                <w:sz w:val="32"/>
                <w:szCs w:val="32"/>
                <w:lang w:eastAsia="uk-UA"/>
              </w:rPr>
              <w:t> </w:t>
            </w:r>
          </w:p>
        </w:tc>
      </w:tr>
      <w:tr>
        <w:trPr>
          <w:trHeight w:val="387" w:hRule="atLeast"/>
        </w:trPr>
        <w:tc>
          <w:tcPr>
            <w:tcW w:w="15416" w:type="dxa"/>
            <w:gridSpan w:val="8"/>
            <w:tcBorders/>
            <w:shd w:fill="auto" w:val="clear"/>
            <w:tcMar>
              <w:left w:w="108" w:type="dxa"/>
            </w:tcMar>
            <w:vAlign w:val="center"/>
          </w:tcPr>
          <w:p>
            <w:pPr>
              <w:pStyle w:val="Normal"/>
              <w:spacing w:lineRule="auto" w:line="240" w:before="0" w:after="0"/>
              <w:jc w:val="center"/>
              <w:rPr>
                <w:rFonts w:ascii="Times New Roman" w:hAnsi="Times New Roman" w:cs="Times New Roman"/>
                <w:i/>
                <w:i/>
                <w:sz w:val="24"/>
                <w:szCs w:val="24"/>
              </w:rPr>
            </w:pPr>
            <w:r>
              <w:rPr>
                <w:rFonts w:eastAsia="ＭＳ 明朝" w:cs="Times New Roman" w:eastAsiaTheme="minorEastAsia" w:ascii="Times New Roman" w:hAnsi="Times New Roman"/>
                <w:i/>
                <w:sz w:val="24"/>
                <w:szCs w:val="24"/>
                <w:lang w:eastAsia="uk-UA"/>
              </w:rPr>
              <w:t>Показники продукту</w:t>
            </w:r>
          </w:p>
        </w:tc>
      </w:tr>
      <w:tr>
        <w:trPr>
          <w:trHeight w:val="417" w:hRule="atLeast"/>
        </w:trPr>
        <w:tc>
          <w:tcPr>
            <w:tcW w:w="6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w:t>
            </w:r>
          </w:p>
        </w:tc>
        <w:tc>
          <w:tcPr>
            <w:tcW w:w="4835" w:type="dxa"/>
            <w:gridSpan w:val="2"/>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Середньорічна кількість учнів</w:t>
            </w:r>
          </w:p>
        </w:tc>
        <w:tc>
          <w:tcPr>
            <w:tcW w:w="1559" w:type="dx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осіб</w:t>
            </w:r>
          </w:p>
        </w:tc>
        <w:tc>
          <w:tcPr>
            <w:tcW w:w="179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5 326</w:t>
            </w:r>
          </w:p>
        </w:tc>
        <w:tc>
          <w:tcPr>
            <w:tcW w:w="207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5 751</w:t>
            </w:r>
          </w:p>
        </w:tc>
        <w:tc>
          <w:tcPr>
            <w:tcW w:w="236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5 889</w:t>
            </w:r>
          </w:p>
        </w:tc>
        <w:tc>
          <w:tcPr>
            <w:tcW w:w="2126" w:type="dxa"/>
            <w:tcBorders/>
            <w:shd w:fill="auto" w:val="clear"/>
            <w:tcMar>
              <w:left w:w="108" w:type="dxa"/>
            </w:tcMar>
            <w:vAlign w:val="cente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305" w:hRule="atLeast"/>
        </w:trPr>
        <w:tc>
          <w:tcPr>
            <w:tcW w:w="15416" w:type="dxa"/>
            <w:gridSpan w:val="8"/>
            <w:tcBorders/>
            <w:shd w:fill="auto" w:val="clear"/>
            <w:tcMar>
              <w:left w:w="108" w:type="dxa"/>
            </w:tcMar>
          </w:tcPr>
          <w:p>
            <w:pPr>
              <w:pStyle w:val="Normal"/>
              <w:spacing w:lineRule="auto" w:line="240" w:before="0" w:after="0"/>
              <w:jc w:val="center"/>
              <w:rPr>
                <w:rFonts w:ascii="Times New Roman" w:hAnsi="Times New Roman" w:cs="Times New Roman"/>
                <w:i/>
                <w:i/>
                <w:sz w:val="24"/>
                <w:szCs w:val="24"/>
              </w:rPr>
            </w:pPr>
            <w:r>
              <w:rPr>
                <w:rFonts w:eastAsia="ＭＳ 明朝" w:cs="Times New Roman" w:eastAsiaTheme="minorEastAsia" w:ascii="Times New Roman" w:hAnsi="Times New Roman"/>
                <w:i/>
                <w:sz w:val="24"/>
                <w:szCs w:val="24"/>
                <w:lang w:eastAsia="uk-UA"/>
              </w:rPr>
              <w:t>Показники ефективності</w:t>
            </w:r>
          </w:p>
        </w:tc>
      </w:tr>
      <w:tr>
        <w:trPr>
          <w:trHeight w:val="249"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w:t>
            </w:r>
          </w:p>
        </w:tc>
        <w:tc>
          <w:tcPr>
            <w:tcW w:w="4835" w:type="dxa"/>
            <w:gridSpan w:val="2"/>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витрати на 1 учня (дитину)</w:t>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грн.</w:t>
            </w:r>
          </w:p>
        </w:tc>
        <w:tc>
          <w:tcPr>
            <w:tcW w:w="179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56 808,768</w:t>
            </w:r>
          </w:p>
        </w:tc>
        <w:tc>
          <w:tcPr>
            <w:tcW w:w="207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56 708,816</w:t>
            </w:r>
          </w:p>
        </w:tc>
        <w:tc>
          <w:tcPr>
            <w:tcW w:w="2369"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58 529,479</w:t>
            </w:r>
          </w:p>
        </w:tc>
        <w:tc>
          <w:tcPr>
            <w:tcW w:w="2126"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306"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w:t>
            </w:r>
          </w:p>
        </w:tc>
        <w:tc>
          <w:tcPr>
            <w:tcW w:w="4835" w:type="dxa"/>
            <w:gridSpan w:val="2"/>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діто-дні відвідування</w:t>
            </w:r>
          </w:p>
        </w:tc>
        <w:tc>
          <w:tcPr>
            <w:tcW w:w="15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дні</w:t>
            </w:r>
          </w:p>
        </w:tc>
        <w:tc>
          <w:tcPr>
            <w:tcW w:w="179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1 411 390</w:t>
            </w:r>
          </w:p>
        </w:tc>
        <w:tc>
          <w:tcPr>
            <w:tcW w:w="207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1 524 015</w:t>
            </w:r>
          </w:p>
        </w:tc>
        <w:tc>
          <w:tcPr>
            <w:tcW w:w="2369"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1 560 585</w:t>
            </w:r>
          </w:p>
        </w:tc>
        <w:tc>
          <w:tcPr>
            <w:tcW w:w="2126"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bl>
    <w:p>
      <w:pPr>
        <w:pStyle w:val="1"/>
        <w:jc w:val="center"/>
        <w:rPr>
          <w:rFonts w:ascii="Times New Roman" w:hAnsi="Times New Roman" w:eastAsia="Times New Roman" w:cs="Times New Roman"/>
          <w:color w:val="00000A"/>
          <w:lang w:eastAsia="ru-RU"/>
        </w:rPr>
      </w:pPr>
      <w:bookmarkStart w:id="24" w:name="_Toc431397871"/>
      <w:r>
        <w:rPr>
          <w:rFonts w:cs="Times New Roman" w:ascii="Times New Roman" w:hAnsi="Times New Roman"/>
          <w:color w:val="00000A"/>
        </w:rPr>
        <w:t>Підпрограма «</w:t>
      </w:r>
      <w:bookmarkEnd w:id="24"/>
      <w:r>
        <w:rPr>
          <w:rFonts w:eastAsia="Times New Roman" w:cs="Times New Roman" w:ascii="Times New Roman" w:hAnsi="Times New Roman"/>
          <w:color w:val="00000A"/>
          <w:lang w:eastAsia="ru-RU"/>
        </w:rPr>
        <w:t>Виховання та позашкільна освіта»</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Позашкільна освіта є складовою системи неперервної освіти, яка забезпечує розвиток здібностей і обдарувань дітей та молоді, задоволення їх інтересів, духовних запитів і потреб у професійному визначенні.</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Статус позашкільної освіти законодавчо закріплений як самостійна складова системи освіти, зміст якої базується на ідеї освіти як чинника розвитку особистості.</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У системі освіти Києва функціонує 41 позашкільний навчальний заклад. Ці осередки відвідує  80 791 дитина (що становить 32 % від загальної кількості школярів міста).</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Для створення умов та механізмів сталого розвитку системи позашкільної освіти столиці необхідно:</w:t>
      </w:r>
    </w:p>
    <w:p>
      <w:pPr>
        <w:pStyle w:val="Normal"/>
        <w:numPr>
          <w:ilvl w:val="0"/>
          <w:numId w:val="5"/>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зберігати та розвивати мережу закладів позашкільної освіти дітей та молоді міста Києва;</w:t>
      </w:r>
    </w:p>
    <w:p>
      <w:pPr>
        <w:pStyle w:val="Normal"/>
        <w:numPr>
          <w:ilvl w:val="0"/>
          <w:numId w:val="5"/>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забезпечувати державні гарантії доступності та рівних можливостей здобуття позашкільної освіти, ефективність та якість позашкільної освіти дітей;</w:t>
      </w:r>
    </w:p>
    <w:p>
      <w:pPr>
        <w:pStyle w:val="Normal"/>
        <w:numPr>
          <w:ilvl w:val="0"/>
          <w:numId w:val="5"/>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зберігати єдиний освітній простір на основі наступності змісту загальноосвітньої та позашкільної освіти;</w:t>
      </w:r>
    </w:p>
    <w:p>
      <w:pPr>
        <w:pStyle w:val="Normal"/>
        <w:numPr>
          <w:ilvl w:val="0"/>
          <w:numId w:val="5"/>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зберігати та розвивати міжвідомчий характер системи позашкільної освіти;</w:t>
      </w:r>
    </w:p>
    <w:p>
      <w:pPr>
        <w:pStyle w:val="Normal"/>
        <w:numPr>
          <w:ilvl w:val="0"/>
          <w:numId w:val="5"/>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удосконалювати зміст, організаційні форми, методи та технології позашкільної освіти;</w:t>
      </w:r>
    </w:p>
    <w:p>
      <w:pPr>
        <w:pStyle w:val="Normal"/>
        <w:numPr>
          <w:ilvl w:val="0"/>
          <w:numId w:val="5"/>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створювати та розвивати нові інформаційні технології;</w:t>
      </w:r>
    </w:p>
    <w:p>
      <w:pPr>
        <w:pStyle w:val="Normal"/>
        <w:numPr>
          <w:ilvl w:val="0"/>
          <w:numId w:val="5"/>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розробити та затвердити блок ресурсного забезпечення позашкільної освіти;</w:t>
      </w:r>
    </w:p>
    <w:p>
      <w:pPr>
        <w:pStyle w:val="Normal"/>
        <w:numPr>
          <w:ilvl w:val="0"/>
          <w:numId w:val="5"/>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розвивати позашкільну освіту дітей як відкриту державну  й суспільну систему на основі розподілу відповідальності між суб’єктами освітньої політики та підвищення ролі всіх учасників освітнього процесу: дітей, педагогів, батьків.</w:t>
      </w:r>
    </w:p>
    <w:p>
      <w:pPr>
        <w:sectPr>
          <w:headerReference w:type="default" r:id="rId13"/>
          <w:headerReference w:type="first" r:id="rId14"/>
          <w:type w:val="nextPage"/>
          <w:pgSz w:orient="landscape" w:w="16838" w:h="11906"/>
          <w:pgMar w:left="851" w:right="851" w:header="709" w:top="993" w:footer="0" w:bottom="1134" w:gutter="0"/>
          <w:pgNumType w:fmt="decimal"/>
          <w:formProt w:val="false"/>
          <w:titlePg/>
          <w:textDirection w:val="lrTb"/>
          <w:docGrid w:type="default" w:linePitch="360" w:charSpace="4294965247"/>
        </w:sectPr>
        <w:pStyle w:val="Normal"/>
        <w:rPr>
          <w:rStyle w:val="22"/>
          <w:rFonts w:eastAsia="ＭＳ ゴシック" w:cs="Times New Roman" w:eastAsiaTheme="majorEastAsia"/>
          <w:bCs/>
          <w:color w:val="00000A"/>
          <w:szCs w:val="28"/>
        </w:rPr>
      </w:pPr>
      <w:r>
        <w:rPr>
          <w:rFonts w:eastAsia="ＭＳ ゴシック" w:cs="Times New Roman" w:eastAsiaTheme="majorEastAsia"/>
          <w:bCs/>
          <w:color w:val="00000A"/>
          <w:szCs w:val="28"/>
        </w:rPr>
      </w:r>
    </w:p>
    <w:p>
      <w:pPr>
        <w:pStyle w:val="2"/>
        <w:spacing w:before="120" w:after="120"/>
        <w:jc w:val="center"/>
        <w:rPr>
          <w:rFonts w:ascii="Times New Roman" w:hAnsi="Times New Roman" w:cs="Times New Roman"/>
          <w:b w:val="false"/>
          <w:b w:val="false"/>
          <w:color w:val="00000A"/>
          <w:sz w:val="28"/>
          <w:szCs w:val="28"/>
        </w:rPr>
      </w:pPr>
      <w:bookmarkStart w:id="25" w:name="_Toc431397872"/>
      <w:r>
        <w:rPr>
          <w:rStyle w:val="22"/>
          <w:rFonts w:cs="Times New Roman"/>
          <w:b w:val="false"/>
          <w:color w:val="00000A"/>
          <w:szCs w:val="28"/>
        </w:rPr>
        <w:t>Напрями діяльності, завдання та заходи</w:t>
      </w:r>
      <w:r>
        <w:rPr>
          <w:rFonts w:cs="Times New Roman" w:ascii="Times New Roman" w:hAnsi="Times New Roman"/>
          <w:b w:val="false"/>
          <w:color w:val="00000A"/>
          <w:sz w:val="28"/>
          <w:szCs w:val="28"/>
        </w:rPr>
        <w:t xml:space="preserve"> підпрограми «</w:t>
      </w:r>
      <w:bookmarkEnd w:id="25"/>
      <w:r>
        <w:rPr>
          <w:rFonts w:eastAsia="Times New Roman" w:cs="Times New Roman" w:ascii="Times New Roman" w:hAnsi="Times New Roman"/>
          <w:b w:val="false"/>
          <w:color w:val="00000A"/>
          <w:sz w:val="28"/>
          <w:szCs w:val="28"/>
          <w:lang w:eastAsia="ru-RU"/>
        </w:rPr>
        <w:t>Виховання та позашкільна освіта»</w:t>
      </w:r>
    </w:p>
    <w:tbl>
      <w:tblPr>
        <w:tblW w:w="15309"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566"/>
        <w:gridCol w:w="1984"/>
        <w:gridCol w:w="2694"/>
        <w:gridCol w:w="1311"/>
        <w:gridCol w:w="2269"/>
        <w:gridCol w:w="1665"/>
        <w:gridCol w:w="2408"/>
        <w:gridCol w:w="2410"/>
      </w:tblGrid>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Назва напряму діяльності (пріоритетні завдання)</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Заходи підпрограми</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Терміни виконання заходу</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Виконавці</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Джерела фінансування</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Орієнтовні обсяги фінансування (вартість), тис. гривень, у тому числі за роками:</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Очікуваний результат</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1</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3</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4</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5</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6</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7</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8</w:t>
            </w:r>
          </w:p>
        </w:tc>
      </w:tr>
      <w:tr>
        <w:trPr>
          <w:trHeight w:val="4671" w:hRule="atLeast"/>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1</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Реалізація заходів щодо збереження мережі позашкільних навчальних закладів</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Забезпечити належне функціонування позашкільних навчальних закладів</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Бюджет м. Києва, власні надходження</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Усього:</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742 370,5</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200" w:after="0"/>
              <w:rPr>
                <w:rFonts w:ascii="Times New Roman" w:hAnsi="Times New Roman" w:cs="Times New Roman"/>
                <w:sz w:val="12"/>
                <w:szCs w:val="12"/>
              </w:rPr>
            </w:pPr>
            <w:r>
              <w:rPr>
                <w:rFonts w:cs="Times New Roman" w:ascii="Times New Roman" w:hAnsi="Times New Roman"/>
                <w:sz w:val="12"/>
                <w:szCs w:val="12"/>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Загальний фонд:</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718 959,5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у тому числі:                                 2016 р.  – 223 616,6 2017 р. -  241 022,8 2018 р. – 254 320,1 </w:t>
            </w:r>
          </w:p>
          <w:p>
            <w:pPr>
              <w:pStyle w:val="Normal"/>
              <w:spacing w:lineRule="auto" w:line="240" w:before="200" w:after="0"/>
              <w:rPr>
                <w:rFonts w:ascii="Times New Roman" w:hAnsi="Times New Roman" w:cs="Times New Roman"/>
                <w:sz w:val="12"/>
                <w:szCs w:val="12"/>
              </w:rPr>
            </w:pPr>
            <w:r>
              <w:rPr>
                <w:rFonts w:cs="Times New Roman" w:ascii="Times New Roman" w:hAnsi="Times New Roman"/>
                <w:sz w:val="12"/>
                <w:szCs w:val="12"/>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власні надходження: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23 411,0</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у тому числі:                                 2016 р. – 7 287,6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2017 р. – 7 845,0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2018 р. – 8 278,4 </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Задоволення потреб мешканців столиці в позашкільній освіті</w:t>
            </w:r>
          </w:p>
        </w:tc>
      </w:tr>
      <w:tr>
        <w:trPr>
          <w:trHeight w:val="288" w:hRule="atLeast"/>
        </w:trPr>
        <w:tc>
          <w:tcPr>
            <w:tcW w:w="8824"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Разом:</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742 370,5</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c>
          <w:tcPr>
            <w:tcW w:w="5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w:t>
            </w:r>
          </w:p>
        </w:tc>
        <w:tc>
          <w:tcPr>
            <w:tcW w:w="19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Виявлення, підтримка та розвиток вихованців за науково-технічним напрямом</w:t>
            </w:r>
          </w:p>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 </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Забезпечити участь дітей і учнівської молоді в міських, всеукраїнських та міжнародних заходах з науково-технічної творчості</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w:t>
              <w:br/>
            </w:r>
            <w:r>
              <w:rPr>
                <w:rFonts w:cs="Times New Roman" w:ascii="Times New Roman" w:hAnsi="Times New Roman"/>
                <w:sz w:val="24"/>
                <w:szCs w:val="24"/>
              </w:rPr>
              <w:t>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м. Києва </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rPr/>
            </w:pPr>
            <w:r>
              <w:rPr>
                <w:rFonts w:cs="Times New Roman" w:ascii="Times New Roman" w:hAnsi="Times New Roman"/>
                <w:color w:val="000000"/>
                <w:sz w:val="24"/>
                <w:szCs w:val="24"/>
              </w:rPr>
              <w:t>Усього</w:t>
            </w:r>
            <w:r>
              <w:rPr/>
              <w:t xml:space="preserve">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загальний фонд:</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3 427,6  </w:t>
              <w:br/>
              <w:t xml:space="preserve">у тому числі:                                 2016 р.  – 1 064,0 2017 р. -   1 150,2 2018 р. –  1 213,4            </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Підтримка та популяризація науково-технічної творчості</w:t>
            </w:r>
          </w:p>
        </w:tc>
      </w:tr>
      <w:tr>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rPr>
                <w:rFonts w:ascii="Times New Roman" w:hAnsi="Times New Roman" w:cs="Times New Roman"/>
                <w:color w:val="000000"/>
                <w:sz w:val="24"/>
                <w:szCs w:val="24"/>
                <w:lang w:val="ru-RU"/>
              </w:rPr>
            </w:pPr>
            <w:r>
              <w:rPr>
                <w:rFonts w:cs="Times New Roman" w:ascii="Times New Roman" w:hAnsi="Times New Roman"/>
                <w:color w:val="000000"/>
                <w:sz w:val="24"/>
                <w:szCs w:val="24"/>
              </w:rPr>
              <w:t>Забезпечити виплату персональних стипендій Київської міської ради в галузі освіти для обдарованих дітей міста Києва</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lang w:val="ru-RU"/>
              </w:rPr>
              <w:t>(</w:t>
            </w:r>
            <w:r>
              <w:rPr>
                <w:rFonts w:cs="Times New Roman" w:ascii="Times New Roman" w:hAnsi="Times New Roman"/>
                <w:color w:val="000000"/>
                <w:sz w:val="24"/>
                <w:szCs w:val="24"/>
              </w:rPr>
              <w:t>рішення Київської міської ради від</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15 .03.2015 № 207/7544 «Про персональні стипендії Київської міської ради в галузі освіти для обдарованих дітей міста Києва»)</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Бюджет м. Києва</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rPr/>
            </w:pPr>
            <w:r>
              <w:rPr>
                <w:rFonts w:cs="Times New Roman" w:ascii="Times New Roman" w:hAnsi="Times New Roman"/>
                <w:color w:val="000000"/>
                <w:sz w:val="24"/>
                <w:szCs w:val="24"/>
              </w:rPr>
              <w:t>Усього</w:t>
            </w:r>
            <w:r>
              <w:rPr/>
              <w:t xml:space="preserve">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загальний фонд:</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900,0  </w:t>
              <w:br/>
              <w:t>у тому числі:                                 2016 р. – 300,0</w:t>
              <w:br/>
              <w:t>2017 р. – 300,0</w:t>
              <w:br/>
              <w:t xml:space="preserve">2018 р. – 300,0            </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Підтримка обдарованих дітей міста Києва</w:t>
            </w:r>
          </w:p>
        </w:tc>
      </w:tr>
      <w:tr>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Забезпечити організацію дозвілля під час канікул, проведення новорічних та різдвяних свят</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Бюджет м. Києва</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rPr/>
            </w:pPr>
            <w:r>
              <w:rPr>
                <w:rFonts w:cs="Times New Roman" w:ascii="Times New Roman" w:hAnsi="Times New Roman"/>
                <w:color w:val="000000"/>
                <w:sz w:val="24"/>
                <w:szCs w:val="24"/>
              </w:rPr>
              <w:t>Усього</w:t>
            </w:r>
            <w:r>
              <w:rPr/>
              <w:t xml:space="preserve">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загальний фонд:</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3 300,0  </w:t>
              <w:br/>
              <w:t>у тому числі:                                 2016 р. – 1 000,0</w:t>
              <w:br/>
              <w:t>2017 р. – 1 100,0</w:t>
              <w:br/>
              <w:t xml:space="preserve">2018 р. – 1 200,0            </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Задоволення потреб мешканців столиці в позашкільній освіті</w:t>
            </w:r>
          </w:p>
        </w:tc>
      </w:tr>
      <w:tr>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Сприяти проведенню науково-практичних семінарів, тренінгів, «круглих столів», конференцій з метою  підвищення професійної компетентності педагогів, які працюють з   талановитими дітьми та молоддю</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Не потребує фінансування</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 </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Накопичення та використання найкращого педагогічного досвіду, підвищення професійної майстерності педагогічних керівників</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825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Разом:</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bCs/>
                <w:sz w:val="24"/>
                <w:szCs w:val="24"/>
              </w:rPr>
            </w:pPr>
            <w:r>
              <w:rPr>
                <w:rFonts w:cs="Times New Roman" w:ascii="Times New Roman" w:hAnsi="Times New Roman"/>
                <w:bCs/>
                <w:sz w:val="24"/>
                <w:szCs w:val="24"/>
              </w:rPr>
              <w:t>7 627,6</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rHeight w:val="2540" w:hRule="atLeast"/>
        </w:trPr>
        <w:tc>
          <w:tcPr>
            <w:tcW w:w="5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3</w:t>
            </w:r>
          </w:p>
        </w:tc>
        <w:tc>
          <w:tcPr>
            <w:tcW w:w="19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Інформування учнівської та студентської молоді з питань євроатлантичної інтеграції</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Забезпечити участь учнівської та студентської молоді в освітніх і наукових програмах, проектах, конкурсах та фестивалях міжнародних організацій і фондів</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w:t>
            </w:r>
          </w:p>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м. Києва</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Усього</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загальний фонд: 966,4 </w:t>
              <w:br/>
              <w:t xml:space="preserve">у тому числі:                                 2016 р. – 300,0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2017 р. – 324,3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2018 р. – 342,1</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Зміцнення й розвиток національно-культурних зв’язків студентської та учнівської молоді з молоддю країн світу</w:t>
            </w:r>
          </w:p>
        </w:tc>
      </w:tr>
      <w:tr>
        <w:trPr>
          <w:trHeight w:val="2958" w:hRule="atLeast"/>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Забезпечити участь дітей у міських, всеукраїнських, міжнародних конкурсах, змаганнях, фестивалях тощо, відповідно до затверджених Міністерством освіти і науки України планів та заходів</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Бюджет м. Києва</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pPr>
            <w:r>
              <w:rPr>
                <w:rFonts w:cs="Times New Roman" w:ascii="Times New Roman" w:hAnsi="Times New Roman"/>
                <w:color w:val="000000"/>
                <w:sz w:val="24"/>
                <w:szCs w:val="24"/>
              </w:rPr>
              <w:t>Усього</w:t>
            </w:r>
            <w:r>
              <w:rPr/>
              <w:t xml:space="preserve">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загальний фонд: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1 804,1  </w:t>
              <w:br/>
              <w:t xml:space="preserve">у тому числі:                                 2016 р.  - 560,0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2017 р. -  605,4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2018 р. – 638,7</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Реалізація потенціалу, розвиток здібностей дітей та молоді шляхом участі в міських, всеукраїнських, міжнародних конкурсах, змаганнях, фестивалях тощо</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4</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Використання науково-технічного, історичного потенціалу столиці</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Продовжити співпрацю позашкільних навчальних закладів з вищими навчальними закладами, науковими установами НАН України, науковими установами АПН України, музеями, громадськими організаціями, щодо організації науково-технічної, дослідницької роботи з дітьми столиці</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Не потребує фінансування</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Calibri" w:hAnsi="Calibri" w:cs="Calibri"/>
                <w:color w:val="000000"/>
              </w:rPr>
            </w:pPr>
            <w:r>
              <w:rPr>
                <w:rFonts w:cs="Calibri"/>
                <w:color w:val="000000"/>
              </w:rPr>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Створення умов для інтелектуального, духовного, творчого розвитку, професійного самовизначення учнівської молоді</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Разом:</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bCs/>
                <w:sz w:val="24"/>
                <w:szCs w:val="24"/>
              </w:rPr>
            </w:pPr>
            <w:r>
              <w:rPr>
                <w:rFonts w:cs="Times New Roman" w:ascii="Times New Roman" w:hAnsi="Times New Roman"/>
                <w:bCs/>
                <w:sz w:val="24"/>
                <w:szCs w:val="24"/>
              </w:rPr>
              <w:t>2 770,5</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c>
          <w:tcPr>
            <w:tcW w:w="5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5</w:t>
            </w:r>
          </w:p>
        </w:tc>
        <w:tc>
          <w:tcPr>
            <w:tcW w:w="19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Розвиток інтелектуальних видів спорту в системі освіти</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Забезпечити проведення спортивно-масових заходів із шахів</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Бюджет м. Києва</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Усього</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загальний фонд:</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1 197,5  </w:t>
              <w:br/>
              <w:t>у тому числі:                                 2016 р.  - 365,0         2017 р. -  405,8     2018 р. – 426,7</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Виховання здорового способу життя учнів</w:t>
            </w:r>
          </w:p>
        </w:tc>
      </w:tr>
      <w:tr>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Забезпечити створення умов для збереження єдиного освітнього простору у взаємодії позашкільної освіти  з різними рівнями освіти</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Не потребує фінансування</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Посилення особистої орієнтації, комплексності, забезпечення наступності, посилення творчої, практичної і соціальної складової змісту освіти</w:t>
            </w:r>
          </w:p>
        </w:tc>
      </w:tr>
      <w:tr>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Сприяти створенню багатопрофільних і різнопрофільних освітніх центрів, які інтегрують загальну середню і позашкільну освіту</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Не потребує фінансування</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Розвиток позашкільної освіти в освітніх закладах різного типу і виду. Результативна взаємодія освітніх закладів столиці.</w:t>
            </w:r>
          </w:p>
        </w:tc>
      </w:tr>
      <w:tr>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Забезпечити розробку та апробацію міських цільових проектів «Музейна справа як фактор соціалізації дітей та молоді у виховному просторі Києва»</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Департамент освіти і науки, молоді та спорту, </w:t>
            </w:r>
          </w:p>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управління освіти, </w:t>
              <w:br/>
              <w:t>ІППО Київського університету імені Бориса Грінченка,  позашкільні навчальні заклади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Не потребує фінансування</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Ефективне використання історичного, наукового, культурного, спортивного потенціалу столиці для розвитку юних киян</w:t>
            </w:r>
          </w:p>
        </w:tc>
      </w:tr>
      <w:tr>
        <w:trPr>
          <w:trHeight w:val="4099" w:hRule="atLeast"/>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Сприяти розширенню взаємодії загальноосвітньої і позашкільної освіти в рамках реалізації профільного навчання</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Департамент освіти і науки, молоді та спорту, </w:t>
            </w:r>
          </w:p>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управління освіти, </w:t>
              <w:br/>
              <w:t xml:space="preserve">ІППО Київського університету </w:t>
              <w:br/>
              <w:t>імені Бориса Грінченка, позашкільні навчальні заклади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Не потребує фінансування</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Використання освітнього потенціалу позашкільних навчальних закладів для здійснення індивідуально-особистісного маршруту профільного навчання старшокласників, пошук шляхів їх професійного самовизначення</w:t>
            </w:r>
          </w:p>
        </w:tc>
      </w:tr>
      <w:tr>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Забезпечити соціально – педагогічну, психолого-педагогічну підтримку дітей «групи ризику» через розвиток програм канікулярного відпочинку та зайнятості в системі позашкільної освіти</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Не потребує фінансування</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Профілактика асоціальної поведінки дітей та підлітків, залучення їх до активного соціального життя,    формування ефективних навичок міжособистісного спілкування. Розвиток форм пропаганди толерантної поведінки</w:t>
            </w:r>
          </w:p>
        </w:tc>
      </w:tr>
      <w:tr>
        <w:trPr>
          <w:trHeight w:val="384" w:hRule="atLeast"/>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825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sz w:val="24"/>
                <w:szCs w:val="24"/>
              </w:rPr>
              <w:t>Разом:</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bCs/>
                <w:color w:val="000000"/>
                <w:sz w:val="24"/>
                <w:szCs w:val="24"/>
              </w:rPr>
            </w:pPr>
            <w:r>
              <w:rPr>
                <w:rFonts w:cs="Times New Roman" w:ascii="Times New Roman" w:hAnsi="Times New Roman"/>
                <w:bCs/>
                <w:color w:val="000000"/>
                <w:sz w:val="24"/>
                <w:szCs w:val="24"/>
              </w:rPr>
              <w:t>1 197,5</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c>
          <w:tcPr>
            <w:tcW w:w="5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6</w:t>
            </w:r>
          </w:p>
        </w:tc>
        <w:tc>
          <w:tcPr>
            <w:tcW w:w="19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Національно-патріотичне виховання дітей та молоді</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Забезпечити реалізацію положень Концепції національно-патріотичного виховання дітей та молоді шляхом впровадження освітніх проектів та програм, спрямованих на виховання патріотичних якостей, національної гідності дітей та молоді (наказ Міністерства освіти  України від 16.06.2015 № 641 </w:t>
            </w:r>
            <w:r>
              <w:rPr>
                <w:rFonts w:cs="Times New Roman" w:ascii="Times New Roman" w:hAnsi="Times New Roman"/>
                <w:b/>
                <w:color w:val="000000"/>
                <w:sz w:val="24"/>
                <w:szCs w:val="24"/>
              </w:rPr>
              <w:t>«</w:t>
            </w:r>
            <w:r>
              <w:rPr>
                <w:rStyle w:val="Strong"/>
                <w:rFonts w:cs="Times New Roman" w:ascii="Times New Roman" w:hAnsi="Times New Roman"/>
                <w:b w:val="false"/>
                <w:sz w:val="24"/>
                <w:szCs w:val="24"/>
              </w:rPr>
              <w:t>Про затвердження Концепції національно-патріотичного</w:t>
            </w:r>
            <w:r>
              <w:rPr>
                <w:rFonts w:cs="Times New Roman" w:ascii="Times New Roman" w:hAnsi="Times New Roman"/>
                <w:b/>
                <w:bCs/>
                <w:sz w:val="24"/>
                <w:szCs w:val="24"/>
              </w:rPr>
              <w:br/>
            </w:r>
            <w:r>
              <w:rPr>
                <w:rStyle w:val="Strong"/>
                <w:rFonts w:cs="Times New Roman" w:ascii="Times New Roman" w:hAnsi="Times New Roman"/>
                <w:b w:val="false"/>
                <w:sz w:val="24"/>
                <w:szCs w:val="24"/>
              </w:rPr>
              <w:t>виховання дітей і молоді, Заходів щодо реалізації</w:t>
            </w:r>
            <w:r>
              <w:rPr>
                <w:rFonts w:cs="Times New Roman" w:ascii="Times New Roman" w:hAnsi="Times New Roman"/>
                <w:b/>
                <w:bCs/>
                <w:sz w:val="24"/>
                <w:szCs w:val="24"/>
              </w:rPr>
              <w:br/>
            </w:r>
            <w:r>
              <w:rPr>
                <w:rStyle w:val="Strong"/>
                <w:rFonts w:cs="Times New Roman" w:ascii="Times New Roman" w:hAnsi="Times New Roman"/>
                <w:b w:val="false"/>
                <w:sz w:val="24"/>
                <w:szCs w:val="24"/>
              </w:rPr>
              <w:t>Концепції національно-патріотичного виховання дітей</w:t>
            </w:r>
            <w:r>
              <w:rPr>
                <w:rFonts w:cs="Times New Roman" w:ascii="Times New Roman" w:hAnsi="Times New Roman"/>
                <w:b/>
                <w:bCs/>
                <w:sz w:val="24"/>
                <w:szCs w:val="24"/>
              </w:rPr>
              <w:br/>
            </w:r>
            <w:r>
              <w:rPr>
                <w:rStyle w:val="Strong"/>
                <w:rFonts w:cs="Times New Roman" w:ascii="Times New Roman" w:hAnsi="Times New Roman"/>
                <w:b w:val="false"/>
                <w:sz w:val="24"/>
                <w:szCs w:val="24"/>
              </w:rPr>
              <w:t>і молоді та методичних рекомендацій щодо</w:t>
            </w:r>
            <w:r>
              <w:rPr>
                <w:rFonts w:cs="Times New Roman" w:ascii="Times New Roman" w:hAnsi="Times New Roman"/>
                <w:b/>
                <w:bCs/>
                <w:sz w:val="24"/>
                <w:szCs w:val="24"/>
              </w:rPr>
              <w:br/>
            </w:r>
            <w:r>
              <w:rPr>
                <w:rStyle w:val="Strong"/>
                <w:rFonts w:cs="Times New Roman" w:ascii="Times New Roman" w:hAnsi="Times New Roman"/>
                <w:b w:val="false"/>
                <w:sz w:val="24"/>
                <w:szCs w:val="24"/>
              </w:rPr>
              <w:t>національно-патріотичного виховання y</w:t>
            </w:r>
            <w:r>
              <w:rPr>
                <w:rFonts w:cs="Times New Roman" w:ascii="Times New Roman" w:hAnsi="Times New Roman"/>
                <w:b/>
                <w:bCs/>
                <w:sz w:val="24"/>
                <w:szCs w:val="24"/>
              </w:rPr>
              <w:br/>
            </w:r>
            <w:r>
              <w:rPr>
                <w:rStyle w:val="Strong"/>
                <w:rFonts w:cs="Times New Roman" w:ascii="Times New Roman" w:hAnsi="Times New Roman"/>
                <w:b w:val="false"/>
                <w:sz w:val="24"/>
                <w:szCs w:val="24"/>
              </w:rPr>
              <w:t>загальноосвітніх навчальних закладах</w:t>
            </w:r>
            <w:r>
              <w:rPr>
                <w:rFonts w:cs="Times New Roman" w:ascii="Times New Roman" w:hAnsi="Times New Roman"/>
                <w:b/>
                <w:color w:val="000000"/>
                <w:sz w:val="24"/>
                <w:szCs w:val="24"/>
              </w:rPr>
              <w:t>»)</w:t>
            </w:r>
            <w:r>
              <w:rPr>
                <w:rFonts w:cs="Times New Roman" w:ascii="Times New Roman" w:hAnsi="Times New Roman"/>
                <w:color w:val="000000"/>
                <w:sz w:val="24"/>
                <w:szCs w:val="24"/>
              </w:rPr>
              <w:t xml:space="preserve">  </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Не потребує фінансування</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w:t>
            </w:r>
          </w:p>
        </w:tc>
        <w:tc>
          <w:tcPr>
            <w:tcW w:w="24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Формування патріотичного ставлення молодого покоління до свого міста, держави, почуття гідності громадянина своєї країни</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Забезпечити реалізацію Національно-патріотичного проекту учнівської молоді столиці «Нам Україна вище над усе!» </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w:t>
              <w:br/>
              <w:t>м. Києва</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pPr>
            <w:r>
              <w:rPr>
                <w:rFonts w:cs="Times New Roman" w:ascii="Times New Roman" w:hAnsi="Times New Roman"/>
                <w:color w:val="000000"/>
                <w:sz w:val="24"/>
                <w:szCs w:val="24"/>
              </w:rPr>
              <w:t>Усього</w:t>
            </w:r>
            <w:r>
              <w:rPr/>
              <w:t xml:space="preserve">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загальний фонд: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96,6 </w:t>
              <w:br/>
              <w:t>у тому числі:                                 2016 р.  - 30,0</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2017 р. - 32,4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2018 р. – 34,2   </w:t>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Забезпечити проведення заходів національно-патріотичного спрямування</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w:t>
              <w:br/>
              <w:t>м. Києва</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pPr>
            <w:r>
              <w:rPr>
                <w:rFonts w:cs="Times New Roman" w:ascii="Times New Roman" w:hAnsi="Times New Roman"/>
                <w:color w:val="000000"/>
                <w:sz w:val="24"/>
                <w:szCs w:val="24"/>
              </w:rPr>
              <w:t>Усього</w:t>
            </w:r>
            <w:r>
              <w:rPr/>
              <w:t xml:space="preserve">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загальний фонд:  644,3  </w:t>
              <w:br/>
              <w:t xml:space="preserve">у тому числі:                                 2016 р.  -  200,0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2017 р. -   216,2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2018 р. –  228,1      </w:t>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825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Разом:</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bCs/>
                <w:sz w:val="24"/>
                <w:szCs w:val="24"/>
              </w:rPr>
            </w:pPr>
            <w:r>
              <w:rPr>
                <w:rFonts w:cs="Times New Roman" w:ascii="Times New Roman" w:hAnsi="Times New Roman"/>
                <w:bCs/>
                <w:sz w:val="24"/>
                <w:szCs w:val="24"/>
              </w:rPr>
              <w:t>740,9</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c>
          <w:tcPr>
            <w:tcW w:w="56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7</w:t>
            </w:r>
          </w:p>
        </w:tc>
        <w:tc>
          <w:tcPr>
            <w:tcW w:w="19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Розвиток державно-громадського управління освітою</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w:t>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Сприяти розвитку мережі дитячих громадських об’єднань, учнівського самоврядування; підтримувати дитячі соціальні ініціативи</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Не потребує фінансування</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Виховання соціально активного громадянина </w:t>
            </w:r>
          </w:p>
        </w:tc>
      </w:tr>
      <w:tr>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Сприяти створенню та реалізації медіа-проекту учнівської молоді м. Києва «Україна — єдина країна»</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w:t>
              <w:br/>
              <w:t>м. Києва</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pPr>
            <w:r>
              <w:rPr>
                <w:rFonts w:cs="Times New Roman" w:ascii="Times New Roman" w:hAnsi="Times New Roman"/>
                <w:color w:val="000000"/>
                <w:sz w:val="24"/>
                <w:szCs w:val="24"/>
              </w:rPr>
              <w:t>Усього</w:t>
            </w:r>
            <w:r>
              <w:rPr/>
              <w:t xml:space="preserve">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загальний фонд: 721,5</w:t>
              <w:br/>
              <w:t>у тому числі:</w:t>
              <w:br/>
              <w:t xml:space="preserve">2016 р. – 224,0 </w:t>
              <w:br/>
              <w:t xml:space="preserve">2017 р. – 242,1 </w:t>
              <w:br/>
              <w:t xml:space="preserve">2018 р. - 255,4 </w:t>
            </w:r>
          </w:p>
        </w:tc>
        <w:tc>
          <w:tcPr>
            <w:tcW w:w="24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Залучення учнівської молоді столиці до соціальної активності в громадському та культурному житті міста, держави </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w:t>
            </w:r>
          </w:p>
        </w:tc>
      </w:tr>
      <w:tr>
        <w:trPr/>
        <w:tc>
          <w:tcPr>
            <w:tcW w:w="56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Забезпечити проведення заходів щодо реалізації державно-громадського управління освітою</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2016-2018</w:t>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Департамент освіти і науки, молоді та спорту, районні в    місті Києві державні адміністрації, управління освіти</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w:t>
              <w:br/>
              <w:t>м. Києва</w:t>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Усього</w:t>
            </w:r>
          </w:p>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загальний фонд: 322,0 </w:t>
              <w:br/>
              <w:t>у тому числі:</w:t>
              <w:br/>
              <w:t xml:space="preserve">2016 р. – 100,0 </w:t>
              <w:br/>
              <w:t xml:space="preserve">2017 р. – 108,0 </w:t>
              <w:br/>
              <w:t xml:space="preserve">2018 р. – 114,0 </w:t>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color w:val="000000"/>
                <w:sz w:val="24"/>
                <w:szCs w:val="24"/>
              </w:rPr>
            </w:pPr>
            <w:r>
              <w:rPr>
                <w:rFonts w:cs="Times New Roman" w:ascii="Times New Roman" w:hAnsi="Times New Roman"/>
                <w:color w:val="000000"/>
                <w:sz w:val="24"/>
                <w:szCs w:val="24"/>
              </w:rPr>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8258"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Разом:</w:t>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bCs/>
                <w:sz w:val="24"/>
                <w:szCs w:val="24"/>
              </w:rPr>
            </w:pPr>
            <w:r>
              <w:rPr>
                <w:rFonts w:cs="Times New Roman" w:ascii="Times New Roman" w:hAnsi="Times New Roman"/>
                <w:bCs/>
                <w:sz w:val="24"/>
                <w:szCs w:val="24"/>
              </w:rPr>
              <w:t>1 043,5</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26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8"/>
                <w:szCs w:val="28"/>
              </w:rPr>
            </w:pPr>
            <w:r>
              <w:rPr>
                <w:rFonts w:cs="Times New Roman" w:ascii="Times New Roman" w:hAnsi="Times New Roman"/>
                <w:sz w:val="28"/>
                <w:szCs w:val="28"/>
              </w:rPr>
              <w:t>УСЬОГО:</w:t>
            </w:r>
          </w:p>
        </w:tc>
        <w:tc>
          <w:tcPr>
            <w:tcW w:w="13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2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6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40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200" w:after="0"/>
              <w:jc w:val="center"/>
              <w:rPr>
                <w:rFonts w:ascii="Times New Roman" w:hAnsi="Times New Roman" w:cs="Times New Roman"/>
                <w:color w:val="000000"/>
                <w:sz w:val="24"/>
                <w:szCs w:val="24"/>
              </w:rPr>
            </w:pPr>
            <w:r>
              <w:rPr>
                <w:rFonts w:cs="Times New Roman" w:ascii="Times New Roman" w:hAnsi="Times New Roman"/>
                <w:color w:val="000000"/>
                <w:sz w:val="28"/>
                <w:szCs w:val="28"/>
              </w:rPr>
              <w:t>755 750,5</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у тому числі:  </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м. Києва  загальний фонд:  </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Усього: 732 339,5</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2016р. – 227 759,6  2017р. – 245 507,2   2018р. – 259 072,7  </w:t>
            </w:r>
          </w:p>
          <w:p>
            <w:pPr>
              <w:pStyle w:val="Normal"/>
              <w:spacing w:before="200" w:after="0"/>
              <w:rPr>
                <w:rFonts w:ascii="Times New Roman" w:hAnsi="Times New Roman" w:cs="Times New Roman"/>
                <w:color w:val="000000"/>
                <w:sz w:val="8"/>
                <w:szCs w:val="8"/>
              </w:rPr>
            </w:pPr>
            <w:r>
              <w:rPr>
                <w:rFonts w:cs="Times New Roman" w:ascii="Times New Roman" w:hAnsi="Times New Roman"/>
                <w:color w:val="000000"/>
                <w:sz w:val="8"/>
                <w:szCs w:val="8"/>
              </w:rPr>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Власні надходження </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Усього: 23 411,0</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у тому числі</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2016р. – 7 287,6  2017р. – 7 845,0   </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2018р. – 8 278,4</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bl>
    <w:p>
      <w:pPr>
        <w:pStyle w:val="Normal"/>
        <w:rPr>
          <w:rFonts w:ascii="Times New Roman" w:hAnsi="Times New Roman" w:eastAsia="ＭＳ ゴシック" w:cs="Times New Roman" w:eastAsiaTheme="majorEastAsia"/>
          <w:bCs/>
          <w:sz w:val="28"/>
          <w:szCs w:val="28"/>
        </w:rPr>
      </w:pPr>
      <w:bookmarkStart w:id="26" w:name="_Toc431397873"/>
      <w:r>
        <w:rPr>
          <w:rStyle w:val="22"/>
          <w:rFonts w:cs="Times New Roman"/>
          <w:b/>
          <w:color w:val="00000A"/>
          <w:szCs w:val="28"/>
        </w:rPr>
        <w:t xml:space="preserve">                                         </w:t>
      </w:r>
      <w:r>
        <w:rPr>
          <w:rStyle w:val="22"/>
          <w:rFonts w:cs="Times New Roman"/>
          <w:color w:val="00000A"/>
          <w:szCs w:val="28"/>
        </w:rPr>
        <w:t>Очікувані показники виконання підпрограми</w:t>
      </w:r>
      <w:bookmarkEnd w:id="26"/>
      <w:r>
        <w:rPr>
          <w:rFonts w:cs="Times New Roman" w:ascii="Times New Roman" w:hAnsi="Times New Roman"/>
          <w:sz w:val="28"/>
          <w:szCs w:val="28"/>
        </w:rPr>
        <w:t xml:space="preserve"> «Виховання та позашкільна освіта»</w:t>
      </w:r>
    </w:p>
    <w:tbl>
      <w:tblPr>
        <w:tblStyle w:val="a9"/>
        <w:tblW w:w="15383" w:type="dxa"/>
        <w:jc w:val="left"/>
        <w:tblInd w:w="0" w:type="dxa"/>
        <w:tblCellMar>
          <w:top w:w="0" w:type="dxa"/>
          <w:left w:w="108" w:type="dxa"/>
          <w:bottom w:w="0" w:type="dxa"/>
          <w:right w:w="108" w:type="dxa"/>
        </w:tblCellMar>
        <w:tblLook w:firstRow="1" w:noVBand="1" w:lastRow="0" w:firstColumn="1" w:lastColumn="0" w:noHBand="0" w:val="04a0"/>
      </w:tblPr>
      <w:tblGrid>
        <w:gridCol w:w="659"/>
        <w:gridCol w:w="5075"/>
        <w:gridCol w:w="1563"/>
        <w:gridCol w:w="1934"/>
        <w:gridCol w:w="1933"/>
        <w:gridCol w:w="1934"/>
        <w:gridCol w:w="2284"/>
      </w:tblGrid>
      <w:tr>
        <w:trPr>
          <w:trHeight w:val="510" w:hRule="atLeast"/>
        </w:trPr>
        <w:tc>
          <w:tcPr>
            <w:tcW w:w="659" w:type="dxa"/>
            <w:vMerge w:val="restart"/>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w:t>
            </w:r>
          </w:p>
        </w:tc>
        <w:tc>
          <w:tcPr>
            <w:tcW w:w="5075" w:type="dxa"/>
            <w:vMerge w:val="restart"/>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Обсяг коштів на виконання підпрограми</w:t>
            </w:r>
          </w:p>
        </w:tc>
        <w:tc>
          <w:tcPr>
            <w:tcW w:w="1563" w:type="dxa"/>
            <w:vMerge w:val="restart"/>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Одиниці вимірювання</w:t>
            </w:r>
          </w:p>
        </w:tc>
        <w:tc>
          <w:tcPr>
            <w:tcW w:w="5801" w:type="dxa"/>
            <w:gridSpan w:val="3"/>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Етапи виконання підпрограми за роками</w:t>
            </w:r>
          </w:p>
        </w:tc>
        <w:tc>
          <w:tcPr>
            <w:tcW w:w="2284" w:type="dxa"/>
            <w:vMerge w:val="restart"/>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Усього витрат на виконання підпрограми</w:t>
            </w:r>
          </w:p>
        </w:tc>
      </w:tr>
      <w:tr>
        <w:trPr>
          <w:trHeight w:val="399" w:hRule="atLeast"/>
        </w:trPr>
        <w:tc>
          <w:tcPr>
            <w:tcW w:w="659"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c>
          <w:tcPr>
            <w:tcW w:w="5075"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c>
          <w:tcPr>
            <w:tcW w:w="1563"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c>
          <w:tcPr>
            <w:tcW w:w="1934"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2016</w:t>
            </w:r>
          </w:p>
        </w:tc>
        <w:tc>
          <w:tcPr>
            <w:tcW w:w="193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2017</w:t>
            </w:r>
          </w:p>
        </w:tc>
        <w:tc>
          <w:tcPr>
            <w:tcW w:w="1934"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2018</w:t>
            </w:r>
          </w:p>
        </w:tc>
        <w:tc>
          <w:tcPr>
            <w:tcW w:w="2284"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r>
      <w:tr>
        <w:trPr>
          <w:trHeight w:val="418" w:hRule="atLeast"/>
        </w:trPr>
        <w:tc>
          <w:tcPr>
            <w:tcW w:w="15382" w:type="dxa"/>
            <w:gridSpan w:val="7"/>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Позашкільні заклади</w:t>
            </w:r>
          </w:p>
        </w:tc>
      </w:tr>
      <w:tr>
        <w:trPr>
          <w:trHeight w:val="510" w:hRule="atLeast"/>
        </w:trPr>
        <w:tc>
          <w:tcPr>
            <w:tcW w:w="659"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c>
          <w:tcPr>
            <w:tcW w:w="5075"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Бюджет м. Києва</w:t>
            </w:r>
          </w:p>
        </w:tc>
        <w:tc>
          <w:tcPr>
            <w:tcW w:w="156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тис. грн.</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235 047,200</w:t>
            </w:r>
          </w:p>
        </w:tc>
        <w:tc>
          <w:tcPr>
            <w:tcW w:w="1933"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253 352,200</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267 351,100</w:t>
            </w:r>
          </w:p>
        </w:tc>
        <w:tc>
          <w:tcPr>
            <w:tcW w:w="228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755 750,500</w:t>
            </w:r>
          </w:p>
        </w:tc>
      </w:tr>
      <w:tr>
        <w:trPr>
          <w:trHeight w:val="269" w:hRule="atLeast"/>
        </w:trPr>
        <w:tc>
          <w:tcPr>
            <w:tcW w:w="15382" w:type="dxa"/>
            <w:gridSpan w:val="7"/>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i/>
                <w:i/>
                <w:sz w:val="24"/>
                <w:szCs w:val="24"/>
              </w:rPr>
            </w:pPr>
            <w:r>
              <w:rPr>
                <w:rFonts w:eastAsia="ＭＳ ゴシック" w:cs="Times New Roman" w:ascii="Times New Roman" w:hAnsi="Times New Roman" w:eastAsiaTheme="majorEastAsia"/>
                <w:i/>
                <w:sz w:val="24"/>
                <w:szCs w:val="24"/>
                <w:lang w:eastAsia="uk-UA"/>
              </w:rPr>
              <w:t>Показники затрат</w:t>
            </w:r>
          </w:p>
        </w:tc>
      </w:tr>
      <w:tr>
        <w:trPr>
          <w:trHeight w:val="694" w:hRule="atLeast"/>
        </w:trPr>
        <w:tc>
          <w:tcPr>
            <w:tcW w:w="659"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1</w:t>
            </w:r>
          </w:p>
        </w:tc>
        <w:tc>
          <w:tcPr>
            <w:tcW w:w="5075"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Забезпечення рівного доступу дітей та учнів до здобуття позашкільної освіти</w:t>
            </w:r>
          </w:p>
        </w:tc>
        <w:tc>
          <w:tcPr>
            <w:tcW w:w="156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тис. грн.</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235 047,200</w:t>
            </w:r>
          </w:p>
        </w:tc>
        <w:tc>
          <w:tcPr>
            <w:tcW w:w="1933"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253 352,200</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267 351,100</w:t>
            </w:r>
          </w:p>
        </w:tc>
        <w:tc>
          <w:tcPr>
            <w:tcW w:w="228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755 750,500</w:t>
            </w:r>
          </w:p>
        </w:tc>
      </w:tr>
      <w:tr>
        <w:trPr>
          <w:trHeight w:val="499" w:hRule="atLeast"/>
        </w:trPr>
        <w:tc>
          <w:tcPr>
            <w:tcW w:w="659"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2</w:t>
            </w:r>
          </w:p>
        </w:tc>
        <w:tc>
          <w:tcPr>
            <w:tcW w:w="5075"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Кількість закладів</w:t>
            </w:r>
          </w:p>
        </w:tc>
        <w:tc>
          <w:tcPr>
            <w:tcW w:w="156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color w:val="FF0000"/>
                <w:sz w:val="24"/>
                <w:szCs w:val="24"/>
              </w:rPr>
            </w:pPr>
            <w:r>
              <w:rPr>
                <w:rFonts w:eastAsia="ＭＳ 明朝" w:cs="Times New Roman" w:eastAsiaTheme="minorEastAsia" w:ascii="Times New Roman" w:hAnsi="Times New Roman"/>
                <w:sz w:val="24"/>
                <w:szCs w:val="24"/>
                <w:lang w:eastAsia="uk-UA"/>
              </w:rPr>
              <w:t>39</w:t>
            </w:r>
          </w:p>
        </w:tc>
        <w:tc>
          <w:tcPr>
            <w:tcW w:w="1933" w:type="dxa"/>
            <w:tcBorders/>
            <w:shd w:fill="auto" w:val="clear"/>
            <w:tcMar>
              <w:left w:w="108" w:type="dxa"/>
            </w:tcMar>
            <w:vAlign w:val="bottom"/>
          </w:tcPr>
          <w:p>
            <w:pPr>
              <w:pStyle w:val="Normal"/>
              <w:spacing w:lineRule="auto" w:line="240" w:before="0" w:after="0"/>
              <w:jc w:val="center"/>
              <w:rPr>
                <w:rFonts w:ascii="Times New Roman" w:hAnsi="Times New Roman" w:cs="Times New Roman"/>
                <w:color w:val="FF0000"/>
                <w:sz w:val="24"/>
                <w:szCs w:val="24"/>
              </w:rPr>
            </w:pPr>
            <w:r>
              <w:rPr>
                <w:rFonts w:eastAsia="ＭＳ 明朝" w:cs="Times New Roman" w:eastAsiaTheme="minorEastAsia" w:ascii="Times New Roman" w:hAnsi="Times New Roman"/>
                <w:sz w:val="24"/>
                <w:szCs w:val="24"/>
                <w:lang w:eastAsia="uk-UA"/>
              </w:rPr>
              <w:t>39</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color w:val="FF0000"/>
                <w:sz w:val="24"/>
                <w:szCs w:val="24"/>
              </w:rPr>
            </w:pPr>
            <w:r>
              <w:rPr>
                <w:rFonts w:eastAsia="ＭＳ 明朝" w:cs="Times New Roman" w:eastAsiaTheme="minorEastAsia" w:ascii="Times New Roman" w:hAnsi="Times New Roman"/>
                <w:sz w:val="24"/>
                <w:szCs w:val="24"/>
                <w:lang w:eastAsia="uk-UA"/>
              </w:rPr>
              <w:t>39</w:t>
            </w:r>
          </w:p>
        </w:tc>
        <w:tc>
          <w:tcPr>
            <w:tcW w:w="228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p>
        </w:tc>
      </w:tr>
      <w:tr>
        <w:trPr>
          <w:trHeight w:val="600" w:hRule="atLeast"/>
        </w:trPr>
        <w:tc>
          <w:tcPr>
            <w:tcW w:w="659"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3</w:t>
            </w:r>
          </w:p>
        </w:tc>
        <w:tc>
          <w:tcPr>
            <w:tcW w:w="5075"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Середньорічна кількість ставок педагогічного персоналу</w:t>
            </w:r>
          </w:p>
        </w:tc>
        <w:tc>
          <w:tcPr>
            <w:tcW w:w="156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1 584,83</w:t>
            </w:r>
          </w:p>
        </w:tc>
        <w:tc>
          <w:tcPr>
            <w:tcW w:w="1933"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1 584,83</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1 584,83</w:t>
            </w:r>
          </w:p>
        </w:tc>
        <w:tc>
          <w:tcPr>
            <w:tcW w:w="228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p>
        </w:tc>
      </w:tr>
      <w:tr>
        <w:trPr>
          <w:trHeight w:val="795" w:hRule="atLeast"/>
        </w:trPr>
        <w:tc>
          <w:tcPr>
            <w:tcW w:w="659"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4</w:t>
            </w:r>
          </w:p>
        </w:tc>
        <w:tc>
          <w:tcPr>
            <w:tcW w:w="5075"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Середньорічна кількість штатних одиниць адмінперсоналу (за умовами оплати віднесених до педагогічного персоналу)</w:t>
            </w:r>
          </w:p>
        </w:tc>
        <w:tc>
          <w:tcPr>
            <w:tcW w:w="156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862,69</w:t>
            </w:r>
          </w:p>
        </w:tc>
        <w:tc>
          <w:tcPr>
            <w:tcW w:w="1933"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862,69</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862,69</w:t>
            </w:r>
          </w:p>
        </w:tc>
        <w:tc>
          <w:tcPr>
            <w:tcW w:w="228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p>
        </w:tc>
      </w:tr>
      <w:tr>
        <w:trPr>
          <w:trHeight w:val="600" w:hRule="atLeast"/>
        </w:trPr>
        <w:tc>
          <w:tcPr>
            <w:tcW w:w="659"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5</w:t>
            </w:r>
          </w:p>
        </w:tc>
        <w:tc>
          <w:tcPr>
            <w:tcW w:w="5075"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Середньорічна кількість штатних одиниць спеціалістів</w:t>
            </w:r>
          </w:p>
        </w:tc>
        <w:tc>
          <w:tcPr>
            <w:tcW w:w="156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394,75</w:t>
            </w:r>
          </w:p>
        </w:tc>
        <w:tc>
          <w:tcPr>
            <w:tcW w:w="1933"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394,75</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394,75</w:t>
            </w:r>
          </w:p>
        </w:tc>
        <w:tc>
          <w:tcPr>
            <w:tcW w:w="228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p>
        </w:tc>
      </w:tr>
      <w:tr>
        <w:trPr>
          <w:trHeight w:val="600" w:hRule="atLeast"/>
        </w:trPr>
        <w:tc>
          <w:tcPr>
            <w:tcW w:w="659"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6</w:t>
            </w:r>
          </w:p>
        </w:tc>
        <w:tc>
          <w:tcPr>
            <w:tcW w:w="5075"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Середньорічна кількість штатних одиниць робітників</w:t>
            </w:r>
          </w:p>
        </w:tc>
        <w:tc>
          <w:tcPr>
            <w:tcW w:w="156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749,4</w:t>
            </w:r>
          </w:p>
        </w:tc>
        <w:tc>
          <w:tcPr>
            <w:tcW w:w="1933"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749,4</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749,4</w:t>
            </w:r>
          </w:p>
        </w:tc>
        <w:tc>
          <w:tcPr>
            <w:tcW w:w="228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p>
        </w:tc>
      </w:tr>
      <w:tr>
        <w:trPr>
          <w:trHeight w:val="600" w:hRule="atLeast"/>
        </w:trPr>
        <w:tc>
          <w:tcPr>
            <w:tcW w:w="659"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7</w:t>
            </w:r>
          </w:p>
        </w:tc>
        <w:tc>
          <w:tcPr>
            <w:tcW w:w="5075"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 xml:space="preserve">Усього середньорічна кількість ставок </w:t>
            </w:r>
          </w:p>
        </w:tc>
        <w:tc>
          <w:tcPr>
            <w:tcW w:w="156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3 591,67</w:t>
            </w:r>
          </w:p>
        </w:tc>
        <w:tc>
          <w:tcPr>
            <w:tcW w:w="1933"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3 591,67</w:t>
            </w:r>
          </w:p>
        </w:tc>
        <w:tc>
          <w:tcPr>
            <w:tcW w:w="193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3 591,67</w:t>
            </w:r>
          </w:p>
        </w:tc>
        <w:tc>
          <w:tcPr>
            <w:tcW w:w="2284" w:type="dxa"/>
            <w:tcBorders/>
            <w:shd w:fill="auto" w:val="clear"/>
            <w:tcMar>
              <w:left w:w="108" w:type="dxa"/>
            </w:tcMar>
            <w:vAlign w:val="bottom"/>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 </w:t>
            </w:r>
          </w:p>
        </w:tc>
      </w:tr>
      <w:tr>
        <w:trPr>
          <w:trHeight w:val="363" w:hRule="atLeast"/>
        </w:trPr>
        <w:tc>
          <w:tcPr>
            <w:tcW w:w="15382" w:type="dxa"/>
            <w:gridSpan w:val="7"/>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i/>
                <w:i/>
                <w:sz w:val="24"/>
                <w:szCs w:val="24"/>
              </w:rPr>
            </w:pPr>
            <w:r>
              <w:rPr>
                <w:rFonts w:eastAsia="ＭＳ ゴシック" w:cs="Times New Roman" w:ascii="Times New Roman" w:hAnsi="Times New Roman" w:eastAsiaTheme="majorEastAsia"/>
                <w:i/>
                <w:sz w:val="24"/>
                <w:szCs w:val="24"/>
                <w:lang w:eastAsia="uk-UA"/>
              </w:rPr>
              <w:t>Показники продукту</w:t>
            </w:r>
          </w:p>
        </w:tc>
      </w:tr>
      <w:tr>
        <w:trPr>
          <w:trHeight w:val="540" w:hRule="atLeast"/>
        </w:trPr>
        <w:tc>
          <w:tcPr>
            <w:tcW w:w="659"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1</w:t>
            </w:r>
          </w:p>
        </w:tc>
        <w:tc>
          <w:tcPr>
            <w:tcW w:w="5075"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Середньорічна кількість дітей, які здобувають позашкільну освіту</w:t>
            </w:r>
          </w:p>
        </w:tc>
        <w:tc>
          <w:tcPr>
            <w:tcW w:w="156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осіб</w:t>
            </w:r>
          </w:p>
        </w:tc>
        <w:tc>
          <w:tcPr>
            <w:tcW w:w="1934"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sz w:val="24"/>
                <w:szCs w:val="24"/>
              </w:rPr>
            </w:pPr>
            <w:r>
              <w:rPr>
                <w:rFonts w:eastAsia="ＭＳ 明朝" w:cs="Times New Roman" w:eastAsiaTheme="minorEastAsia" w:ascii="Times New Roman" w:hAnsi="Times New Roman"/>
                <w:sz w:val="24"/>
                <w:szCs w:val="24"/>
                <w:lang w:eastAsia="uk-UA"/>
              </w:rPr>
              <w:t>75 700</w:t>
            </w:r>
          </w:p>
        </w:tc>
        <w:tc>
          <w:tcPr>
            <w:tcW w:w="193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sz w:val="24"/>
                <w:szCs w:val="24"/>
              </w:rPr>
            </w:pPr>
            <w:r>
              <w:rPr>
                <w:rFonts w:eastAsia="ＭＳ 明朝" w:cs="Times New Roman" w:eastAsiaTheme="minorEastAsia" w:ascii="Times New Roman" w:hAnsi="Times New Roman"/>
                <w:sz w:val="24"/>
                <w:szCs w:val="24"/>
                <w:lang w:eastAsia="uk-UA"/>
              </w:rPr>
              <w:t>76 600</w:t>
            </w:r>
          </w:p>
        </w:tc>
        <w:tc>
          <w:tcPr>
            <w:tcW w:w="1934"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sz w:val="24"/>
                <w:szCs w:val="24"/>
              </w:rPr>
            </w:pPr>
            <w:r>
              <w:rPr>
                <w:rFonts w:eastAsia="ＭＳ 明朝" w:cs="Times New Roman" w:eastAsiaTheme="minorEastAsia" w:ascii="Times New Roman" w:hAnsi="Times New Roman"/>
                <w:sz w:val="24"/>
                <w:szCs w:val="24"/>
                <w:lang w:eastAsia="uk-UA"/>
              </w:rPr>
              <w:t>77 600</w:t>
            </w:r>
          </w:p>
        </w:tc>
        <w:tc>
          <w:tcPr>
            <w:tcW w:w="2284"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18" w:hRule="atLeast"/>
        </w:trPr>
        <w:tc>
          <w:tcPr>
            <w:tcW w:w="15382" w:type="dxa"/>
            <w:gridSpan w:val="7"/>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i/>
                <w:i/>
                <w:sz w:val="24"/>
                <w:szCs w:val="24"/>
              </w:rPr>
            </w:pPr>
            <w:r>
              <w:rPr>
                <w:rFonts w:eastAsia="ＭＳ ゴシック" w:cs="Times New Roman" w:ascii="Times New Roman" w:hAnsi="Times New Roman" w:eastAsiaTheme="majorEastAsia"/>
                <w:i/>
                <w:sz w:val="24"/>
                <w:szCs w:val="24"/>
                <w:lang w:eastAsia="uk-UA"/>
              </w:rPr>
              <w:t>Показники ефективності</w:t>
            </w:r>
          </w:p>
        </w:tc>
      </w:tr>
      <w:tr>
        <w:trPr>
          <w:trHeight w:val="750" w:hRule="atLeast"/>
        </w:trPr>
        <w:tc>
          <w:tcPr>
            <w:tcW w:w="659"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1</w:t>
            </w:r>
          </w:p>
        </w:tc>
        <w:tc>
          <w:tcPr>
            <w:tcW w:w="5075"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Витрати на 1 учня (дитину), який здобуває позашкільну освіту</w:t>
            </w:r>
          </w:p>
        </w:tc>
        <w:tc>
          <w:tcPr>
            <w:tcW w:w="1563" w:type="dxa"/>
            <w:tcBorders/>
            <w:shd w:fill="auto" w:val="clear"/>
            <w:tcMar>
              <w:left w:w="108" w:type="dxa"/>
            </w:tcMar>
          </w:tcPr>
          <w:p>
            <w:pPr>
              <w:pStyle w:val="Normal"/>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грн.</w:t>
            </w:r>
          </w:p>
        </w:tc>
        <w:tc>
          <w:tcPr>
            <w:tcW w:w="193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3 104,98</w:t>
            </w:r>
          </w:p>
        </w:tc>
        <w:tc>
          <w:tcPr>
            <w:tcW w:w="1933"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3 307,47</w:t>
            </w:r>
          </w:p>
        </w:tc>
        <w:tc>
          <w:tcPr>
            <w:tcW w:w="193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3 445,25</w:t>
            </w:r>
          </w:p>
        </w:tc>
        <w:tc>
          <w:tcPr>
            <w:tcW w:w="2284"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bl>
    <w:p>
      <w:pPr>
        <w:pStyle w:val="1"/>
        <w:rPr>
          <w:rFonts w:ascii="Times New Roman" w:hAnsi="Times New Roman" w:cs="Times New Roman"/>
          <w:color w:val="00000A"/>
          <w:lang w:val="ru-RU"/>
        </w:rPr>
      </w:pPr>
      <w:r>
        <w:rPr>
          <w:rFonts w:cs="Times New Roman" w:ascii="Times New Roman" w:hAnsi="Times New Roman"/>
          <w:color w:val="00000A"/>
        </w:rPr>
        <w:t xml:space="preserve">                                 </w:t>
      </w:r>
      <w:bookmarkStart w:id="27" w:name="_Toc431397874"/>
      <w:bookmarkEnd w:id="27"/>
      <w:r>
        <w:rPr>
          <w:rFonts w:cs="Times New Roman" w:ascii="Times New Roman" w:hAnsi="Times New Roman"/>
          <w:color w:val="00000A"/>
        </w:rPr>
        <w:t>Підпрограма «Професійно-технічна освіта»</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Громадянське суспільство очікує суттєвих змін в економічному та соціальному житті країни. Модернізація промислового, соціально-побутового, житлово-комунального сектору та сфери послуг столиці потребує насамперед реформування професійної освіти. У Києві сконцентровано потужний науковий, інтелектуальний, культурний, висококваліфікований кадровий потенціал, який має стати стратегічною основою для формування інноваційної моделі розвитку столиці. Професійна освіта в цьому процесі відіграє одну із ключових ролей, оскільки розвиток економіки й суспільства в сучасних умовах безпосередньо залежить від фахової компетентності та рівня професійної кваліфікації безпосередніх виконавців визначених завдань.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Професійна освіта Києва є невід’ємною складовою освітнього та економічного простору міста. Від кардинальних змін в управлінні, організації діяльності закладів професійної освіти залежить якість професійної підготовки молодих фахівців, їх мобільність та конкурентоспроможність на ринку праці.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До 2015 року мережа професійно-технічних закладів міста Києва складалася   із 28 державних професійно-технічних навчальних закладів, 19 із яких перебували в оперативному управлінні Департаменту освіти і науки, молоді та спорту та  фінансувалися з бюджету міста шляхом міжбюджетних трансфертів, а 9 професійно-технічних навчальних закладів перебували в оперативному управлінні та фінансувалися Міністерством освіти і науки України. </w:t>
      </w:r>
    </w:p>
    <w:p>
      <w:pPr>
        <w:pStyle w:val="Normal"/>
        <w:spacing w:before="480"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З 01.01.2015 сформовано єдину мережу закладів професійно-технічної освіти (далі - профтехосвіта), до якої входять 30 закладів профтехосвіти різних форм і типів, що фінансуються з місцевого бюджету через субвенції державного бюджету. Заклади профтехосвіти столиці пропонують для навчання 228 робітничих професій та надають можливість здобути початковий рівень вищої професійної освіти (кваліфікацію «молодший спеціаліст») із 21 спеціальності. </w:t>
      </w:r>
    </w:p>
    <w:p>
      <w:pPr>
        <w:sectPr>
          <w:headerReference w:type="default" r:id="rId15"/>
          <w:headerReference w:type="first" r:id="rId16"/>
          <w:type w:val="nextPage"/>
          <w:pgSz w:orient="landscape" w:w="16838" w:h="11906"/>
          <w:pgMar w:left="851" w:right="851" w:header="709" w:top="993" w:footer="0" w:bottom="1134" w:gutter="0"/>
          <w:pgNumType w:fmt="decimal"/>
          <w:formProt w:val="false"/>
          <w:titlePg/>
          <w:textDirection w:val="lrTb"/>
          <w:docGrid w:type="default" w:linePitch="360" w:charSpace="4294965247"/>
        </w:sectPr>
        <w:pStyle w:val="1"/>
        <w:spacing w:before="0" w:after="0"/>
        <w:ind w:firstLine="708"/>
        <w:jc w:val="both"/>
        <w:rPr>
          <w:rFonts w:ascii="Times New Roman" w:hAnsi="Times New Roman" w:cs="Times New Roman"/>
          <w:b w:val="false"/>
          <w:b w:val="false"/>
          <w:color w:val="00000A"/>
        </w:rPr>
      </w:pPr>
      <w:r>
        <w:rPr>
          <w:rFonts w:eastAsia="Times New Roman" w:cs="Times New Roman" w:ascii="Times New Roman" w:hAnsi="Times New Roman"/>
          <w:b w:val="false"/>
          <w:color w:val="000000"/>
          <w:lang w:eastAsia="uk-UA"/>
        </w:rPr>
        <w:t>Протягом 2014-2015 років проведено комплекс аналітичних досліджень з метою    визначення загальних  перспектив, пріоритетних та стратегічних завдань розвитку системи столичної професійної освіти, оновлено статистичні дані та вивчено стан підготовки робітничих кадрів із урахуванням потреб регіону.</w:t>
      </w:r>
    </w:p>
    <w:p>
      <w:pPr>
        <w:pStyle w:val="Normal"/>
        <w:jc w:val="center"/>
        <w:rPr>
          <w:rFonts w:ascii="Times New Roman" w:hAnsi="Times New Roman" w:cs="Times New Roman"/>
          <w:sz w:val="28"/>
          <w:szCs w:val="28"/>
        </w:rPr>
      </w:pPr>
      <w:r>
        <w:rPr/>
        <w:drawing>
          <wp:inline distT="0" distB="0" distL="0" distR="0">
            <wp:extent cx="4937760" cy="3535680"/>
            <wp:effectExtent l="0" t="0" r="0" b="0"/>
            <wp:docPr id="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4" descr=""/>
                    <pic:cNvPicPr>
                      <a:picLocks noChangeAspect="1" noChangeArrowheads="1"/>
                    </pic:cNvPicPr>
                  </pic:nvPicPr>
                  <pic:blipFill>
                    <a:blip r:embed="rId17"/>
                    <a:stretch>
                      <a:fillRect/>
                    </a:stretch>
                  </pic:blipFill>
                  <pic:spPr bwMode="auto">
                    <a:xfrm>
                      <a:off x="0" y="0"/>
                      <a:ext cx="4937760" cy="3535680"/>
                    </a:xfrm>
                    <a:prstGeom prst="rect">
                      <a:avLst/>
                    </a:prstGeom>
                  </pic:spPr>
                </pic:pic>
              </a:graphicData>
            </a:graphic>
          </wp:inline>
        </w:drawing>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Професійно-технічна освіта столиці залишається однією з найбільш  доступних галузей надання освітніх послуг. У 2014-2015 н. р контингент закладів профтехосвіти становив 16750 учнів, із них одночасно з професійною підготовкою  1015  учнів здобували базову середню освіту, 9658 учнів повну загальну середню освіту; здобували робітничу кваліфікацію на базі повної загальної середньої освіти 5362 учні, робітничу професію опановували 298 учнів із обмеженими можливостями життєдіяльності.</w:t>
      </w:r>
    </w:p>
    <w:p>
      <w:pPr>
        <w:pStyle w:val="Normal"/>
        <w:jc w:val="center"/>
        <w:rPr>
          <w:rFonts w:ascii="Times New Roman" w:hAnsi="Times New Roman" w:cs="Times New Roman"/>
          <w:sz w:val="28"/>
          <w:szCs w:val="28"/>
        </w:rPr>
      </w:pPr>
      <w:r>
        <w:rPr/>
        <w:drawing>
          <wp:inline distT="0" distB="0" distL="0" distR="635">
            <wp:extent cx="5391150" cy="2822575"/>
            <wp:effectExtent l="0" t="0" r="0" b="0"/>
            <wp:docPr id="6"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5" descr=""/>
                    <pic:cNvPicPr>
                      <a:picLocks noChangeAspect="1" noChangeArrowheads="1"/>
                    </pic:cNvPicPr>
                  </pic:nvPicPr>
                  <pic:blipFill>
                    <a:blip r:embed="rId18"/>
                    <a:srcRect l="27958" t="17834" r="13314" b="10305"/>
                    <a:stretch>
                      <a:fillRect/>
                    </a:stretch>
                  </pic:blipFill>
                  <pic:spPr bwMode="auto">
                    <a:xfrm>
                      <a:off x="0" y="0"/>
                      <a:ext cx="5391150" cy="2822575"/>
                    </a:xfrm>
                    <a:prstGeom prst="rect">
                      <a:avLst/>
                    </a:prstGeom>
                  </pic:spPr>
                </pic:pic>
              </a:graphicData>
            </a:graphic>
          </wp:inline>
        </w:drawing>
      </w:r>
    </w:p>
    <w:p>
      <w:pPr>
        <w:pStyle w:val="Normal"/>
        <w:spacing w:beforeAutospacing="1" w:afterAutospacing="1"/>
        <w:ind w:firstLine="708"/>
        <w:jc w:val="both"/>
        <w:rPr>
          <w:rFonts w:ascii="Times New Roman" w:hAnsi="Times New Roman" w:eastAsia="Times New Roman" w:cs="Times New Roman"/>
          <w:color w:val="000000"/>
          <w:sz w:val="28"/>
          <w:szCs w:val="28"/>
          <w:lang w:val="ru-RU" w:eastAsia="uk-UA"/>
        </w:rPr>
      </w:pPr>
      <w:r>
        <w:rPr>
          <w:rFonts w:eastAsia="Times New Roman" w:cs="Times New Roman" w:ascii="Times New Roman" w:hAnsi="Times New Roman"/>
          <w:color w:val="000000"/>
          <w:sz w:val="28"/>
          <w:szCs w:val="28"/>
          <w:lang w:eastAsia="uk-UA"/>
        </w:rPr>
        <w:t>У закладах професійно - технічної освіти м. Києва здобували освіту 5 432 учні (35% від загального контингенту) із соціально незахищених груп населення, серед яких 579 дітей-сиріт.</w:t>
      </w:r>
    </w:p>
    <w:p>
      <w:pPr>
        <w:pStyle w:val="Normal"/>
        <w:spacing w:beforeAutospacing="1" w:afterAutospacing="1"/>
        <w:ind w:firstLine="708"/>
        <w:jc w:val="both"/>
        <w:rPr>
          <w:rFonts w:ascii="Times New Roman" w:hAnsi="Times New Roman" w:eastAsia="Times New Roman" w:cs="Times New Roman"/>
          <w:color w:val="000000"/>
          <w:sz w:val="28"/>
          <w:szCs w:val="28"/>
          <w:lang w:val="ru-RU" w:eastAsia="uk-UA"/>
        </w:rPr>
      </w:pPr>
      <w:r>
        <w:rPr>
          <w:rFonts w:eastAsia="Times New Roman" w:cs="Times New Roman" w:ascii="Times New Roman" w:hAnsi="Times New Roman"/>
          <w:color w:val="000000"/>
          <w:sz w:val="28"/>
          <w:szCs w:val="28"/>
          <w:lang w:eastAsia="uk-UA"/>
        </w:rPr>
        <w:t>Особливістю професійної підготовки кваліфікованих робітничих кадрів є їх цілеспрямована підготовка для конкретних потреб ринку праці. Професійно-технічна освіта вже чотири роки формує державне замовлення лише на підставі прямих угод із роботодавцями. У 2015 році укладено 2565 двосторонніх договорів із 2352 підприємствами - замовниками робітничих кадрів на підготовку 18243 кваліфікованих робітників.</w:t>
      </w:r>
    </w:p>
    <w:p>
      <w:pPr>
        <w:pStyle w:val="Normal"/>
        <w:jc w:val="center"/>
        <w:rPr>
          <w:rFonts w:ascii="Times New Roman" w:hAnsi="Times New Roman" w:cs="Times New Roman"/>
          <w:sz w:val="28"/>
          <w:szCs w:val="28"/>
        </w:rPr>
      </w:pPr>
      <w:r>
        <w:rPr/>
        <w:drawing>
          <wp:inline distT="0" distB="0" distL="0" distR="0">
            <wp:extent cx="5776595" cy="3417570"/>
            <wp:effectExtent l="0" t="0" r="0" b="0"/>
            <wp:docPr id="7"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6" descr=""/>
                    <pic:cNvPicPr>
                      <a:picLocks noChangeAspect="1" noChangeArrowheads="1"/>
                    </pic:cNvPicPr>
                  </pic:nvPicPr>
                  <pic:blipFill>
                    <a:blip r:embed="rId19"/>
                    <a:stretch>
                      <a:fillRect/>
                    </a:stretch>
                  </pic:blipFill>
                  <pic:spPr bwMode="auto">
                    <a:xfrm>
                      <a:off x="0" y="0"/>
                      <a:ext cx="5776595" cy="3417570"/>
                    </a:xfrm>
                    <a:prstGeom prst="rect">
                      <a:avLst/>
                    </a:prstGeom>
                  </pic:spPr>
                </pic:pic>
              </a:graphicData>
            </a:graphic>
          </wp:inline>
        </w:drawing>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У 2015 році столичний ринок праці поповнився на 6586 випускників професійно-технічних навчальних закладів, які за результатами навчання отримали:</w:t>
      </w:r>
    </w:p>
    <w:p>
      <w:pPr>
        <w:pStyle w:val="Normal"/>
        <w:numPr>
          <w:ilvl w:val="0"/>
          <w:numId w:val="11"/>
        </w:numPr>
        <w:spacing w:before="480" w:after="0"/>
        <w:rPr>
          <w:rFonts w:ascii="Times New Roman" w:hAnsi="Times New Roman" w:cs="Times New Roman"/>
          <w:sz w:val="28"/>
          <w:szCs w:val="28"/>
        </w:rPr>
      </w:pPr>
      <w:r>
        <w:rPr>
          <w:rFonts w:cs="Times New Roman" w:ascii="Times New Roman" w:hAnsi="Times New Roman"/>
          <w:sz w:val="28"/>
          <w:szCs w:val="28"/>
        </w:rPr>
        <w:t>5 822 дипломи кваліфікованого робітника, із них 466 дипломів з відзнакою;</w:t>
      </w:r>
    </w:p>
    <w:p>
      <w:pPr>
        <w:pStyle w:val="Normal"/>
        <w:numPr>
          <w:ilvl w:val="0"/>
          <w:numId w:val="11"/>
        </w:numPr>
        <w:spacing w:before="480" w:after="0"/>
        <w:rPr>
          <w:rFonts w:ascii="Times New Roman" w:hAnsi="Times New Roman" w:cs="Times New Roman"/>
          <w:sz w:val="28"/>
          <w:szCs w:val="28"/>
          <w:lang w:val="ru-RU"/>
        </w:rPr>
      </w:pPr>
      <w:r>
        <w:rPr>
          <w:rFonts w:cs="Times New Roman" w:ascii="Times New Roman" w:hAnsi="Times New Roman"/>
          <w:sz w:val="28"/>
          <w:szCs w:val="28"/>
        </w:rPr>
        <w:t xml:space="preserve"> </w:t>
      </w:r>
      <w:r>
        <w:rPr>
          <w:rFonts w:cs="Times New Roman" w:ascii="Times New Roman" w:hAnsi="Times New Roman"/>
          <w:sz w:val="28"/>
          <w:szCs w:val="28"/>
        </w:rPr>
        <w:t xml:space="preserve">531 диплом молодшого спеціаліста, із них 67 дипломів з відзнакою; </w:t>
      </w:r>
    </w:p>
    <w:p>
      <w:pPr>
        <w:pStyle w:val="Normal"/>
        <w:numPr>
          <w:ilvl w:val="0"/>
          <w:numId w:val="11"/>
        </w:numPr>
        <w:spacing w:before="480" w:after="0"/>
        <w:rPr>
          <w:rFonts w:ascii="Times New Roman" w:hAnsi="Times New Roman" w:cs="Times New Roman"/>
          <w:sz w:val="28"/>
          <w:szCs w:val="28"/>
          <w:lang w:val="ru-RU"/>
        </w:rPr>
      </w:pPr>
      <w:r>
        <w:rPr>
          <w:rFonts w:cs="Times New Roman" w:ascii="Times New Roman" w:hAnsi="Times New Roman"/>
          <w:sz w:val="28"/>
          <w:szCs w:val="28"/>
        </w:rPr>
        <w:t xml:space="preserve"> </w:t>
      </w:r>
      <w:r>
        <w:rPr>
          <w:rFonts w:cs="Times New Roman" w:ascii="Times New Roman" w:hAnsi="Times New Roman"/>
          <w:sz w:val="28"/>
          <w:szCs w:val="28"/>
        </w:rPr>
        <w:t>233 свідоцтва про присвоєння робітничої кваліфікації</w:t>
      </w:r>
    </w:p>
    <w:p>
      <w:pPr>
        <w:pStyle w:val="Normal"/>
        <w:numPr>
          <w:ilvl w:val="0"/>
          <w:numId w:val="11"/>
        </w:numPr>
        <w:spacing w:before="480" w:after="0"/>
        <w:rPr>
          <w:rFonts w:ascii="Times New Roman" w:hAnsi="Times New Roman" w:cs="Times New Roman"/>
          <w:sz w:val="28"/>
          <w:szCs w:val="28"/>
        </w:rPr>
      </w:pPr>
      <w:r>
        <w:rPr>
          <w:rFonts w:cs="Times New Roman" w:ascii="Times New Roman" w:hAnsi="Times New Roman"/>
          <w:sz w:val="28"/>
          <w:szCs w:val="28"/>
        </w:rPr>
        <w:t xml:space="preserve"> </w:t>
      </w:r>
      <w:r>
        <w:rPr>
          <w:rFonts w:cs="Times New Roman" w:ascii="Times New Roman" w:hAnsi="Times New Roman"/>
          <w:sz w:val="28"/>
          <w:szCs w:val="28"/>
        </w:rPr>
        <w:t>555 осіб, що навчалися за контрактом, отримали свідоцтва кваліфікованого робітника.</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Підтвердженням якості наданої професійної освіти є кваліфікаційний рівень випускників, серед яких: здобули високий IV-V розряд та I категорію – 3 044 учні, диплом кваліфікованого робітника із сучасних професій, що базуються на широких кваліфікаціях та компетентнісній основі - 646 учнів, кваліфікаційний рівень молодшого спеціаліста – 531 учень. Отже, загальна кількість висококваліфікованих робітників становить  4 221 особа (63,5%).</w:t>
      </w:r>
    </w:p>
    <w:p>
      <w:pPr>
        <w:pStyle w:val="Normal"/>
        <w:jc w:val="center"/>
        <w:rPr>
          <w:rFonts w:ascii="Times New Roman" w:hAnsi="Times New Roman" w:cs="Times New Roman"/>
          <w:b/>
          <w:b/>
          <w:sz w:val="28"/>
          <w:szCs w:val="28"/>
        </w:rPr>
      </w:pPr>
      <w:r>
        <w:rPr/>
        <w:drawing>
          <wp:inline distT="0" distB="0" distL="0" distR="1905">
            <wp:extent cx="4799330" cy="3053715"/>
            <wp:effectExtent l="0" t="0" r="0" b="0"/>
            <wp:docPr id="8"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0" descr=""/>
                    <pic:cNvPicPr>
                      <a:picLocks noChangeAspect="1" noChangeArrowheads="1"/>
                    </pic:cNvPicPr>
                  </pic:nvPicPr>
                  <pic:blipFill>
                    <a:blip r:embed="rId20"/>
                    <a:stretch>
                      <a:fillRect/>
                    </a:stretch>
                  </pic:blipFill>
                  <pic:spPr bwMode="auto">
                    <a:xfrm>
                      <a:off x="0" y="0"/>
                      <a:ext cx="4799330" cy="3053715"/>
                    </a:xfrm>
                    <a:prstGeom prst="rect">
                      <a:avLst/>
                    </a:prstGeom>
                  </pic:spPr>
                </pic:pic>
              </a:graphicData>
            </a:graphic>
          </wp:inline>
        </w:drawing>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Про стабільний попит  роботодавців на кваліфіковані робітничі кадри свідчить рівень працевлаштування випускників ПТНЗ у 2015 році: 5699 випускників (85,7 %) отримали гарантоване перше робоче місце за вибраною професією; 753 учні (11,3 %) продовжили навчання у вищих навчальних закладах; 39 осіб (0,6%) призвані на службу у Збройні сили  України; 61 особа (0,9 %) перебувало у відпустці по догляду за дитиною. Загальна кількість працевлаштованих  становить 6535 осіб (98,3%). Станом на 01.08.2015 не працевлаштовано 1,7% випускників. </w:t>
      </w:r>
    </w:p>
    <w:p>
      <w:pPr>
        <w:pStyle w:val="Normal"/>
        <w:jc w:val="center"/>
        <w:rPr>
          <w:rFonts w:ascii="Times New Roman" w:hAnsi="Times New Roman" w:cs="Times New Roman"/>
          <w:sz w:val="28"/>
          <w:szCs w:val="28"/>
        </w:rPr>
      </w:pPr>
      <w:r>
        <w:rPr/>
        <w:drawing>
          <wp:inline distT="0" distB="0" distL="0" distR="0">
            <wp:extent cx="4766310" cy="3058795"/>
            <wp:effectExtent l="0" t="0" r="0" b="0"/>
            <wp:docPr id="9"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descr=""/>
                    <pic:cNvPicPr>
                      <a:picLocks noChangeAspect="1" noChangeArrowheads="1"/>
                    </pic:cNvPicPr>
                  </pic:nvPicPr>
                  <pic:blipFill>
                    <a:blip r:embed="rId21"/>
                    <a:stretch>
                      <a:fillRect/>
                    </a:stretch>
                  </pic:blipFill>
                  <pic:spPr bwMode="auto">
                    <a:xfrm>
                      <a:off x="0" y="0"/>
                      <a:ext cx="4766310" cy="3058795"/>
                    </a:xfrm>
                    <a:prstGeom prst="rect">
                      <a:avLst/>
                    </a:prstGeom>
                  </pic:spPr>
                </pic:pic>
              </a:graphicData>
            </a:graphic>
          </wp:inline>
        </w:drawing>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Об’єктивним свідченням якості професійної підготовки молодих кваліфікованих робітників є оцінка їх фахового рівня роботодавцями. З цією метою проведено моніторингові дослідження рівня задоволення роботодавців якістю професійної підготовки випускників ПТНЗ та досліджено стан закріплення учнів на робочих місцях. Результати досліджень 2015 року: опитано 5 463 випускники, що становить 75% від загального випуску; серед них: задоволені отриманою професією 63,7%, задоволені умовами робочого місця 54,5%, залишилися працювати на першому робочому місці 83,3%.</w:t>
      </w:r>
    </w:p>
    <w:p>
      <w:pPr>
        <w:pStyle w:val="Normal"/>
        <w:jc w:val="center"/>
        <w:rPr>
          <w:rFonts w:ascii="Times New Roman" w:hAnsi="Times New Roman" w:cs="Times New Roman"/>
          <w:b/>
          <w:b/>
          <w:sz w:val="28"/>
          <w:szCs w:val="28"/>
        </w:rPr>
      </w:pPr>
      <w:r>
        <w:rPr/>
        <w:drawing>
          <wp:inline distT="0" distB="0" distL="0" distR="0">
            <wp:extent cx="5499100" cy="3247390"/>
            <wp:effectExtent l="0" t="0" r="0" b="0"/>
            <wp:docPr id="10"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
                    <pic:cNvPicPr>
                      <a:picLocks noChangeAspect="1" noChangeArrowheads="1"/>
                    </pic:cNvPicPr>
                  </pic:nvPicPr>
                  <pic:blipFill>
                    <a:blip r:embed="rId22"/>
                    <a:stretch>
                      <a:fillRect/>
                    </a:stretch>
                  </pic:blipFill>
                  <pic:spPr bwMode="auto">
                    <a:xfrm>
                      <a:off x="0" y="0"/>
                      <a:ext cx="5499100" cy="3247390"/>
                    </a:xfrm>
                    <a:prstGeom prst="rect">
                      <a:avLst/>
                    </a:prstGeom>
                  </pic:spPr>
                </pic:pic>
              </a:graphicData>
            </a:graphic>
          </wp:inline>
        </w:drawing>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Участь в анкетуванні взяли 1729 роботодавців, вони надали свої відгуки про рівень якості професійної підготовки молодих робітників за 259 професіями: рівень знань повною мірою відповідає потребам роботодавців – 81,6%, рівень професійних умінь – 81,9%, рівень практичних навичок – 81,1%. </w:t>
      </w:r>
    </w:p>
    <w:p>
      <w:pPr>
        <w:pStyle w:val="Normal"/>
        <w:jc w:val="center"/>
        <w:rPr>
          <w:rFonts w:ascii="Times New Roman" w:hAnsi="Times New Roman" w:cs="Times New Roman"/>
          <w:b/>
          <w:b/>
          <w:sz w:val="28"/>
          <w:szCs w:val="28"/>
        </w:rPr>
      </w:pPr>
      <w:r>
        <w:rPr/>
        <w:drawing>
          <wp:inline distT="0" distB="0" distL="0" distR="0">
            <wp:extent cx="5177790" cy="2949575"/>
            <wp:effectExtent l="0" t="0" r="0" b="0"/>
            <wp:docPr id="1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
                    <pic:cNvPicPr>
                      <a:picLocks noChangeAspect="1" noChangeArrowheads="1"/>
                    </pic:cNvPicPr>
                  </pic:nvPicPr>
                  <pic:blipFill>
                    <a:blip r:embed="rId23"/>
                    <a:stretch>
                      <a:fillRect/>
                    </a:stretch>
                  </pic:blipFill>
                  <pic:spPr bwMode="auto">
                    <a:xfrm>
                      <a:off x="0" y="0"/>
                      <a:ext cx="5177790" cy="2949575"/>
                    </a:xfrm>
                    <a:prstGeom prst="rect">
                      <a:avLst/>
                    </a:prstGeom>
                  </pic:spPr>
                </pic:pic>
              </a:graphicData>
            </a:graphic>
          </wp:inline>
        </w:drawing>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Найбільш гострою проблемою професійно-технічної освіти в місті Києві залишається виконання державного замовлення, оскільки випускники загальноосвітніх навчальних закладів м. Києва переважно зорієнтовані на здобуття вищої освіти, до 90% випускників шкіл зареєстровані для проходження ЗНО.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Формування державного замовлення у 2015-2016 н. р. набуло особливого характеру. З’явився попит на підготовку робітничих кадрів за професіями, суміжними з військовими спеціальностями, зокрема зросла потреба в таких професіях, як «Водій автотранспортних засобів категорії  «В», «С»», «Кухар», «Слюсар з ремонту автомобілів», «Машиніст крана-кранівник», «Монтажник радіоелектронної апаратури та приладів», «Радіомеханік з обслуговування та ремонту радіотелевізійної апаратури». </w:t>
      </w:r>
    </w:p>
    <w:p>
      <w:pPr>
        <w:pStyle w:val="Normal"/>
        <w:spacing w:beforeAutospacing="1" w:afterAutospacing="1"/>
        <w:ind w:firstLine="708"/>
        <w:jc w:val="both"/>
        <w:rPr>
          <w:rFonts w:ascii="Times New Roman" w:hAnsi="Times New Roman" w:eastAsia="Times New Roman" w:cs="Times New Roman"/>
          <w:color w:val="000000"/>
          <w:sz w:val="28"/>
          <w:szCs w:val="28"/>
          <w:lang w:val="ru-RU" w:eastAsia="uk-UA"/>
        </w:rPr>
      </w:pPr>
      <w:r>
        <w:rPr>
          <w:rFonts w:eastAsia="Times New Roman" w:cs="Times New Roman" w:ascii="Times New Roman" w:hAnsi="Times New Roman"/>
          <w:color w:val="000000"/>
          <w:sz w:val="28"/>
          <w:szCs w:val="28"/>
          <w:lang w:eastAsia="uk-UA"/>
        </w:rPr>
        <w:t xml:space="preserve">Навчальні заклади профтехосвіти станом на 25.08.2015 прийняли на навчання 6225 учнів, що становить 87,5 % від плану набору, який на 2015-2016 становить 7133 учні.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Розпочато процес оптимізації мережі закладів професійно-технічної освіти, що в сучасних економічних умовах є політично та економічно обґрунтованим кроком.  Важливою об’єктивною причиною цього кроку стало зменшення контингенту учнів закладів профтехосвіти м. Києва: </w:t>
      </w:r>
    </w:p>
    <w:p>
      <w:pPr>
        <w:pStyle w:val="ListParagraph"/>
        <w:numPr>
          <w:ilvl w:val="0"/>
          <w:numId w:val="12"/>
        </w:numPr>
        <w:rPr>
          <w:rFonts w:ascii="Times New Roman" w:hAnsi="Times New Roman" w:cs="Times New Roman"/>
          <w:sz w:val="28"/>
          <w:szCs w:val="28"/>
        </w:rPr>
      </w:pPr>
      <w:r>
        <w:rPr>
          <w:rFonts w:cs="Times New Roman" w:ascii="Times New Roman" w:hAnsi="Times New Roman"/>
          <w:sz w:val="28"/>
          <w:szCs w:val="28"/>
        </w:rPr>
        <w:t>2012-2013 н.р. – 20 027 учнів;</w:t>
      </w:r>
    </w:p>
    <w:p>
      <w:pPr>
        <w:pStyle w:val="ListParagraph"/>
        <w:numPr>
          <w:ilvl w:val="0"/>
          <w:numId w:val="12"/>
        </w:numPr>
        <w:rPr>
          <w:rFonts w:ascii="Times New Roman" w:hAnsi="Times New Roman" w:cs="Times New Roman"/>
          <w:sz w:val="28"/>
          <w:szCs w:val="28"/>
        </w:rPr>
      </w:pPr>
      <w:r>
        <w:rPr>
          <w:rFonts w:cs="Times New Roman" w:ascii="Times New Roman" w:hAnsi="Times New Roman"/>
          <w:sz w:val="28"/>
          <w:szCs w:val="28"/>
        </w:rPr>
        <w:t>2013-2014 н.р. – 18 277 учнів;</w:t>
      </w:r>
    </w:p>
    <w:p>
      <w:pPr>
        <w:pStyle w:val="ListParagraph"/>
        <w:numPr>
          <w:ilvl w:val="0"/>
          <w:numId w:val="12"/>
        </w:numPr>
        <w:rPr>
          <w:rFonts w:ascii="Times New Roman" w:hAnsi="Times New Roman" w:cs="Times New Roman"/>
          <w:sz w:val="28"/>
          <w:szCs w:val="28"/>
        </w:rPr>
      </w:pPr>
      <w:r>
        <w:rPr>
          <w:rFonts w:cs="Times New Roman" w:ascii="Times New Roman" w:hAnsi="Times New Roman"/>
          <w:sz w:val="28"/>
          <w:szCs w:val="28"/>
        </w:rPr>
        <w:t>2014-2015 н.р.  - 16 750 учнів.</w:t>
      </w:r>
    </w:p>
    <w:p>
      <w:pPr>
        <w:pStyle w:val="Normal"/>
        <w:jc w:val="center"/>
        <w:rPr>
          <w:rFonts w:ascii="Times New Roman" w:hAnsi="Times New Roman" w:cs="Times New Roman"/>
          <w:sz w:val="28"/>
          <w:szCs w:val="28"/>
        </w:rPr>
      </w:pPr>
      <w:r>
        <w:rPr/>
        <w:drawing>
          <wp:inline distT="0" distB="0" distL="0" distR="0">
            <wp:extent cx="4944110" cy="2863215"/>
            <wp:effectExtent l="0" t="0" r="0" b="0"/>
            <wp:docPr id="12"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descr=""/>
                    <pic:cNvPicPr>
                      <a:picLocks noChangeAspect="1" noChangeArrowheads="1"/>
                    </pic:cNvPicPr>
                  </pic:nvPicPr>
                  <pic:blipFill>
                    <a:blip r:embed="rId24"/>
                    <a:stretch>
                      <a:fillRect/>
                    </a:stretch>
                  </pic:blipFill>
                  <pic:spPr bwMode="auto">
                    <a:xfrm>
                      <a:off x="0" y="0"/>
                      <a:ext cx="4944110" cy="2863215"/>
                    </a:xfrm>
                    <a:prstGeom prst="rect">
                      <a:avLst/>
                    </a:prstGeom>
                  </pic:spPr>
                </pic:pic>
              </a:graphicData>
            </a:graphic>
          </wp:inline>
        </w:drawing>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Внаслідок детального аналізу контингенту навчальних закладів, напрямів професійної підготовки, перспектив розвитку галузей економіки столиці, вивчення запитів роботодавців, у 2015 р. розпочався процес оптимізації мережі професійно-технічні навчальні заклади (далі – ПТНЗ) і створення сучасних професійних навчальних закладів нового типу. Зокрема, 8 професійно-технічних навчальних закладів реорганізовано в 3 регіональні центри  професійної освіти та перший в Україні професійний коледж із посиленою військовою та фізичною підготовкою. </w:t>
      </w:r>
    </w:p>
    <w:p>
      <w:pPr>
        <w:pStyle w:val="Normal"/>
        <w:jc w:val="center"/>
        <w:rPr>
          <w:rFonts w:ascii="Times New Roman" w:hAnsi="Times New Roman" w:cs="Times New Roman"/>
          <w:sz w:val="28"/>
          <w:szCs w:val="28"/>
          <w:lang w:val="en-US"/>
        </w:rPr>
      </w:pPr>
      <w:r>
        <w:rPr/>
        <w:drawing>
          <wp:inline distT="0" distB="6985" distL="0" distR="0">
            <wp:extent cx="5605780" cy="3402965"/>
            <wp:effectExtent l="0" t="0" r="0" b="0"/>
            <wp:docPr id="1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
                    <pic:cNvPicPr>
                      <a:picLocks noChangeAspect="1" noChangeArrowheads="1"/>
                    </pic:cNvPicPr>
                  </pic:nvPicPr>
                  <pic:blipFill>
                    <a:blip r:embed="rId25"/>
                    <a:srcRect l="27800" t="16079" r="13152" b="10305"/>
                    <a:stretch>
                      <a:fillRect/>
                    </a:stretch>
                  </pic:blipFill>
                  <pic:spPr bwMode="auto">
                    <a:xfrm>
                      <a:off x="0" y="0"/>
                      <a:ext cx="5605780" cy="3402965"/>
                    </a:xfrm>
                    <a:prstGeom prst="rect">
                      <a:avLst/>
                    </a:prstGeom>
                  </pic:spPr>
                </pic:pic>
              </a:graphicData>
            </a:graphic>
          </wp:inline>
        </w:drawing>
      </w:r>
    </w:p>
    <w:p>
      <w:pPr>
        <w:pStyle w:val="Normal"/>
        <w:jc w:val="center"/>
        <w:rPr>
          <w:rFonts w:ascii="Times New Roman" w:hAnsi="Times New Roman" w:cs="Times New Roman"/>
          <w:sz w:val="28"/>
          <w:szCs w:val="28"/>
        </w:rPr>
      </w:pPr>
      <w:r>
        <w:rPr/>
        <w:drawing>
          <wp:inline distT="0" distB="2540" distL="0" distR="0">
            <wp:extent cx="5737860" cy="2512695"/>
            <wp:effectExtent l="0" t="0" r="0" b="0"/>
            <wp:docPr id="14"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9" descr=""/>
                    <pic:cNvPicPr>
                      <a:picLocks noChangeAspect="1" noChangeArrowheads="1"/>
                    </pic:cNvPicPr>
                  </pic:nvPicPr>
                  <pic:blipFill>
                    <a:blip r:embed="rId26"/>
                    <a:srcRect l="27170" t="31667" r="13314" b="12564"/>
                    <a:stretch>
                      <a:fillRect/>
                    </a:stretch>
                  </pic:blipFill>
                  <pic:spPr bwMode="auto">
                    <a:xfrm>
                      <a:off x="0" y="0"/>
                      <a:ext cx="5737860" cy="2512695"/>
                    </a:xfrm>
                    <a:prstGeom prst="rect">
                      <a:avLst/>
                    </a:prstGeom>
                  </pic:spPr>
                </pic:pic>
              </a:graphicData>
            </a:graphic>
          </wp:inline>
        </w:drawing>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Проведені аналітичні дослідження дали можливість визначити головні напрями подальшого розвитку столичної професійної освіти, цілі, завдання та ключові проблеми й шляхи їх подолання.</w:t>
      </w:r>
    </w:p>
    <w:p>
      <w:pPr>
        <w:pStyle w:val="Normal"/>
        <w:jc w:val="center"/>
        <w:rPr>
          <w:rFonts w:ascii="Times New Roman" w:hAnsi="Times New Roman" w:cs="Times New Roman"/>
          <w:sz w:val="28"/>
          <w:szCs w:val="28"/>
        </w:rPr>
      </w:pPr>
      <w:r>
        <w:rPr>
          <w:rFonts w:cs="Times New Roman" w:ascii="Times New Roman" w:hAnsi="Times New Roman"/>
          <w:sz w:val="28"/>
          <w:szCs w:val="28"/>
        </w:rPr>
        <w:t>Пріоритетні цілі професійно-технічної освіти м. Києва</w:t>
      </w:r>
    </w:p>
    <w:p>
      <w:pPr>
        <w:pStyle w:val="Normal"/>
        <w:numPr>
          <w:ilvl w:val="0"/>
          <w:numId w:val="10"/>
        </w:numPr>
        <w:spacing w:before="480" w:after="0"/>
        <w:jc w:val="both"/>
        <w:rPr>
          <w:rFonts w:ascii="Times New Roman" w:hAnsi="Times New Roman" w:cs="Times New Roman"/>
          <w:sz w:val="28"/>
          <w:szCs w:val="28"/>
        </w:rPr>
      </w:pPr>
      <w:r>
        <w:rPr>
          <w:rFonts w:cs="Times New Roman" w:ascii="Times New Roman" w:hAnsi="Times New Roman"/>
          <w:sz w:val="28"/>
          <w:szCs w:val="28"/>
        </w:rPr>
        <w:t xml:space="preserve">забезпечення якості професійної освіти на основі інтеграції загальноосвітньої та професійної підготовки, проведення незалежних моніторингових досліджень результатів професійної підготовки випускників ПТНЗ; </w:t>
      </w:r>
    </w:p>
    <w:p>
      <w:pPr>
        <w:pStyle w:val="Normal"/>
        <w:numPr>
          <w:ilvl w:val="0"/>
          <w:numId w:val="10"/>
        </w:numPr>
        <w:spacing w:before="480" w:after="0"/>
        <w:jc w:val="both"/>
        <w:rPr>
          <w:rFonts w:ascii="Times New Roman" w:hAnsi="Times New Roman" w:cs="Times New Roman"/>
          <w:sz w:val="28"/>
          <w:szCs w:val="28"/>
        </w:rPr>
      </w:pPr>
      <w:r>
        <w:rPr>
          <w:rFonts w:cs="Times New Roman" w:ascii="Times New Roman" w:hAnsi="Times New Roman"/>
          <w:sz w:val="28"/>
          <w:szCs w:val="28"/>
        </w:rPr>
        <w:t>створення нових типів навчальних закладів для оновлення змісту освіти й матеріально-технічного забезпечення навчального процесу, упровадження  інноваційних освітніх та виробничих технологій;</w:t>
      </w:r>
    </w:p>
    <w:p>
      <w:pPr>
        <w:pStyle w:val="Normal"/>
        <w:numPr>
          <w:ilvl w:val="0"/>
          <w:numId w:val="10"/>
        </w:numPr>
        <w:spacing w:before="480" w:after="0"/>
        <w:jc w:val="both"/>
        <w:rPr>
          <w:rFonts w:ascii="Times New Roman" w:hAnsi="Times New Roman" w:cs="Times New Roman"/>
          <w:sz w:val="28"/>
          <w:szCs w:val="28"/>
        </w:rPr>
      </w:pPr>
      <w:r>
        <w:rPr>
          <w:rFonts w:cs="Times New Roman" w:ascii="Times New Roman" w:hAnsi="Times New Roman"/>
          <w:sz w:val="28"/>
          <w:szCs w:val="28"/>
        </w:rPr>
        <w:t>формування державного замовлення на підготовку робітничого потенціалу з максимальним урахуванням економічних інтересів столиці у кваліфікованих робітничих кадрах шляхом системного моніторингу потреб ринку праці;</w:t>
      </w:r>
    </w:p>
    <w:p>
      <w:pPr>
        <w:pStyle w:val="Normal"/>
        <w:numPr>
          <w:ilvl w:val="0"/>
          <w:numId w:val="10"/>
        </w:numPr>
        <w:spacing w:before="480" w:after="0"/>
        <w:jc w:val="both"/>
        <w:rPr>
          <w:rFonts w:ascii="Times New Roman" w:hAnsi="Times New Roman" w:cs="Times New Roman"/>
          <w:sz w:val="28"/>
          <w:szCs w:val="28"/>
        </w:rPr>
      </w:pPr>
      <w:r>
        <w:rPr>
          <w:rFonts w:cs="Times New Roman" w:ascii="Times New Roman" w:hAnsi="Times New Roman"/>
          <w:sz w:val="28"/>
          <w:szCs w:val="28"/>
        </w:rPr>
        <w:t>активізація експериментально-дослідницької роботи щодо запровадження елементів дуальної системи навчання, запровадження компетентісного підходу до підготовки майбутніх робітників і спеціалістів у професійних навчальних закладах;</w:t>
      </w:r>
    </w:p>
    <w:p>
      <w:pPr>
        <w:pStyle w:val="Normal"/>
        <w:numPr>
          <w:ilvl w:val="0"/>
          <w:numId w:val="10"/>
        </w:numPr>
        <w:spacing w:before="480" w:after="0"/>
        <w:jc w:val="both"/>
        <w:rPr>
          <w:rFonts w:ascii="Times New Roman" w:hAnsi="Times New Roman" w:cs="Times New Roman"/>
          <w:sz w:val="28"/>
          <w:szCs w:val="28"/>
        </w:rPr>
      </w:pPr>
      <w:r>
        <w:rPr>
          <w:rFonts w:cs="Times New Roman" w:ascii="Times New Roman" w:hAnsi="Times New Roman"/>
          <w:sz w:val="28"/>
          <w:szCs w:val="28"/>
        </w:rPr>
        <w:t>упровадження в освітній простір інноваційних виробничих, освітніх, методико-педагогічних та інформаційно-комунікаційних технологій;</w:t>
      </w:r>
    </w:p>
    <w:p>
      <w:pPr>
        <w:pStyle w:val="Normal"/>
        <w:numPr>
          <w:ilvl w:val="0"/>
          <w:numId w:val="10"/>
        </w:numPr>
        <w:spacing w:before="480" w:after="0"/>
        <w:jc w:val="both"/>
        <w:rPr>
          <w:rFonts w:ascii="Times New Roman" w:hAnsi="Times New Roman" w:cs="Times New Roman"/>
          <w:sz w:val="28"/>
          <w:szCs w:val="28"/>
        </w:rPr>
      </w:pPr>
      <w:r>
        <w:rPr>
          <w:rFonts w:cs="Times New Roman" w:ascii="Times New Roman" w:hAnsi="Times New Roman"/>
          <w:sz w:val="28"/>
          <w:szCs w:val="28"/>
        </w:rPr>
        <w:t>розширення сфери освітніх та виробничих послуг професійно-технічних навчальних закладів;</w:t>
      </w:r>
    </w:p>
    <w:p>
      <w:pPr>
        <w:pStyle w:val="Normal"/>
        <w:numPr>
          <w:ilvl w:val="0"/>
          <w:numId w:val="10"/>
        </w:numPr>
        <w:spacing w:before="480" w:after="0"/>
        <w:jc w:val="both"/>
        <w:rPr>
          <w:rFonts w:ascii="Times New Roman" w:hAnsi="Times New Roman" w:cs="Times New Roman"/>
          <w:sz w:val="28"/>
          <w:szCs w:val="28"/>
        </w:rPr>
      </w:pPr>
      <w:r>
        <w:rPr>
          <w:rFonts w:cs="Times New Roman" w:ascii="Times New Roman" w:hAnsi="Times New Roman"/>
          <w:sz w:val="28"/>
          <w:szCs w:val="28"/>
        </w:rPr>
        <w:t>забезпечення різноманітних форм соціального захисту учнів (студентів) закладів професійно-технічної освіти, зокрема в процесі виробничого навчання та виробничої практики в умовах виробництва;</w:t>
      </w:r>
    </w:p>
    <w:p>
      <w:pPr>
        <w:pStyle w:val="Normal"/>
        <w:numPr>
          <w:ilvl w:val="0"/>
          <w:numId w:val="10"/>
        </w:numPr>
        <w:spacing w:before="480" w:after="0"/>
        <w:jc w:val="both"/>
        <w:rPr>
          <w:rFonts w:ascii="Times New Roman" w:hAnsi="Times New Roman" w:cs="Times New Roman"/>
          <w:sz w:val="28"/>
          <w:szCs w:val="28"/>
        </w:rPr>
      </w:pPr>
      <w:r>
        <w:rPr>
          <w:rFonts w:cs="Times New Roman" w:ascii="Times New Roman" w:hAnsi="Times New Roman"/>
          <w:sz w:val="28"/>
          <w:szCs w:val="28"/>
        </w:rPr>
        <w:t>здійснення модернізації матеріально-технічної бази навчальних закладів професійно-технічної освіти відповідно до вимог сучасних виробничих технологій;</w:t>
      </w:r>
    </w:p>
    <w:p>
      <w:pPr>
        <w:pStyle w:val="Normal"/>
        <w:numPr>
          <w:ilvl w:val="0"/>
          <w:numId w:val="10"/>
        </w:numPr>
        <w:spacing w:before="480" w:after="0"/>
        <w:jc w:val="both"/>
        <w:rPr>
          <w:rFonts w:ascii="Times New Roman" w:hAnsi="Times New Roman" w:cs="Times New Roman"/>
          <w:sz w:val="28"/>
          <w:szCs w:val="28"/>
        </w:rPr>
      </w:pPr>
      <w:r>
        <w:rPr>
          <w:rFonts w:cs="Times New Roman" w:ascii="Times New Roman" w:hAnsi="Times New Roman"/>
          <w:sz w:val="28"/>
          <w:szCs w:val="28"/>
        </w:rPr>
        <w:t>активізація профорієнтаційної роботи з метою створення позитивного іміджу робітничої професії та професійно-технічної освіти в засобах масової інформації на регіональному та загальнодержавному рівні;</w:t>
      </w:r>
    </w:p>
    <w:p>
      <w:pPr>
        <w:pStyle w:val="Normal"/>
        <w:numPr>
          <w:ilvl w:val="0"/>
          <w:numId w:val="10"/>
        </w:numPr>
        <w:spacing w:before="480" w:after="0"/>
        <w:jc w:val="both"/>
        <w:rPr>
          <w:rFonts w:ascii="Times New Roman" w:hAnsi="Times New Roman" w:cs="Times New Roman"/>
          <w:sz w:val="28"/>
          <w:szCs w:val="28"/>
        </w:rPr>
      </w:pPr>
      <w:r>
        <w:rPr>
          <w:rFonts w:cs="Times New Roman" w:ascii="Times New Roman" w:hAnsi="Times New Roman"/>
          <w:sz w:val="28"/>
          <w:szCs w:val="28"/>
        </w:rPr>
        <w:t>збільшення обсягів професійно-технічного навчання, підвищення кваліфікації, перепідготовки дорослого населення на базі навчальних закладів професійної освіти;</w:t>
      </w:r>
    </w:p>
    <w:p>
      <w:pPr>
        <w:pStyle w:val="Normal"/>
        <w:numPr>
          <w:ilvl w:val="0"/>
          <w:numId w:val="10"/>
        </w:numPr>
        <w:spacing w:before="480" w:after="0"/>
        <w:jc w:val="both"/>
        <w:rPr>
          <w:rFonts w:ascii="Times New Roman" w:hAnsi="Times New Roman" w:cs="Times New Roman"/>
          <w:sz w:val="28"/>
          <w:szCs w:val="28"/>
        </w:rPr>
      </w:pPr>
      <w:r>
        <w:rPr>
          <w:rFonts w:cs="Times New Roman" w:ascii="Times New Roman" w:hAnsi="Times New Roman"/>
          <w:sz w:val="28"/>
          <w:szCs w:val="28"/>
        </w:rPr>
        <w:t>розширення форм та напрямів міжнародної співпраці та впровадження  позитивного досвіду зарубіжних партнерів у навчально-виробничий процес закладів професійної освіти м. Києва.</w:t>
      </w:r>
    </w:p>
    <w:p>
      <w:pPr>
        <w:pStyle w:val="Normal"/>
        <w:jc w:val="center"/>
        <w:rPr>
          <w:rFonts w:ascii="Times New Roman" w:hAnsi="Times New Roman" w:cs="Times New Roman"/>
          <w:sz w:val="28"/>
          <w:szCs w:val="28"/>
        </w:rPr>
      </w:pPr>
      <w:r>
        <w:rPr>
          <w:rFonts w:cs="Times New Roman" w:ascii="Times New Roman" w:hAnsi="Times New Roman"/>
          <w:sz w:val="28"/>
          <w:szCs w:val="28"/>
        </w:rPr>
      </w:r>
    </w:p>
    <w:p>
      <w:pPr>
        <w:pStyle w:val="Normal"/>
        <w:jc w:val="center"/>
        <w:rPr>
          <w:rFonts w:ascii="Times New Roman" w:hAnsi="Times New Roman" w:cs="Times New Roman"/>
          <w:sz w:val="28"/>
          <w:szCs w:val="28"/>
          <w:lang w:val="ru-RU"/>
        </w:rPr>
      </w:pPr>
      <w:r>
        <w:rPr>
          <w:rFonts w:cs="Times New Roman" w:ascii="Times New Roman" w:hAnsi="Times New Roman"/>
          <w:sz w:val="28"/>
          <w:szCs w:val="28"/>
        </w:rPr>
        <w:t>Шляхи (завдання) вирішення проблем і досягнення цілей</w:t>
      </w:r>
    </w:p>
    <w:p>
      <w:pPr>
        <w:pStyle w:val="Normal"/>
        <w:numPr>
          <w:ilvl w:val="0"/>
          <w:numId w:val="9"/>
        </w:numPr>
        <w:spacing w:before="480" w:after="0"/>
        <w:jc w:val="both"/>
        <w:rPr>
          <w:rFonts w:ascii="Times New Roman" w:hAnsi="Times New Roman" w:cs="Times New Roman"/>
          <w:sz w:val="28"/>
          <w:szCs w:val="28"/>
        </w:rPr>
      </w:pPr>
      <w:r>
        <w:rPr>
          <w:rFonts w:cs="Times New Roman" w:ascii="Times New Roman" w:hAnsi="Times New Roman"/>
          <w:sz w:val="28"/>
          <w:szCs w:val="28"/>
        </w:rPr>
        <w:t>Сприяти розвитку управлінської та фінансової самостійності професійно-технічних навчальних закладів столиці відповідно до законодавства України.</w:t>
      </w:r>
    </w:p>
    <w:p>
      <w:pPr>
        <w:pStyle w:val="Normal"/>
        <w:numPr>
          <w:ilvl w:val="0"/>
          <w:numId w:val="9"/>
        </w:numPr>
        <w:spacing w:before="480" w:after="0"/>
        <w:jc w:val="both"/>
        <w:rPr>
          <w:rFonts w:ascii="Times New Roman" w:hAnsi="Times New Roman" w:cs="Times New Roman"/>
          <w:sz w:val="28"/>
          <w:szCs w:val="28"/>
        </w:rPr>
      </w:pPr>
      <w:r>
        <w:rPr>
          <w:rFonts w:cs="Times New Roman" w:ascii="Times New Roman" w:hAnsi="Times New Roman"/>
          <w:sz w:val="28"/>
          <w:szCs w:val="28"/>
        </w:rPr>
        <w:t xml:space="preserve">Сприяти залученню інвестицій для створення спеціалізованих та широко профільних сучасних центрів професійно-технічної освіти, започаткувати гранти для оновлення матеріально-технічної бази та впровадження сучасних освітніх виробничих технологій. </w:t>
      </w:r>
    </w:p>
    <w:p>
      <w:pPr>
        <w:pStyle w:val="Normal"/>
        <w:numPr>
          <w:ilvl w:val="0"/>
          <w:numId w:val="9"/>
        </w:numPr>
        <w:spacing w:before="480" w:after="0"/>
        <w:jc w:val="both"/>
        <w:rPr>
          <w:rFonts w:ascii="Times New Roman" w:hAnsi="Times New Roman" w:cs="Times New Roman"/>
          <w:sz w:val="28"/>
          <w:szCs w:val="28"/>
        </w:rPr>
      </w:pPr>
      <w:r>
        <w:rPr>
          <w:rFonts w:cs="Times New Roman" w:ascii="Times New Roman" w:hAnsi="Times New Roman"/>
          <w:sz w:val="28"/>
          <w:szCs w:val="28"/>
        </w:rPr>
        <w:t xml:space="preserve">Залучити роботодавців до визначення перспективних потреб столичного ринку праці для формування реального плану регіонального замовлення на підготовку робітничих кадрів. </w:t>
      </w:r>
    </w:p>
    <w:p>
      <w:pPr>
        <w:pStyle w:val="Normal"/>
        <w:numPr>
          <w:ilvl w:val="0"/>
          <w:numId w:val="9"/>
        </w:numPr>
        <w:spacing w:before="480" w:after="0"/>
        <w:jc w:val="both"/>
        <w:rPr>
          <w:rFonts w:ascii="Times New Roman" w:hAnsi="Times New Roman" w:cs="Times New Roman"/>
          <w:sz w:val="28"/>
          <w:szCs w:val="28"/>
        </w:rPr>
      </w:pPr>
      <w:r>
        <w:rPr>
          <w:rFonts w:cs="Times New Roman" w:ascii="Times New Roman" w:hAnsi="Times New Roman"/>
          <w:sz w:val="28"/>
          <w:szCs w:val="28"/>
        </w:rPr>
        <w:t xml:space="preserve">Сприяти комплектуванню закладів професійно-технічної освіти випускниками столичних загальноосвітніх навчальних закладів шляхом організації педагогічного супроводу для тих учнів, які потенційно мають нахили до робітничих професій. </w:t>
      </w:r>
    </w:p>
    <w:p>
      <w:pPr>
        <w:sectPr>
          <w:headerReference w:type="default" r:id="rId27"/>
          <w:headerReference w:type="first" r:id="rId28"/>
          <w:type w:val="nextPage"/>
          <w:pgSz w:w="11906" w:h="16838"/>
          <w:pgMar w:left="1134" w:right="567" w:header="709" w:top="851" w:footer="0" w:bottom="851" w:gutter="0"/>
          <w:pgNumType w:fmt="decimal"/>
          <w:formProt w:val="false"/>
          <w:titlePg/>
          <w:textDirection w:val="lrTb"/>
          <w:docGrid w:type="default" w:linePitch="360" w:charSpace="4294965247"/>
        </w:sectPr>
        <w:pStyle w:val="Normal"/>
        <w:numPr>
          <w:ilvl w:val="0"/>
          <w:numId w:val="9"/>
        </w:numPr>
        <w:spacing w:before="480" w:after="0"/>
        <w:jc w:val="both"/>
        <w:rPr>
          <w:rFonts w:ascii="Times New Roman" w:hAnsi="Times New Roman" w:cs="Times New Roman"/>
          <w:sz w:val="28"/>
          <w:szCs w:val="28"/>
        </w:rPr>
      </w:pPr>
      <w:r>
        <w:rPr>
          <w:rFonts w:cs="Times New Roman" w:ascii="Times New Roman" w:hAnsi="Times New Roman"/>
          <w:sz w:val="28"/>
          <w:szCs w:val="28"/>
        </w:rPr>
        <w:t xml:space="preserve">Сприяти реалізації різноманітних форм соціального захисту учнів (студентів) та випускників закладів професійної освіти (харчування, забезпечення місцями в учнівських та робітничих гуртожитках). </w:t>
      </w:r>
    </w:p>
    <w:p>
      <w:pPr>
        <w:pStyle w:val="2"/>
        <w:spacing w:before="120" w:after="120"/>
        <w:jc w:val="center"/>
        <w:rPr>
          <w:rFonts w:ascii="Times New Roman" w:hAnsi="Times New Roman" w:cs="Times New Roman"/>
          <w:b w:val="false"/>
          <w:b w:val="false"/>
          <w:color w:val="00000A"/>
          <w:sz w:val="28"/>
          <w:szCs w:val="28"/>
        </w:rPr>
      </w:pPr>
      <w:bookmarkStart w:id="28" w:name="_Toc431397875"/>
      <w:bookmarkEnd w:id="28"/>
      <w:r>
        <w:rPr>
          <w:rStyle w:val="22"/>
          <w:rFonts w:cs="Times New Roman"/>
          <w:b w:val="false"/>
          <w:color w:val="00000A"/>
          <w:szCs w:val="28"/>
        </w:rPr>
        <w:t>Напрями діяльності, завдання та заходи підпрограми «Професійно-технічна освіта»</w:t>
      </w:r>
    </w:p>
    <w:tbl>
      <w:tblPr>
        <w:tblW w:w="14952" w:type="dxa"/>
        <w:jc w:val="left"/>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566"/>
        <w:gridCol w:w="2268"/>
        <w:gridCol w:w="3012"/>
        <w:gridCol w:w="1525"/>
        <w:gridCol w:w="1843"/>
        <w:gridCol w:w="1633"/>
        <w:gridCol w:w="2336"/>
        <w:gridCol w:w="1767"/>
      </w:tblGrid>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Назва напряму діяльності (пріоритетні завдання)</w:t>
            </w:r>
          </w:p>
        </w:tc>
        <w:tc>
          <w:tcPr>
            <w:tcW w:w="3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Заходи підпрограми</w:t>
            </w:r>
          </w:p>
        </w:tc>
        <w:tc>
          <w:tcPr>
            <w:tcW w:w="15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Терміни виконання заходу</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Виконавці</w:t>
            </w:r>
          </w:p>
        </w:tc>
        <w:tc>
          <w:tcPr>
            <w:tcW w:w="1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Джерела фінансування</w:t>
            </w:r>
          </w:p>
        </w:tc>
        <w:tc>
          <w:tcPr>
            <w:tcW w:w="2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Орієнтовні обсяги фінансування (вартість), тис. гривень, у тому числі, за роками:</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Очікуваний результат</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w:t>
            </w:r>
          </w:p>
        </w:tc>
        <w:tc>
          <w:tcPr>
            <w:tcW w:w="3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3</w:t>
            </w:r>
          </w:p>
        </w:tc>
        <w:tc>
          <w:tcPr>
            <w:tcW w:w="15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4</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5</w:t>
            </w:r>
          </w:p>
        </w:tc>
        <w:tc>
          <w:tcPr>
            <w:tcW w:w="1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6</w:t>
            </w:r>
          </w:p>
        </w:tc>
        <w:tc>
          <w:tcPr>
            <w:tcW w:w="2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7</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Модернізувати ресурси професійно-технічних навчальних закладів як  закладів європейської столиці </w:t>
            </w:r>
          </w:p>
        </w:tc>
        <w:tc>
          <w:tcPr>
            <w:tcW w:w="3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both"/>
              <w:rPr>
                <w:rFonts w:ascii="Times New Roman" w:hAnsi="Times New Roman" w:cs="Times New Roman"/>
                <w:sz w:val="24"/>
                <w:szCs w:val="24"/>
              </w:rPr>
            </w:pPr>
            <w:r>
              <w:rPr>
                <w:rFonts w:cs="Times New Roman" w:ascii="Times New Roman" w:hAnsi="Times New Roman"/>
                <w:sz w:val="24"/>
                <w:szCs w:val="24"/>
              </w:rPr>
              <w:t>Збереження закладів професійно-технічної освіти та  підготовка кваліфікованих робітників за вимогами потреб ринку праці:</w:t>
            </w:r>
          </w:p>
          <w:p>
            <w:pPr>
              <w:pStyle w:val="Normal"/>
              <w:spacing w:lineRule="auto" w:line="240" w:before="200" w:after="0"/>
              <w:jc w:val="both"/>
              <w:rPr>
                <w:rFonts w:ascii="Times New Roman" w:hAnsi="Times New Roman" w:cs="Times New Roman"/>
                <w:sz w:val="24"/>
                <w:szCs w:val="24"/>
              </w:rPr>
            </w:pPr>
            <w:r>
              <w:rPr>
                <w:rFonts w:cs="Times New Roman" w:ascii="Times New Roman" w:hAnsi="Times New Roman"/>
                <w:sz w:val="24"/>
                <w:szCs w:val="24"/>
              </w:rPr>
              <w:t>- заробітна плата та нарахування на заробітну плату;</w:t>
            </w:r>
          </w:p>
          <w:p>
            <w:pPr>
              <w:pStyle w:val="Normal"/>
              <w:spacing w:lineRule="auto" w:line="240" w:before="200" w:after="0"/>
              <w:jc w:val="both"/>
              <w:rPr>
                <w:rFonts w:ascii="Times New Roman" w:hAnsi="Times New Roman" w:cs="Times New Roman"/>
                <w:sz w:val="24"/>
                <w:szCs w:val="24"/>
              </w:rPr>
            </w:pPr>
            <w:r>
              <w:rPr>
                <w:rFonts w:cs="Times New Roman" w:ascii="Times New Roman" w:hAnsi="Times New Roman"/>
                <w:sz w:val="24"/>
                <w:szCs w:val="24"/>
              </w:rPr>
              <w:t>- продукти харчування;</w:t>
            </w:r>
          </w:p>
          <w:p>
            <w:pPr>
              <w:pStyle w:val="Normal"/>
              <w:spacing w:lineRule="auto" w:line="240" w:before="200" w:after="0"/>
              <w:jc w:val="both"/>
              <w:rPr>
                <w:rFonts w:ascii="Times New Roman" w:hAnsi="Times New Roman" w:cs="Times New Roman"/>
                <w:sz w:val="24"/>
                <w:szCs w:val="24"/>
              </w:rPr>
            </w:pPr>
            <w:r>
              <w:rPr>
                <w:rFonts w:cs="Times New Roman" w:ascii="Times New Roman" w:hAnsi="Times New Roman"/>
                <w:sz w:val="24"/>
                <w:szCs w:val="24"/>
              </w:rPr>
              <w:t>оплата комунальних послуг та енергоносіїв;</w:t>
            </w:r>
          </w:p>
          <w:p>
            <w:pPr>
              <w:pStyle w:val="Normal"/>
              <w:spacing w:lineRule="auto" w:line="240" w:before="200" w:after="0"/>
              <w:jc w:val="both"/>
              <w:rPr>
                <w:rFonts w:ascii="Times New Roman" w:hAnsi="Times New Roman" w:cs="Times New Roman"/>
                <w:sz w:val="24"/>
                <w:szCs w:val="24"/>
              </w:rPr>
            </w:pPr>
            <w:r>
              <w:rPr>
                <w:rFonts w:cs="Times New Roman" w:ascii="Times New Roman" w:hAnsi="Times New Roman"/>
                <w:sz w:val="24"/>
                <w:szCs w:val="24"/>
              </w:rPr>
              <w:t>- соціальне забезпечення учнів;</w:t>
            </w:r>
          </w:p>
          <w:p>
            <w:pPr>
              <w:pStyle w:val="Normal"/>
              <w:spacing w:lineRule="auto" w:line="240" w:before="200" w:after="0"/>
              <w:jc w:val="both"/>
              <w:rPr>
                <w:rFonts w:ascii="Times New Roman" w:hAnsi="Times New Roman" w:cs="Times New Roman"/>
                <w:sz w:val="24"/>
                <w:szCs w:val="24"/>
              </w:rPr>
            </w:pPr>
            <w:r>
              <w:rPr>
                <w:rFonts w:cs="Times New Roman" w:ascii="Times New Roman" w:hAnsi="Times New Roman"/>
                <w:sz w:val="24"/>
                <w:szCs w:val="24"/>
              </w:rPr>
              <w:t>- придбання обладнання;</w:t>
            </w:r>
          </w:p>
          <w:p>
            <w:pPr>
              <w:pStyle w:val="Normal"/>
              <w:spacing w:lineRule="auto" w:line="240" w:before="200" w:after="0"/>
              <w:jc w:val="both"/>
              <w:rPr>
                <w:rFonts w:ascii="Times New Roman" w:hAnsi="Times New Roman" w:cs="Times New Roman"/>
                <w:sz w:val="24"/>
                <w:szCs w:val="24"/>
              </w:rPr>
            </w:pPr>
            <w:r>
              <w:rPr>
                <w:rFonts w:cs="Times New Roman" w:ascii="Times New Roman" w:hAnsi="Times New Roman"/>
                <w:sz w:val="24"/>
                <w:szCs w:val="24"/>
              </w:rPr>
              <w:t>- інші видатки</w:t>
            </w:r>
          </w:p>
        </w:tc>
        <w:tc>
          <w:tcPr>
            <w:tcW w:w="15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Департамент освіти і науки, молоді та спорту </w:t>
            </w:r>
          </w:p>
        </w:tc>
        <w:tc>
          <w:tcPr>
            <w:tcW w:w="1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jc w:val="center"/>
              <w:rPr>
                <w:rFonts w:ascii="Times New Roman" w:hAnsi="Times New Roman" w:cs="Times New Roman"/>
                <w:sz w:val="24"/>
                <w:szCs w:val="24"/>
              </w:rPr>
            </w:pPr>
            <w:r>
              <w:rPr>
                <w:rFonts w:cs="Times New Roman" w:ascii="Times New Roman" w:hAnsi="Times New Roman"/>
                <w:sz w:val="24"/>
                <w:szCs w:val="24"/>
              </w:rPr>
              <w:t>Бюджет м. Києва, власні надходження</w:t>
            </w:r>
          </w:p>
        </w:tc>
        <w:tc>
          <w:tcPr>
            <w:tcW w:w="2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Усього:</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1 447 203,2</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200" w:after="0"/>
              <w:rPr>
                <w:rFonts w:ascii="Times New Roman" w:hAnsi="Times New Roman" w:cs="Times New Roman"/>
                <w:sz w:val="12"/>
                <w:szCs w:val="12"/>
              </w:rPr>
            </w:pPr>
            <w:r>
              <w:rPr>
                <w:rFonts w:cs="Times New Roman" w:ascii="Times New Roman" w:hAnsi="Times New Roman"/>
                <w:sz w:val="12"/>
                <w:szCs w:val="12"/>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Загальний фонд: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1 324 471,2</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2016 р. – 402 476,9</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2017 р. – 444 334,6</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2018 р. – 477 659,7</w:t>
            </w:r>
          </w:p>
          <w:p>
            <w:pPr>
              <w:pStyle w:val="Normal"/>
              <w:spacing w:lineRule="auto" w:line="240" w:before="200" w:after="0"/>
              <w:rPr>
                <w:rFonts w:ascii="Times New Roman" w:hAnsi="Times New Roman" w:cs="Times New Roman"/>
                <w:sz w:val="12"/>
                <w:szCs w:val="12"/>
              </w:rPr>
            </w:pPr>
            <w:r>
              <w:rPr>
                <w:rFonts w:cs="Times New Roman" w:ascii="Times New Roman" w:hAnsi="Times New Roman"/>
                <w:sz w:val="12"/>
                <w:szCs w:val="12"/>
              </w:rPr>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власні надходження: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122 732,0</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                     2016 р.-</w:t>
            </w:r>
            <w:r>
              <w:rPr>
                <w:rFonts w:cs="Times New Roman" w:ascii="Times New Roman" w:hAnsi="Times New Roman"/>
              </w:rPr>
              <w:t xml:space="preserve"> </w:t>
            </w:r>
            <w:r>
              <w:rPr>
                <w:rFonts w:cs="Times New Roman" w:ascii="Times New Roman" w:hAnsi="Times New Roman"/>
                <w:sz w:val="24"/>
                <w:szCs w:val="24"/>
              </w:rPr>
              <w:t>37 295,3       2017 р.-</w:t>
            </w:r>
            <w:r>
              <w:rPr>
                <w:rFonts w:cs="Times New Roman" w:ascii="Times New Roman" w:hAnsi="Times New Roman"/>
              </w:rPr>
              <w:t xml:space="preserve"> </w:t>
            </w:r>
            <w:r>
              <w:rPr>
                <w:rFonts w:cs="Times New Roman" w:ascii="Times New Roman" w:hAnsi="Times New Roman"/>
                <w:sz w:val="24"/>
                <w:szCs w:val="24"/>
              </w:rPr>
              <w:t>41 174,1</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2018 р.-</w:t>
            </w:r>
            <w:r>
              <w:rPr>
                <w:rFonts w:cs="Times New Roman" w:ascii="Times New Roman" w:hAnsi="Times New Roman"/>
              </w:rPr>
              <w:t xml:space="preserve"> </w:t>
            </w:r>
            <w:r>
              <w:rPr>
                <w:rFonts w:cs="Times New Roman" w:ascii="Times New Roman" w:hAnsi="Times New Roman"/>
                <w:sz w:val="24"/>
                <w:szCs w:val="24"/>
              </w:rPr>
              <w:t>44 262,6</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Забезпечення рівного права на здобуття професійно-технічної освіти громадянами та їх самореалізація  в суспільстві</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w:t>
            </w:r>
          </w:p>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Забезпечити професійне зростання учасників навчально-виховного процесу</w:t>
            </w:r>
          </w:p>
        </w:tc>
        <w:tc>
          <w:tcPr>
            <w:tcW w:w="3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Гармонізація теорії та практики професійно-технічної  підготовки</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15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заклади професійно-технічної освіти</w:t>
            </w:r>
          </w:p>
        </w:tc>
        <w:tc>
          <w:tcPr>
            <w:tcW w:w="1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tc>
        <w:tc>
          <w:tcPr>
            <w:tcW w:w="2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Бюджет м. Києва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Усього</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загальний фонд: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6</w:t>
            </w:r>
            <w:r>
              <w:rPr>
                <w:rFonts w:cs="Times New Roman" w:ascii="Times New Roman" w:hAnsi="Times New Roman"/>
                <w:sz w:val="24"/>
                <w:szCs w:val="24"/>
                <w:lang w:val="ru-RU"/>
              </w:rPr>
              <w:t xml:space="preserve"> </w:t>
            </w:r>
            <w:r>
              <w:rPr>
                <w:rFonts w:cs="Times New Roman" w:ascii="Times New Roman" w:hAnsi="Times New Roman"/>
                <w:sz w:val="24"/>
                <w:szCs w:val="24"/>
              </w:rPr>
              <w:t>189,7</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2016 р. – 1 870,0</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2017 р. – 2 057,0</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2018 р. – </w:t>
            </w:r>
            <w:r>
              <w:rPr>
                <w:rFonts w:ascii="Times New Roman" w:hAnsi="Times New Roman"/>
                <w:sz w:val="24"/>
                <w:szCs w:val="24"/>
                <w:lang w:val="ru-RU"/>
              </w:rPr>
              <w:t>2 262,7</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Забезпечення якості професійно-технічної підготовки молодого фахівця, мобільного та  конкурентно- спроможного на ринку праці асаме:</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-упровадження інноваційних освітніх,  виробничих та інформаційно-комунікаційних технологій;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 підвищення рівня професійної компетентності педагогічних працівників  та випускників закладів професійної освіти,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створення механізму ефективної взаємодії з роботодавцями</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3</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Формувати позитивний імідж професійно-технічної освіти  столиці  </w:t>
            </w:r>
          </w:p>
        </w:tc>
        <w:tc>
          <w:tcPr>
            <w:tcW w:w="3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 xml:space="preserve">Формування активної громадянської позиції, розвиток різних форм соціального захисту учасників навчально-виховного процесу закладів професійно-технічної освіти: </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15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заклади професійно-технічної освіти</w:t>
            </w:r>
          </w:p>
        </w:tc>
        <w:tc>
          <w:tcPr>
            <w:tcW w:w="1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tc>
        <w:tc>
          <w:tcPr>
            <w:tcW w:w="2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Усього</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загальний фонд: 44</w:t>
            </w:r>
            <w:r>
              <w:rPr>
                <w:rFonts w:cs="Times New Roman" w:ascii="Times New Roman" w:hAnsi="Times New Roman"/>
                <w:sz w:val="24"/>
                <w:szCs w:val="24"/>
                <w:lang w:val="en-US"/>
              </w:rPr>
              <w:t> </w:t>
            </w:r>
            <w:r>
              <w:rPr>
                <w:rFonts w:cs="Times New Roman" w:ascii="Times New Roman" w:hAnsi="Times New Roman"/>
                <w:sz w:val="24"/>
                <w:szCs w:val="24"/>
              </w:rPr>
              <w:t>026,0</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2016 р. – 13 303,0</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2017 р. – 14 630,0</w:t>
            </w:r>
          </w:p>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2018 р. – 16 093,0</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t>Підвищення іміджу професійно-технічної освіти у суспільстві. Залучення учасників начально-виховного процесу закладів професійно-технічної освіти  до регіональних, всеукраїнсь-ких та міжнародних масових заходах</w:t>
            </w:r>
          </w:p>
        </w:tc>
      </w:tr>
      <w:tr>
        <w:trPr/>
        <w:tc>
          <w:tcPr>
            <w:tcW w:w="56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301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8"/>
                <w:szCs w:val="28"/>
              </w:rPr>
              <w:t>УСЬОГО:</w:t>
            </w:r>
          </w:p>
        </w:tc>
        <w:tc>
          <w:tcPr>
            <w:tcW w:w="15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jc w:val="center"/>
              <w:rPr>
                <w:rFonts w:ascii="Times New Roman" w:hAnsi="Times New Roman" w:cs="Times New Roman"/>
                <w:sz w:val="24"/>
                <w:szCs w:val="24"/>
              </w:rPr>
            </w:pPr>
            <w:r>
              <w:rPr>
                <w:rFonts w:cs="Times New Roman" w:ascii="Times New Roman" w:hAnsi="Times New Roman"/>
                <w:sz w:val="24"/>
                <w:szCs w:val="24"/>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c>
          <w:tcPr>
            <w:tcW w:w="16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rPr>
                <w:rFonts w:ascii="Times New Roman" w:hAnsi="Times New Roman" w:cs="Times New Roman"/>
                <w:sz w:val="24"/>
                <w:szCs w:val="24"/>
              </w:rPr>
            </w:pPr>
            <w:r>
              <w:rPr>
                <w:rFonts w:cs="Times New Roman" w:ascii="Times New Roman" w:hAnsi="Times New Roman"/>
                <w:sz w:val="24"/>
                <w:szCs w:val="24"/>
              </w:rPr>
            </w:r>
          </w:p>
        </w:tc>
        <w:tc>
          <w:tcPr>
            <w:tcW w:w="23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before="200" w:after="0"/>
              <w:jc w:val="center"/>
              <w:rPr>
                <w:rFonts w:ascii="Times New Roman" w:hAnsi="Times New Roman" w:cs="Times New Roman"/>
                <w:color w:val="000000"/>
                <w:sz w:val="28"/>
                <w:szCs w:val="28"/>
              </w:rPr>
            </w:pPr>
            <w:r>
              <w:rPr>
                <w:rFonts w:cs="Times New Roman" w:ascii="Times New Roman" w:hAnsi="Times New Roman"/>
                <w:sz w:val="24"/>
                <w:szCs w:val="24"/>
              </w:rPr>
              <w:t>Бюджет м. Києва</w:t>
            </w:r>
            <w:r>
              <w:rPr>
                <w:rFonts w:cs="Times New Roman" w:ascii="Times New Roman" w:hAnsi="Times New Roman"/>
                <w:color w:val="000000"/>
                <w:sz w:val="28"/>
                <w:szCs w:val="28"/>
              </w:rPr>
              <w:t xml:space="preserve"> 1 497 418,9</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у  тому числі:  </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м. Києва  загальний фонд: </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усього: 1 374 686,9</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2016р. – 417 649,9  2017р. – 461 021,6   2018р. – 496 015,4 </w:t>
            </w:r>
          </w:p>
          <w:p>
            <w:pPr>
              <w:pStyle w:val="Normal"/>
              <w:spacing w:before="200" w:after="0"/>
              <w:rPr>
                <w:rFonts w:ascii="Times New Roman" w:hAnsi="Times New Roman" w:cs="Times New Roman"/>
                <w:color w:val="000000"/>
                <w:sz w:val="8"/>
                <w:szCs w:val="8"/>
              </w:rPr>
            </w:pPr>
            <w:r>
              <w:rPr>
                <w:rFonts w:cs="Times New Roman" w:ascii="Times New Roman" w:hAnsi="Times New Roman"/>
                <w:color w:val="000000"/>
                <w:sz w:val="8"/>
                <w:szCs w:val="8"/>
              </w:rPr>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Власні надходження </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Усього:</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122 732,0</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w:t>
            </w:r>
          </w:p>
          <w:p>
            <w:pPr>
              <w:pStyle w:val="Normal"/>
              <w:spacing w:before="20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2016р. – 37 295,3  2017р. –  41 174,1   2018р. –  44 262,6</w:t>
            </w:r>
          </w:p>
        </w:tc>
        <w:tc>
          <w:tcPr>
            <w:tcW w:w="17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200" w:after="0"/>
              <w:rPr>
                <w:rFonts w:ascii="Times New Roman" w:hAnsi="Times New Roman" w:cs="Times New Roman"/>
                <w:sz w:val="24"/>
                <w:szCs w:val="24"/>
              </w:rPr>
            </w:pPr>
            <w:r>
              <w:rPr>
                <w:rFonts w:cs="Times New Roman" w:ascii="Times New Roman" w:hAnsi="Times New Roman"/>
                <w:sz w:val="24"/>
                <w:szCs w:val="24"/>
              </w:rPr>
            </w:r>
          </w:p>
        </w:tc>
      </w:tr>
    </w:tbl>
    <w:p>
      <w:pPr>
        <w:pStyle w:val="2"/>
        <w:spacing w:before="120" w:after="120"/>
        <w:jc w:val="center"/>
        <w:rPr>
          <w:rFonts w:ascii="Times New Roman" w:hAnsi="Times New Roman" w:cs="Times New Roman"/>
          <w:b w:val="false"/>
          <w:b w:val="false"/>
          <w:color w:val="00000A"/>
          <w:sz w:val="28"/>
          <w:szCs w:val="28"/>
        </w:rPr>
      </w:pPr>
      <w:bookmarkStart w:id="29" w:name="_Toc431397876"/>
      <w:r>
        <w:rPr>
          <w:rStyle w:val="22"/>
          <w:rFonts w:cs="Times New Roman"/>
          <w:b w:val="false"/>
          <w:color w:val="00000A"/>
          <w:szCs w:val="28"/>
        </w:rPr>
        <w:t>Очікувані показники виконання підпрограми</w:t>
      </w:r>
      <w:bookmarkEnd w:id="29"/>
      <w:r>
        <w:rPr>
          <w:rFonts w:cs="Times New Roman" w:ascii="Times New Roman" w:hAnsi="Times New Roman"/>
          <w:b w:val="false"/>
          <w:color w:val="00000A"/>
          <w:sz w:val="28"/>
          <w:szCs w:val="28"/>
        </w:rPr>
        <w:t xml:space="preserve"> «Професійно-технічна освіта»</w:t>
      </w:r>
    </w:p>
    <w:tbl>
      <w:tblPr>
        <w:tblStyle w:val="16"/>
        <w:tblW w:w="15022" w:type="dxa"/>
        <w:jc w:val="left"/>
        <w:tblInd w:w="0" w:type="dxa"/>
        <w:tblCellMar>
          <w:top w:w="0" w:type="dxa"/>
          <w:left w:w="108" w:type="dxa"/>
          <w:bottom w:w="0" w:type="dxa"/>
          <w:right w:w="108" w:type="dxa"/>
        </w:tblCellMar>
        <w:tblLook w:firstRow="1" w:noVBand="1" w:lastRow="0" w:firstColumn="1" w:lastColumn="0" w:noHBand="0" w:val="04a0"/>
      </w:tblPr>
      <w:tblGrid>
        <w:gridCol w:w="546"/>
        <w:gridCol w:w="5596"/>
        <w:gridCol w:w="1562"/>
        <w:gridCol w:w="1644"/>
        <w:gridCol w:w="1643"/>
        <w:gridCol w:w="1644"/>
        <w:gridCol w:w="1"/>
        <w:gridCol w:w="2385"/>
      </w:tblGrid>
      <w:tr>
        <w:trPr>
          <w:trHeight w:val="405" w:hRule="atLeast"/>
        </w:trPr>
        <w:tc>
          <w:tcPr>
            <w:tcW w:w="546"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5596"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Обсяг коштів на виконання підпрограми</w:t>
            </w:r>
          </w:p>
        </w:tc>
        <w:tc>
          <w:tcPr>
            <w:tcW w:w="1562"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Одиниці вимірювання</w:t>
            </w:r>
          </w:p>
        </w:tc>
        <w:tc>
          <w:tcPr>
            <w:tcW w:w="4932" w:type="dxa"/>
            <w:gridSpan w:val="4"/>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Етапи виконання підпрограми за роками</w:t>
            </w:r>
          </w:p>
        </w:tc>
        <w:tc>
          <w:tcPr>
            <w:tcW w:w="2385"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Усього витрат на виконання підпрограми</w:t>
            </w:r>
          </w:p>
        </w:tc>
      </w:tr>
      <w:tr>
        <w:trPr>
          <w:trHeight w:val="639" w:hRule="atLeast"/>
        </w:trPr>
        <w:tc>
          <w:tcPr>
            <w:tcW w:w="546" w:type="dxa"/>
            <w:vMerge w:val="continue"/>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5596" w:type="dxa"/>
            <w:vMerge w:val="continue"/>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562" w:type="dxa"/>
            <w:vMerge w:val="continue"/>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w:t>
            </w:r>
          </w:p>
        </w:tc>
        <w:tc>
          <w:tcPr>
            <w:tcW w:w="1643"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2017</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2018</w:t>
            </w:r>
          </w:p>
        </w:tc>
        <w:tc>
          <w:tcPr>
            <w:tcW w:w="2386" w:type="dxa"/>
            <w:gridSpan w:val="2"/>
            <w:vMerge w:val="continue"/>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405" w:hRule="atLeast"/>
        </w:trPr>
        <w:tc>
          <w:tcPr>
            <w:tcW w:w="15021" w:type="dxa"/>
            <w:gridSpan w:val="8"/>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Професійно-технічні навчальні заклади</w:t>
            </w:r>
          </w:p>
        </w:tc>
      </w:tr>
      <w:tr>
        <w:trPr>
          <w:trHeight w:val="568"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5596"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Бюджет м. Києва</w:t>
            </w:r>
          </w:p>
        </w:tc>
        <w:tc>
          <w:tcPr>
            <w:tcW w:w="1562"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sz w:val="24"/>
                <w:szCs w:val="24"/>
              </w:rPr>
              <w:t>454 945,2</w:t>
            </w:r>
          </w:p>
        </w:tc>
        <w:tc>
          <w:tcPr>
            <w:tcW w:w="1643"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sz w:val="24"/>
                <w:szCs w:val="24"/>
              </w:rPr>
              <w:t>502 195,7</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sz w:val="24"/>
                <w:szCs w:val="24"/>
              </w:rPr>
              <w:t>540 278,0</w:t>
            </w:r>
          </w:p>
        </w:tc>
        <w:tc>
          <w:tcPr>
            <w:tcW w:w="2386" w:type="dxa"/>
            <w:gridSpan w:val="2"/>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sz w:val="24"/>
                <w:szCs w:val="24"/>
              </w:rPr>
              <w:t>1 497 418,9</w:t>
            </w:r>
          </w:p>
        </w:tc>
      </w:tr>
      <w:tr>
        <w:trPr>
          <w:trHeight w:val="405" w:hRule="atLeast"/>
        </w:trPr>
        <w:tc>
          <w:tcPr>
            <w:tcW w:w="15021" w:type="dxa"/>
            <w:gridSpan w:val="8"/>
            <w:tcBorders/>
            <w:shd w:fill="auto" w:val="clear"/>
            <w:tcMar>
              <w:left w:w="108" w:type="dxa"/>
            </w:tcMar>
          </w:tcPr>
          <w:p>
            <w:pPr>
              <w:pStyle w:val="Normal"/>
              <w:spacing w:lineRule="auto" w:line="240" w:before="0" w:after="0"/>
              <w:jc w:val="center"/>
              <w:rPr>
                <w:rFonts w:ascii="Times New Roman" w:hAnsi="Times New Roman" w:cs="Times New Roman"/>
                <w:bCs/>
                <w:i/>
                <w:i/>
                <w:sz w:val="24"/>
                <w:szCs w:val="24"/>
              </w:rPr>
            </w:pPr>
            <w:r>
              <w:rPr>
                <w:rFonts w:cs="Times New Roman" w:ascii="Times New Roman" w:hAnsi="Times New Roman"/>
                <w:bCs/>
                <w:i/>
                <w:sz w:val="24"/>
                <w:szCs w:val="24"/>
              </w:rPr>
              <w:t>Показники затрат</w:t>
            </w:r>
          </w:p>
        </w:tc>
      </w:tr>
      <w:tr>
        <w:trPr>
          <w:trHeight w:val="578"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559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Забезпечення підготовки кваліфікованих робітників для потреб суспільства держави</w:t>
            </w:r>
          </w:p>
        </w:tc>
        <w:tc>
          <w:tcPr>
            <w:tcW w:w="156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тис. грн.</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sz w:val="24"/>
                <w:szCs w:val="24"/>
              </w:rPr>
              <w:t>454 945,2</w:t>
            </w:r>
          </w:p>
        </w:tc>
        <w:tc>
          <w:tcPr>
            <w:tcW w:w="1643"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sz w:val="24"/>
                <w:szCs w:val="24"/>
              </w:rPr>
              <w:t>502 195,7</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sz w:val="24"/>
                <w:szCs w:val="24"/>
              </w:rPr>
              <w:t>540 278,0</w:t>
            </w:r>
          </w:p>
        </w:tc>
        <w:tc>
          <w:tcPr>
            <w:tcW w:w="2386" w:type="dxa"/>
            <w:gridSpan w:val="2"/>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sz w:val="24"/>
                <w:szCs w:val="24"/>
              </w:rPr>
              <w:t>1 497 418,9</w:t>
            </w:r>
          </w:p>
        </w:tc>
      </w:tr>
      <w:tr>
        <w:trPr>
          <w:trHeight w:val="562"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559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кількість закладів</w:t>
            </w:r>
          </w:p>
        </w:tc>
        <w:tc>
          <w:tcPr>
            <w:tcW w:w="156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од.</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26</w:t>
            </w:r>
          </w:p>
        </w:tc>
        <w:tc>
          <w:tcPr>
            <w:tcW w:w="1643"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26</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26</w:t>
            </w:r>
          </w:p>
        </w:tc>
        <w:tc>
          <w:tcPr>
            <w:tcW w:w="2386"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405"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559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середньорічна кількість ставок педагогічного персоналу</w:t>
            </w:r>
          </w:p>
        </w:tc>
        <w:tc>
          <w:tcPr>
            <w:tcW w:w="156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од.</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881,5</w:t>
            </w:r>
          </w:p>
        </w:tc>
        <w:tc>
          <w:tcPr>
            <w:tcW w:w="1643"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881,5</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881,5</w:t>
            </w:r>
          </w:p>
        </w:tc>
        <w:tc>
          <w:tcPr>
            <w:tcW w:w="2386"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810"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559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середньорічна кількість штатних одиниць адмінперсоналу (за умовами оплати віднесених до педагогічного персоналу)</w:t>
            </w:r>
          </w:p>
        </w:tc>
        <w:tc>
          <w:tcPr>
            <w:tcW w:w="156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од.</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1 634</w:t>
            </w:r>
          </w:p>
        </w:tc>
        <w:tc>
          <w:tcPr>
            <w:tcW w:w="1643"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1 634</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1 634</w:t>
            </w:r>
          </w:p>
        </w:tc>
        <w:tc>
          <w:tcPr>
            <w:tcW w:w="2386"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405"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559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середньорічна кількість штатних одиниць спеціалістів</w:t>
            </w:r>
          </w:p>
        </w:tc>
        <w:tc>
          <w:tcPr>
            <w:tcW w:w="156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од.</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660</w:t>
            </w:r>
          </w:p>
        </w:tc>
        <w:tc>
          <w:tcPr>
            <w:tcW w:w="1643"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660</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660</w:t>
            </w:r>
          </w:p>
        </w:tc>
        <w:tc>
          <w:tcPr>
            <w:tcW w:w="2386"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405"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559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середньорічна кількість штатних одиниць робітників</w:t>
            </w:r>
          </w:p>
        </w:tc>
        <w:tc>
          <w:tcPr>
            <w:tcW w:w="156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од.</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1 082</w:t>
            </w:r>
          </w:p>
        </w:tc>
        <w:tc>
          <w:tcPr>
            <w:tcW w:w="1643"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1 082</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1 082</w:t>
            </w:r>
          </w:p>
        </w:tc>
        <w:tc>
          <w:tcPr>
            <w:tcW w:w="2386"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405"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559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усього середньорічна кількість ставок </w:t>
            </w:r>
          </w:p>
        </w:tc>
        <w:tc>
          <w:tcPr>
            <w:tcW w:w="156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од.</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4 257,5</w:t>
            </w:r>
          </w:p>
        </w:tc>
        <w:tc>
          <w:tcPr>
            <w:tcW w:w="1643"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4 257,5</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4 257,5</w:t>
            </w:r>
          </w:p>
        </w:tc>
        <w:tc>
          <w:tcPr>
            <w:tcW w:w="2386"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584" w:hRule="atLeast"/>
        </w:trPr>
        <w:tc>
          <w:tcPr>
            <w:tcW w:w="15021" w:type="dxa"/>
            <w:gridSpan w:val="8"/>
            <w:tcBorders/>
            <w:shd w:fill="auto" w:val="clear"/>
            <w:tcMar>
              <w:left w:w="108" w:type="dxa"/>
            </w:tcMar>
          </w:tcPr>
          <w:p>
            <w:pPr>
              <w:pStyle w:val="Normal"/>
              <w:spacing w:lineRule="auto" w:line="240" w:before="0" w:after="0"/>
              <w:jc w:val="center"/>
              <w:rPr>
                <w:rFonts w:ascii="Times New Roman" w:hAnsi="Times New Roman" w:cs="Times New Roman"/>
                <w:bCs/>
                <w:i/>
                <w:i/>
                <w:sz w:val="24"/>
                <w:szCs w:val="24"/>
              </w:rPr>
            </w:pPr>
            <w:r>
              <w:rPr>
                <w:rFonts w:cs="Times New Roman" w:ascii="Times New Roman" w:hAnsi="Times New Roman"/>
                <w:bCs/>
                <w:i/>
                <w:sz w:val="24"/>
                <w:szCs w:val="24"/>
              </w:rPr>
              <w:t>Показники продукту</w:t>
            </w:r>
          </w:p>
        </w:tc>
      </w:tr>
      <w:tr>
        <w:trPr>
          <w:trHeight w:val="604"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559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Середньорічна кількість учнів</w:t>
            </w:r>
          </w:p>
        </w:tc>
        <w:tc>
          <w:tcPr>
            <w:tcW w:w="156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осіб</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15 256</w:t>
            </w:r>
          </w:p>
        </w:tc>
        <w:tc>
          <w:tcPr>
            <w:tcW w:w="1643"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15 256</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15 256</w:t>
            </w:r>
          </w:p>
        </w:tc>
        <w:tc>
          <w:tcPr>
            <w:tcW w:w="2386"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468" w:hRule="atLeast"/>
        </w:trPr>
        <w:tc>
          <w:tcPr>
            <w:tcW w:w="15021" w:type="dxa"/>
            <w:gridSpan w:val="8"/>
            <w:tcBorders/>
            <w:shd w:fill="auto" w:val="clear"/>
            <w:tcMar>
              <w:left w:w="108" w:type="dxa"/>
            </w:tcMar>
          </w:tcPr>
          <w:p>
            <w:pPr>
              <w:pStyle w:val="Normal"/>
              <w:spacing w:lineRule="auto" w:line="240" w:before="0" w:after="0"/>
              <w:jc w:val="center"/>
              <w:rPr>
                <w:rFonts w:ascii="Times New Roman" w:hAnsi="Times New Roman" w:cs="Times New Roman"/>
                <w:bCs/>
                <w:i/>
                <w:i/>
                <w:sz w:val="24"/>
                <w:szCs w:val="24"/>
              </w:rPr>
            </w:pPr>
            <w:r>
              <w:rPr>
                <w:rFonts w:cs="Times New Roman" w:ascii="Times New Roman" w:hAnsi="Times New Roman"/>
                <w:bCs/>
                <w:i/>
                <w:sz w:val="24"/>
                <w:szCs w:val="24"/>
              </w:rPr>
              <w:t>Показники ефективності</w:t>
            </w:r>
          </w:p>
        </w:tc>
      </w:tr>
      <w:tr>
        <w:trPr>
          <w:trHeight w:val="474" w:hRule="atLeast"/>
        </w:trPr>
        <w:tc>
          <w:tcPr>
            <w:tcW w:w="54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5596"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Витрати на 1 учня (дитину)</w:t>
            </w:r>
          </w:p>
        </w:tc>
        <w:tc>
          <w:tcPr>
            <w:tcW w:w="1562"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грн.</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29 820,739</w:t>
            </w:r>
          </w:p>
        </w:tc>
        <w:tc>
          <w:tcPr>
            <w:tcW w:w="1643"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32 917,914</w:t>
            </w:r>
          </w:p>
        </w:tc>
        <w:tc>
          <w:tcPr>
            <w:tcW w:w="1644"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35 414,132</w:t>
            </w:r>
          </w:p>
        </w:tc>
        <w:tc>
          <w:tcPr>
            <w:tcW w:w="2386" w:type="dxa"/>
            <w:gridSpan w:val="2"/>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bl>
    <w:p>
      <w:pPr>
        <w:sectPr>
          <w:headerReference w:type="default" r:id="rId29"/>
          <w:headerReference w:type="first" r:id="rId30"/>
          <w:type w:val="nextPage"/>
          <w:pgSz w:orient="landscape" w:w="16838" w:h="11906"/>
          <w:pgMar w:left="851" w:right="851" w:header="709" w:top="1135" w:footer="0" w:bottom="1134" w:gutter="0"/>
          <w:pgNumType w:fmt="decimal"/>
          <w:formProt w:val="false"/>
          <w:titlePg/>
          <w:textDirection w:val="lrTb"/>
          <w:docGrid w:type="default" w:linePitch="360" w:charSpace="4294965247"/>
        </w:sectPr>
        <w:pStyle w:val="Normal"/>
        <w:rPr/>
      </w:pPr>
      <w:r>
        <w:rPr/>
      </w:r>
    </w:p>
    <w:p>
      <w:pPr>
        <w:pStyle w:val="1"/>
        <w:spacing w:before="120" w:after="120"/>
        <w:jc w:val="center"/>
        <w:rPr>
          <w:rFonts w:ascii="Times New Roman" w:hAnsi="Times New Roman" w:cs="Times New Roman"/>
          <w:color w:val="00000A"/>
        </w:rPr>
      </w:pPr>
      <w:r>
        <w:rPr>
          <w:rFonts w:cs="Times New Roman" w:ascii="Times New Roman" w:hAnsi="Times New Roman"/>
          <w:color w:val="00000A"/>
        </w:rPr>
        <w:t>Підпрограма «Вища освіта і наука»</w:t>
      </w:r>
    </w:p>
    <w:p>
      <w:pPr>
        <w:pStyle w:val="Normal"/>
        <w:spacing w:lineRule="auto" w:line="240" w:before="480" w:after="0"/>
        <w:ind w:firstLine="54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Вища освіта столиці являє собою унікальний комплекс вищих навчальних закладів від першого до четвертого рівнів акредитації, що належать до різних форм власності – державної, комунальної та приватної. Станом на 2015 рік у місті Києві функціонує 107 вищих навчальних закладів (далі – ВНЗ), з яких: </w:t>
      </w:r>
      <w:r>
        <w:rPr>
          <w:rFonts w:eastAsia="Times New Roman" w:cs="Times New Roman" w:ascii="Times New Roman" w:hAnsi="Times New Roman"/>
          <w:sz w:val="28"/>
          <w:szCs w:val="28"/>
          <w:lang w:val="en-US" w:eastAsia="ru-RU"/>
        </w:rPr>
        <w:t>I</w:t>
      </w:r>
      <w:r>
        <w:rPr>
          <w:rFonts w:eastAsia="Times New Roman" w:cs="Times New Roman" w:ascii="Times New Roman" w:hAnsi="Times New Roman"/>
          <w:sz w:val="28"/>
          <w:szCs w:val="28"/>
          <w:lang w:eastAsia="ru-RU"/>
        </w:rPr>
        <w:t>-</w:t>
      </w:r>
      <w:r>
        <w:rPr>
          <w:rFonts w:eastAsia="Times New Roman" w:cs="Times New Roman" w:ascii="Times New Roman" w:hAnsi="Times New Roman"/>
          <w:sz w:val="28"/>
          <w:szCs w:val="28"/>
          <w:lang w:val="en-US" w:eastAsia="ru-RU"/>
        </w:rPr>
        <w:t>II</w:t>
      </w:r>
      <w:r>
        <w:rPr>
          <w:rFonts w:eastAsia="Times New Roman" w:cs="Times New Roman" w:ascii="Times New Roman" w:hAnsi="Times New Roman"/>
          <w:sz w:val="28"/>
          <w:szCs w:val="28"/>
          <w:lang w:eastAsia="ru-RU"/>
        </w:rPr>
        <w:t xml:space="preserve"> рівнів акредитації – 36, </w:t>
      </w:r>
      <w:r>
        <w:rPr>
          <w:rFonts w:eastAsia="Times New Roman" w:cs="Times New Roman" w:ascii="Times New Roman" w:hAnsi="Times New Roman"/>
          <w:sz w:val="28"/>
          <w:szCs w:val="28"/>
          <w:lang w:val="en-US" w:eastAsia="ru-RU"/>
        </w:rPr>
        <w:t>III</w:t>
      </w:r>
      <w:r>
        <w:rPr>
          <w:rFonts w:eastAsia="Times New Roman" w:cs="Times New Roman" w:ascii="Times New Roman" w:hAnsi="Times New Roman"/>
          <w:sz w:val="28"/>
          <w:szCs w:val="28"/>
          <w:lang w:eastAsia="ru-RU"/>
        </w:rPr>
        <w:t>-</w:t>
      </w:r>
      <w:r>
        <w:rPr>
          <w:rFonts w:eastAsia="Times New Roman" w:cs="Times New Roman" w:ascii="Times New Roman" w:hAnsi="Times New Roman"/>
          <w:sz w:val="28"/>
          <w:szCs w:val="28"/>
          <w:lang w:val="en-US" w:eastAsia="ru-RU"/>
        </w:rPr>
        <w:t>IV</w:t>
      </w:r>
      <w:r>
        <w:rPr>
          <w:rFonts w:eastAsia="Times New Roman" w:cs="Times New Roman" w:ascii="Times New Roman" w:hAnsi="Times New Roman"/>
          <w:sz w:val="28"/>
          <w:szCs w:val="28"/>
          <w:lang w:eastAsia="ru-RU"/>
        </w:rPr>
        <w:t xml:space="preserve"> рівнів акредитації – 71, державної форми власності – 53, комунальної форми власності – 11, приватної форми власності – 43.</w:t>
      </w:r>
    </w:p>
    <w:p>
      <w:pPr>
        <w:pStyle w:val="Normal"/>
        <w:spacing w:lineRule="auto" w:line="240" w:before="480" w:after="0"/>
        <w:ind w:firstLine="54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Загалом у ВНЗ міста Києва навчається понад 400 000 студентів, працює майже 40 000 педагогічних та науково-педагогічних працівників, серед яких 19880 мають науковий ступінь кандидата чи доктора наук.</w:t>
      </w:r>
    </w:p>
    <w:p>
      <w:pPr>
        <w:pStyle w:val="Normal"/>
        <w:spacing w:lineRule="auto" w:line="240" w:before="480" w:after="0"/>
        <w:ind w:firstLine="54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 </w:t>
      </w:r>
      <w:r>
        <w:rPr>
          <w:rFonts w:eastAsia="Times New Roman" w:cs="Times New Roman" w:ascii="Times New Roman" w:hAnsi="Times New Roman"/>
          <w:sz w:val="28"/>
          <w:szCs w:val="28"/>
          <w:lang w:eastAsia="ru-RU"/>
        </w:rPr>
        <w:t>Лідером столичної вищої освіти є Київський університет імені Бориса Грінченка, який належить до комунальної форми власності. У структурних підрозділах Київського університету імені Бориса Грінченка навчається 8557 студентів, щорічно проходять підвищення кваліфікації майже 7000 працівників освітніх закладів і установ міста Києва. Університет є потужним соціокультурним осередком столиці.</w:t>
      </w:r>
    </w:p>
    <w:p>
      <w:pPr>
        <w:pStyle w:val="Normal"/>
        <w:spacing w:lineRule="auto" w:line="240" w:before="480" w:after="0"/>
        <w:ind w:firstLine="54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Головним завданням вищої освіти столиці на найближчий період є проведення ефективних заходів, спрямованих на реалізацію на регіональному рівні Закону України «Про вищу освіту». Це потребує значних зусиль як з боку управлінського персоналу, так і безпосередньо кожного працівника системи вищої освіти. </w:t>
      </w:r>
    </w:p>
    <w:p>
      <w:pPr>
        <w:pStyle w:val="Normal"/>
        <w:spacing w:lineRule="auto" w:line="240" w:before="480" w:after="0"/>
        <w:ind w:firstLine="54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Провідним вектором діяльності ВНЗ міста Києва є суттєве покращення якості підготовки фахівців. Відтак, у кожному ВНЗ має ефективно запрацювати власна внутрішня система забезпечення якості освіти.</w:t>
      </w:r>
    </w:p>
    <w:p>
      <w:pPr>
        <w:pStyle w:val="Normal"/>
        <w:spacing w:lineRule="auto" w:line="240" w:before="480" w:after="0"/>
        <w:ind w:firstLine="54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Нагальним  залишається питання оптимізації мережі ВНЗ комунальної форми власності, що дасть змогу  більш раціонально, за принципом цільового призначення використовувати кошти та запровадити проектний підхід щодо розвитку вищої освіти задля задоволення нагальних потреб міста у висококваліфікованих фахівцях.</w:t>
      </w:r>
    </w:p>
    <w:p>
      <w:pPr>
        <w:pStyle w:val="Normal"/>
        <w:spacing w:lineRule="auto" w:line="240" w:before="480" w:after="0"/>
        <w:ind w:firstLine="54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Освітній процес у ВНЗ здебільшого має орієнтуватися на компетентісний підхід, що вимагає від усіх учасників освітнього процесу зміни парадигми навчання. Для забезпечення якісного впровадження компетентісного підходу на всіх етапах освітнього процесу необхідно створити міський Центр компетенцій відкритої освіти при Київському університеті імені Бориса Грінченка, що дасть змогу раціонально поєднати зусилля наукових, науково-педагогічних та педагогічних працівників міста Києва.  </w:t>
      </w:r>
    </w:p>
    <w:p>
      <w:pPr>
        <w:sectPr>
          <w:headerReference w:type="default" r:id="rId31"/>
          <w:headerReference w:type="first" r:id="rId32"/>
          <w:type w:val="nextPage"/>
          <w:pgSz w:w="11906" w:h="16838"/>
          <w:pgMar w:left="1134" w:right="1134" w:header="709" w:top="851" w:footer="0" w:bottom="851" w:gutter="0"/>
          <w:pgNumType w:fmt="decimal"/>
          <w:formProt w:val="false"/>
          <w:titlePg/>
          <w:textDirection w:val="lrTb"/>
          <w:docGrid w:type="default" w:linePitch="360" w:charSpace="4294965247"/>
        </w:sectPr>
        <w:pStyle w:val="Normal"/>
        <w:spacing w:lineRule="auto" w:line="240" w:before="480" w:after="0"/>
        <w:ind w:firstLine="54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ВНЗ комунальної форми власності мають стати провідниками інноваційних підходів у кожному напрямку своєї діяльності, широко запроваджуючи при цьому інформаційно-комунікаційні технології. Найближчими роками необхідно розробити і впровадити у повсякденну практику роботи ВНЗ використання дистанційних технологій навчання. Вища освіта столиці має стати відкритою і доступною для мешканців столиці.</w:t>
      </w:r>
    </w:p>
    <w:p>
      <w:pPr>
        <w:pStyle w:val="1"/>
        <w:spacing w:before="120" w:after="120"/>
        <w:jc w:val="center"/>
        <w:rPr>
          <w:rFonts w:ascii="Times New Roman" w:hAnsi="Times New Roman" w:cs="Times New Roman"/>
          <w:b w:val="false"/>
          <w:b w:val="false"/>
        </w:rPr>
      </w:pPr>
      <w:r>
        <w:rPr>
          <w:rStyle w:val="22"/>
          <w:rFonts w:cs="Times New Roman"/>
          <w:b w:val="false"/>
          <w:color w:val="00000A"/>
        </w:rPr>
        <w:t>Напрями діяльності, завдання та заходи</w:t>
      </w:r>
      <w:r>
        <w:rPr>
          <w:rFonts w:cs="Times New Roman" w:ascii="Times New Roman" w:hAnsi="Times New Roman"/>
          <w:b w:val="false"/>
          <w:color w:val="00000A"/>
        </w:rPr>
        <w:t xml:space="preserve"> підпрограми  «Вища освіта і наука»</w:t>
      </w:r>
    </w:p>
    <w:tbl>
      <w:tblPr>
        <w:tblW w:w="15167" w:type="dxa"/>
        <w:jc w:val="left"/>
        <w:tblInd w:w="2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567"/>
        <w:gridCol w:w="2410"/>
        <w:gridCol w:w="2833"/>
        <w:gridCol w:w="1417"/>
        <w:gridCol w:w="2272"/>
        <w:gridCol w:w="1695"/>
        <w:gridCol w:w="6"/>
        <w:gridCol w:w="2268"/>
        <w:gridCol w:w="1697"/>
      </w:tblGrid>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Назва напряму діяльності (пріоритетні завдання)</w:t>
            </w:r>
          </w:p>
        </w:tc>
        <w:tc>
          <w:tcPr>
            <w:tcW w:w="2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Заходи підпрограми</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Терміни виконання заходу</w:t>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Виконавці</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Джерела фінансування</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Орієнтовні обсяги фінансування (вартість), тис. гривень, у тому числі за роками:</w:t>
            </w:r>
          </w:p>
        </w:tc>
        <w:tc>
          <w:tcPr>
            <w:tcW w:w="16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Очікуваний результат</w:t>
            </w:r>
          </w:p>
        </w:tc>
      </w:tr>
      <w:tr>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8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169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r>
      <w:tr>
        <w:trPr>
          <w:trHeight w:val="1575" w:hRule="atLeast"/>
        </w:trPr>
        <w:tc>
          <w:tcPr>
            <w:tcW w:w="56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1</w:t>
            </w:r>
          </w:p>
        </w:tc>
        <w:tc>
          <w:tcPr>
            <w:tcW w:w="24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Удосконалити мережу вищих навчальних закладів комунальної форми власності</w:t>
            </w:r>
          </w:p>
        </w:tc>
        <w:tc>
          <w:tcPr>
            <w:tcW w:w="2833"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Забезпечити функціонування вищих навчальних закладів І-ІІ рівнів акредитації</w:t>
            </w:r>
          </w:p>
        </w:tc>
        <w:tc>
          <w:tcPr>
            <w:tcW w:w="141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2016-2018</w:t>
            </w:r>
          </w:p>
        </w:tc>
        <w:tc>
          <w:tcPr>
            <w:tcW w:w="2272"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освіти і науки, молоді та спорту, Київський університет імені Бориса Грінченка</w:t>
            </w:r>
          </w:p>
        </w:tc>
        <w:tc>
          <w:tcPr>
            <w:tcW w:w="1701" w:type="dxa"/>
            <w:gridSpan w:val="2"/>
            <w:tcBorders>
              <w:top w:val="single" w:sz="4" w:space="0" w:color="00000A"/>
              <w:right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Бюджет м. Києва,      власні надходження</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Усього: 88 116,5</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Бюджет м.Києва</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загальний фонд: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73 961,8</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у тому числі:           2016  - 21 874,8        2017 – 24 639,8        2018 – 27 447,2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Власні надходження: Усього: 14 154,7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             2016 – 4 393,9        2017 – 4 749,8        2018 – 5 011,0</w:t>
            </w:r>
          </w:p>
        </w:tc>
        <w:tc>
          <w:tcPr>
            <w:tcW w:w="169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Оптимізація напрямів підготовки фахівців у вищих навчальних закладах І-ІІ рівнів акредитації комунальної форми власності відповідно до потреб міста Києва</w:t>
            </w:r>
          </w:p>
        </w:tc>
      </w:tr>
      <w:tr>
        <w:trPr>
          <w:trHeight w:val="1575" w:hRule="atLeast"/>
        </w:trPr>
        <w:tc>
          <w:tcPr>
            <w:tcW w:w="5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833"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Забезпечити функціонування вищих навчальних закладів ІІІ-ІV рівнів акредитації</w:t>
            </w:r>
          </w:p>
        </w:tc>
        <w:tc>
          <w:tcPr>
            <w:tcW w:w="141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2016-2018</w:t>
            </w:r>
          </w:p>
        </w:tc>
        <w:tc>
          <w:tcPr>
            <w:tcW w:w="2272"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освіти і науки, молоді та спорту, Київський університет імені Бориса Грінченка</w:t>
            </w:r>
          </w:p>
        </w:tc>
        <w:tc>
          <w:tcPr>
            <w:tcW w:w="1701" w:type="dxa"/>
            <w:gridSpan w:val="2"/>
            <w:tcBorders>
              <w:top w:val="single" w:sz="4" w:space="0" w:color="00000A"/>
              <w:right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Бюджет м. Києва,      власні надходження</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Усього: 479 829,9</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Бюджет м.Києва</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загальний фонд: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387 065,2</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           2016  - 115 224,1        2017 – 129 071,1        2018 – 142 770,0</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Власні надходження: всього: 92 764,7</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у тому числі:             2016 – 28 795,9        2017 – 31 128,4        2018 – 32 840,4</w:t>
            </w:r>
          </w:p>
        </w:tc>
        <w:tc>
          <w:tcPr>
            <w:tcW w:w="169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Оптимізація напрямів підготовки фахівців у вищих навчальних закладах ІІІ-ІV рівнів акредитації комунальної форми власності відповідно до потреб міста Києва</w:t>
            </w:r>
          </w:p>
        </w:tc>
      </w:tr>
      <w:tr>
        <w:trPr>
          <w:trHeight w:val="1575" w:hRule="atLeast"/>
        </w:trPr>
        <w:tc>
          <w:tcPr>
            <w:tcW w:w="567"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833"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Забезпечити функціонування закладів  післядипломної освіти ІІІ-ІV рівнів акредитації</w:t>
            </w:r>
          </w:p>
        </w:tc>
        <w:tc>
          <w:tcPr>
            <w:tcW w:w="141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2016-2018</w:t>
            </w:r>
          </w:p>
        </w:tc>
        <w:tc>
          <w:tcPr>
            <w:tcW w:w="2272"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освіти і науки, молоді та спорту, Київський університет імені Бориса Грінченка</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Бюджет м. Києва,      власні надходження</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Усього: 38 050,2</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Бюджет м. Києва загальний фонд:</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36 462,4</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у тому числі:           2016  – 11 185,0        2017 – 12 213,4        2018 – 13 064,0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Власні надходження: всього: 1 587,8</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             2016  - 492,9        2017 - 532,8        2018 - 562,1</w:t>
            </w:r>
          </w:p>
        </w:tc>
        <w:tc>
          <w:tcPr>
            <w:tcW w:w="169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Забезпечення потреби міста Києва в післядипломній підготовці фахівців</w:t>
            </w:r>
          </w:p>
        </w:tc>
      </w:tr>
      <w:tr>
        <w:trPr>
          <w:trHeight w:val="697"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2</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410" w:type="dxa"/>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Утримувати  на належному рівні матеріально – технічної бази освітньої інфраструктури ВНЗ</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833" w:type="dxa"/>
            <w:tcBorders>
              <w:top w:val="single" w:sz="4" w:space="0" w:color="00000A"/>
              <w:bottom w:val="single" w:sz="4" w:space="0" w:color="00000A"/>
              <w:insideH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Створити Центр компетенцій відкритої освіти при Київському університеті імені Бориса Грінченка</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2016</w:t>
            </w:r>
          </w:p>
        </w:tc>
        <w:tc>
          <w:tcPr>
            <w:tcW w:w="2272"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Київський університет імені Бориса Грінченка</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Бюджет м. Києва</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м. Києва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загальний фонд:</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16 470,1</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           2016 – 16 470,1</w:t>
            </w:r>
          </w:p>
        </w:tc>
        <w:tc>
          <w:tcPr>
            <w:tcW w:w="169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Забезпечення якісного впровадження компетентнісного підходу на всіх етапах освітнього процесу</w:t>
            </w:r>
          </w:p>
        </w:tc>
      </w:tr>
      <w:tr>
        <w:trPr>
          <w:trHeight w:val="2520"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3</w:t>
            </w:r>
          </w:p>
        </w:tc>
        <w:tc>
          <w:tcPr>
            <w:tcW w:w="2410"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Забезпечити професійну підготовку кваліфікованих спеціалістів для міста Києва  </w:t>
            </w:r>
          </w:p>
        </w:tc>
        <w:tc>
          <w:tcPr>
            <w:tcW w:w="2833" w:type="dxa"/>
            <w:tcBorders>
              <w:top w:val="single" w:sz="4" w:space="0" w:color="00000A"/>
              <w:bottom w:val="single" w:sz="4" w:space="0" w:color="00000A"/>
              <w:insideH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Включити до програми курсів підвищення  кваліфікації вчителів загальноосвітніх та вихователів дошкільних навчальних закладів на базі ІППО Київського університету імені Бориса Грінченка навчальний модуль "Шахи, як засіб розвитку дитини"</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2015-2016</w:t>
            </w:r>
          </w:p>
        </w:tc>
        <w:tc>
          <w:tcPr>
            <w:tcW w:w="2272"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Київський університет імені Бориса Грінченка</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Фінансування не потребує</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169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Забезпечення професійної підготовки фахівців відповідно до потреб міста Києва</w:t>
            </w:r>
          </w:p>
        </w:tc>
      </w:tr>
      <w:tr>
        <w:trPr>
          <w:trHeight w:val="1545" w:hRule="atLeast"/>
        </w:trPr>
        <w:tc>
          <w:tcPr>
            <w:tcW w:w="567"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4</w:t>
            </w:r>
          </w:p>
        </w:tc>
        <w:tc>
          <w:tcPr>
            <w:tcW w:w="2410"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Розробити та реалізувати інноваційні програми професійного розвитку педагогічних кадрів</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833"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Розробити  та реалізувати  інноваційні програми  професійного розвитку педагогічних кадрів</w:t>
            </w:r>
          </w:p>
        </w:tc>
        <w:tc>
          <w:tcPr>
            <w:tcW w:w="141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2015-2016</w:t>
            </w:r>
          </w:p>
        </w:tc>
        <w:tc>
          <w:tcPr>
            <w:tcW w:w="2272"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Київський університет імені Бориса Грінченка</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Фінансування не потребує</w:t>
            </w:r>
          </w:p>
        </w:tc>
        <w:tc>
          <w:tcPr>
            <w:tcW w:w="2268"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169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Підвищення фахової майстерності педагогічних кадрів</w:t>
            </w:r>
          </w:p>
        </w:tc>
      </w:tr>
      <w:tr>
        <w:trPr>
          <w:trHeight w:val="1545" w:hRule="atLeast"/>
        </w:trPr>
        <w:tc>
          <w:tcPr>
            <w:tcW w:w="567"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5</w:t>
            </w:r>
          </w:p>
        </w:tc>
        <w:tc>
          <w:tcPr>
            <w:tcW w:w="2410"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cs="Times New Roman" w:ascii="Times New Roman" w:hAnsi="Times New Roman"/>
                <w:color w:val="000000"/>
                <w:sz w:val="24"/>
                <w:szCs w:val="24"/>
              </w:rPr>
              <w:t>Підвищити кваліфікацію керівників освіти та вчителів</w:t>
            </w:r>
          </w:p>
        </w:tc>
        <w:tc>
          <w:tcPr>
            <w:tcW w:w="2833" w:type="dxa"/>
            <w:tcBorders>
              <w:bottom w:val="single" w:sz="4" w:space="0" w:color="00000A"/>
              <w:right w:val="single" w:sz="4" w:space="0" w:color="00000A"/>
              <w:insideH w:val="single" w:sz="4" w:space="0" w:color="00000A"/>
              <w:insideV w:val="single" w:sz="4" w:space="0" w:color="00000A"/>
            </w:tcBorders>
            <w:shd w:color="auto" w:fill="FFFFFF" w:themeFill="background1" w:val="cle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cs="Times New Roman" w:ascii="Times New Roman" w:hAnsi="Times New Roman"/>
                <w:color w:val="000000"/>
                <w:sz w:val="24"/>
                <w:szCs w:val="24"/>
              </w:rPr>
              <w:t>Провести навчання педагогів за програмою Intel" Навчання для майбутнього"                                       Провести  навчання директорів та заступників директорів навчальних закладів  за програмою Intel "Курс для керівників в освіті"</w:t>
            </w:r>
          </w:p>
        </w:tc>
        <w:tc>
          <w:tcPr>
            <w:tcW w:w="141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2015-2016</w:t>
            </w:r>
          </w:p>
        </w:tc>
        <w:tc>
          <w:tcPr>
            <w:tcW w:w="2272"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Київський університет імені Бориса Грінченка</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Бюджет м. Києва</w:t>
            </w:r>
          </w:p>
        </w:tc>
        <w:tc>
          <w:tcPr>
            <w:tcW w:w="2268"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м. Києва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Загальний фонд</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усього: 2 483,0</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           2016 – 941,0</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2017 - 771,0</w:t>
            </w:r>
          </w:p>
          <w:p>
            <w:pPr>
              <w:pStyle w:val="Normal"/>
              <w:spacing w:lineRule="auto" w:line="240" w:before="0" w:after="0"/>
              <w:rPr>
                <w:rFonts w:ascii="Times New Roman" w:hAnsi="Times New Roman" w:eastAsia="Times New Roman" w:cs="Times New Roman"/>
                <w:color w:val="000000"/>
                <w:sz w:val="24"/>
                <w:szCs w:val="24"/>
                <w:lang w:eastAsia="uk-UA"/>
              </w:rPr>
            </w:pPr>
            <w:r>
              <w:rPr>
                <w:rFonts w:cs="Times New Roman" w:ascii="Times New Roman" w:hAnsi="Times New Roman"/>
                <w:color w:val="000000"/>
                <w:sz w:val="24"/>
                <w:szCs w:val="24"/>
              </w:rPr>
              <w:t>2018 - 771,0</w:t>
            </w:r>
          </w:p>
        </w:tc>
        <w:tc>
          <w:tcPr>
            <w:tcW w:w="169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Підвищення управлінської майстерності керівників навчальних закладів</w:t>
            </w:r>
          </w:p>
        </w:tc>
      </w:tr>
      <w:tr>
        <w:trPr>
          <w:trHeight w:val="2610"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5</w:t>
            </w:r>
          </w:p>
        </w:tc>
        <w:tc>
          <w:tcPr>
            <w:tcW w:w="2410"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rPr>
              <w:t>Забезпечити підготовку  кадрів вищими навчальними закладами I - II рівнів акредитації</w:t>
            </w:r>
          </w:p>
        </w:tc>
        <w:tc>
          <w:tcPr>
            <w:tcW w:w="2833"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 xml:space="preserve">Забезпечити набуття студентами знань та підготовка їх до професійної діяльності </w:t>
            </w:r>
          </w:p>
        </w:tc>
        <w:tc>
          <w:tcPr>
            <w:tcW w:w="141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2016-2018</w:t>
            </w:r>
          </w:p>
        </w:tc>
        <w:tc>
          <w:tcPr>
            <w:tcW w:w="2272"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Департамент культури</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sz w:val="24"/>
                <w:szCs w:val="24"/>
              </w:rPr>
            </w:pPr>
            <w:r>
              <w:rPr>
                <w:rFonts w:ascii="Times New Roman" w:hAnsi="Times New Roman"/>
                <w:sz w:val="24"/>
                <w:szCs w:val="24"/>
              </w:rPr>
              <w:t xml:space="preserve">Бюджет м. Києва, </w:t>
            </w:r>
          </w:p>
          <w:p>
            <w:pPr>
              <w:pStyle w:val="Normal"/>
              <w:spacing w:lineRule="auto" w:line="240" w:before="0" w:after="0"/>
              <w:rPr>
                <w:rFonts w:ascii="Times New Roman" w:hAnsi="Times New Roman"/>
                <w:sz w:val="24"/>
                <w:szCs w:val="24"/>
              </w:rPr>
            </w:pPr>
            <w:r>
              <w:rPr>
                <w:rFonts w:ascii="Times New Roman" w:hAnsi="Times New Roman"/>
                <w:sz w:val="24"/>
                <w:szCs w:val="24"/>
              </w:rPr>
              <w:t>власні надходження</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 xml:space="preserve"> </w:t>
            </w:r>
            <w:r>
              <w:rPr>
                <w:rFonts w:eastAsia="Times New Roman" w:ascii="Times New Roman" w:hAnsi="Times New Roman"/>
                <w:sz w:val="24"/>
                <w:szCs w:val="24"/>
                <w:lang w:eastAsia="uk-UA"/>
              </w:rPr>
              <w:t>Бюджет м. Києва</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 xml:space="preserve">       </w:t>
            </w:r>
            <w:r>
              <w:rPr>
                <w:rFonts w:eastAsia="Times New Roman" w:ascii="Times New Roman" w:hAnsi="Times New Roman"/>
                <w:sz w:val="24"/>
                <w:szCs w:val="24"/>
                <w:lang w:eastAsia="uk-UA"/>
              </w:rPr>
              <w:t>223 820,4</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у  тому числі:</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Загальний фонд</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усього 207 557,8</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 xml:space="preserve"> </w:t>
            </w:r>
            <w:r>
              <w:rPr>
                <w:rFonts w:eastAsia="Times New Roman" w:ascii="Times New Roman" w:hAnsi="Times New Roman"/>
                <w:sz w:val="24"/>
                <w:szCs w:val="24"/>
                <w:lang w:eastAsia="uk-UA"/>
              </w:rPr>
              <w:t>у тому числі:</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2016 рік –  59 624,5</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2017 рік –  68 717,6</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2018 рік –  79 215,7</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Власні надходження усього 16 262,6</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у  тому числі:</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2016 рік –  4 578,8</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2017 рік –  5 371,2</w:t>
            </w:r>
          </w:p>
          <w:p>
            <w:pPr>
              <w:pStyle w:val="Normal"/>
              <w:spacing w:lineRule="auto" w:line="240" w:before="0" w:after="0"/>
              <w:rPr>
                <w:rFonts w:ascii="Times New Roman" w:hAnsi="Times New Roman" w:cs="Times New Roman"/>
                <w:color w:val="000000"/>
                <w:sz w:val="24"/>
                <w:szCs w:val="24"/>
              </w:rPr>
            </w:pPr>
            <w:r>
              <w:rPr>
                <w:rFonts w:eastAsia="Times New Roman" w:ascii="Times New Roman" w:hAnsi="Times New Roman"/>
                <w:sz w:val="24"/>
                <w:szCs w:val="24"/>
                <w:lang w:eastAsia="uk-UA"/>
              </w:rPr>
              <w:t>2018 рік –  6 312,6</w:t>
            </w:r>
          </w:p>
        </w:tc>
        <w:tc>
          <w:tcPr>
            <w:tcW w:w="169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Забезпечення потреб суспільства і держави у кваліфікованих фахівцях завдяки отриманню студентами вищої освіти в закладах I - II рівнів акредитації. Підтримка талановитих студентів ВМНЗ.</w:t>
            </w:r>
          </w:p>
        </w:tc>
      </w:tr>
      <w:tr>
        <w:trPr>
          <w:trHeight w:val="2610" w:hRule="atLeast"/>
        </w:trPr>
        <w:tc>
          <w:tcPr>
            <w:tcW w:w="567"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410"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833"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Здійснити  заходи  щодо збереження системи безперервної мистецької освіти, що реалізується мистецькими навчальними закладами м. Києва</w:t>
            </w:r>
          </w:p>
        </w:tc>
        <w:tc>
          <w:tcPr>
            <w:tcW w:w="141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2016-2018</w:t>
            </w:r>
          </w:p>
        </w:tc>
        <w:tc>
          <w:tcPr>
            <w:tcW w:w="2272"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Департамент культури</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Не потребує фінансування</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69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Забезпечення потреб суспільства в системі безперервної  професійної мистецької освіти міста</w:t>
            </w:r>
          </w:p>
        </w:tc>
      </w:tr>
      <w:tr>
        <w:trPr>
          <w:trHeight w:val="2287" w:hRule="atLeast"/>
        </w:trPr>
        <w:tc>
          <w:tcPr>
            <w:tcW w:w="567"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410"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833"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Зберегти  мережу вищих мистецьких навчальних закладів І-ІІ рівнів акредитації міста Києва в системі вищої освіти з одночасною їх діяльністю в сфері професійної освіти</w:t>
            </w:r>
          </w:p>
        </w:tc>
        <w:tc>
          <w:tcPr>
            <w:tcW w:w="141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2016-2018</w:t>
            </w:r>
          </w:p>
        </w:tc>
        <w:tc>
          <w:tcPr>
            <w:tcW w:w="2272"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Департамент культури</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Не потребує фінансування</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69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Забезпечення потреб суспільства і держави у кваліфікованих фахівцях</w:t>
            </w:r>
          </w:p>
        </w:tc>
      </w:tr>
      <w:tr>
        <w:trPr>
          <w:trHeight w:val="2610" w:hRule="atLeast"/>
        </w:trPr>
        <w:tc>
          <w:tcPr>
            <w:tcW w:w="567"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410"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833"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sz w:val="24"/>
                <w:szCs w:val="24"/>
              </w:rPr>
            </w:pPr>
            <w:r>
              <w:rPr>
                <w:rFonts w:ascii="Times New Roman" w:hAnsi="Times New Roman"/>
                <w:sz w:val="24"/>
                <w:szCs w:val="24"/>
              </w:rPr>
              <w:t>Підготувати  навчальну документацію, програми, посібники, методичну літературу тощо для вищих навчальних закладів І-ІІ рівнів акредитації</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141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2016-2018</w:t>
            </w:r>
          </w:p>
        </w:tc>
        <w:tc>
          <w:tcPr>
            <w:tcW w:w="2272"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Департамент культури</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sz w:val="24"/>
                <w:szCs w:val="24"/>
                <w:lang w:eastAsia="ru-RU"/>
              </w:rPr>
            </w:pPr>
            <w:r>
              <w:rPr>
                <w:rFonts w:ascii="Times New Roman" w:hAnsi="Times New Roman"/>
                <w:sz w:val="24"/>
                <w:szCs w:val="24"/>
              </w:rPr>
              <w:t xml:space="preserve">Бюджет </w:t>
            </w:r>
          </w:p>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м. Києва</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Загальний фонд</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усього 450,0</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 xml:space="preserve"> </w:t>
            </w:r>
            <w:r>
              <w:rPr>
                <w:rFonts w:eastAsia="Times New Roman" w:ascii="Times New Roman" w:hAnsi="Times New Roman"/>
                <w:sz w:val="24"/>
                <w:szCs w:val="24"/>
                <w:lang w:eastAsia="uk-UA"/>
              </w:rPr>
              <w:t>в т. ч:</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2016 рік –  150,0</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2017 рік –  150,0</w:t>
            </w:r>
          </w:p>
          <w:p>
            <w:pPr>
              <w:pStyle w:val="Normal"/>
              <w:spacing w:lineRule="auto" w:line="240" w:before="0" w:after="0"/>
              <w:rPr>
                <w:rFonts w:ascii="Times New Roman" w:hAnsi="Times New Roman" w:cs="Times New Roman"/>
                <w:color w:val="000000"/>
                <w:sz w:val="24"/>
                <w:szCs w:val="24"/>
              </w:rPr>
            </w:pPr>
            <w:r>
              <w:rPr>
                <w:rFonts w:eastAsia="Times New Roman" w:ascii="Times New Roman" w:hAnsi="Times New Roman"/>
                <w:sz w:val="24"/>
                <w:szCs w:val="24"/>
                <w:lang w:eastAsia="uk-UA"/>
              </w:rPr>
              <w:t>2018 рік –  150,0</w:t>
            </w:r>
          </w:p>
        </w:tc>
        <w:tc>
          <w:tcPr>
            <w:tcW w:w="169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 xml:space="preserve">Забезпечення навчальних закладів новими навчальними планами, програмами, методичною літературою,  навчальною документацією </w:t>
            </w:r>
          </w:p>
        </w:tc>
      </w:tr>
      <w:tr>
        <w:trPr>
          <w:trHeight w:val="870" w:hRule="atLeast"/>
        </w:trPr>
        <w:tc>
          <w:tcPr>
            <w:tcW w:w="567"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6</w:t>
            </w:r>
          </w:p>
        </w:tc>
        <w:tc>
          <w:tcPr>
            <w:tcW w:w="2410"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Забезпечити підготовку  кадрів вищими навчальними закладами культури III - IV рівнів акредитації</w:t>
            </w:r>
          </w:p>
        </w:tc>
        <w:tc>
          <w:tcPr>
            <w:tcW w:w="2833"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 xml:space="preserve">Забезпечити набуття студентами знань у галузі культури, мистецтва підготовку їх до професійної діяльності. </w:t>
            </w:r>
          </w:p>
        </w:tc>
        <w:tc>
          <w:tcPr>
            <w:tcW w:w="141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2016-2018</w:t>
            </w:r>
          </w:p>
        </w:tc>
        <w:tc>
          <w:tcPr>
            <w:tcW w:w="2272"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Департамент культури</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sz w:val="24"/>
                <w:szCs w:val="24"/>
                <w:lang w:eastAsia="ru-RU"/>
              </w:rPr>
            </w:pPr>
            <w:r>
              <w:rPr>
                <w:rFonts w:ascii="Times New Roman" w:hAnsi="Times New Roman"/>
                <w:sz w:val="24"/>
                <w:szCs w:val="24"/>
              </w:rPr>
              <w:t xml:space="preserve">Бюджет </w:t>
            </w:r>
          </w:p>
          <w:p>
            <w:pPr>
              <w:pStyle w:val="Normal"/>
              <w:spacing w:lineRule="auto" w:line="240" w:before="0" w:after="0"/>
              <w:rPr>
                <w:rFonts w:ascii="Times New Roman" w:hAnsi="Times New Roman"/>
                <w:sz w:val="24"/>
                <w:szCs w:val="24"/>
              </w:rPr>
            </w:pPr>
            <w:r>
              <w:rPr>
                <w:rFonts w:ascii="Times New Roman" w:hAnsi="Times New Roman"/>
                <w:sz w:val="24"/>
                <w:szCs w:val="24"/>
              </w:rPr>
              <w:t>м. Києва</w:t>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sz w:val="24"/>
                <w:szCs w:val="24"/>
              </w:rPr>
            </w:pPr>
            <w:r>
              <w:rPr>
                <w:rFonts w:ascii="Times New Roman" w:hAnsi="Times New Roman"/>
                <w:sz w:val="24"/>
                <w:szCs w:val="24"/>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sz w:val="24"/>
                <w:szCs w:val="24"/>
              </w:rPr>
            </w:pPr>
            <w:r>
              <w:rPr>
                <w:rFonts w:ascii="Times New Roman" w:hAnsi="Times New Roman"/>
                <w:sz w:val="24"/>
                <w:szCs w:val="24"/>
              </w:rPr>
              <w:t>Бюджет м. Києва</w:t>
            </w:r>
          </w:p>
          <w:p>
            <w:pPr>
              <w:pStyle w:val="Normal"/>
              <w:spacing w:lineRule="auto" w:line="240" w:before="0" w:after="0"/>
              <w:rPr>
                <w:rFonts w:ascii="Times New Roman" w:hAnsi="Times New Roman"/>
                <w:sz w:val="24"/>
                <w:szCs w:val="24"/>
              </w:rPr>
            </w:pPr>
            <w:r>
              <w:rPr>
                <w:rFonts w:eastAsia="Times New Roman" w:ascii="Times New Roman" w:hAnsi="Times New Roman"/>
                <w:sz w:val="24"/>
                <w:szCs w:val="24"/>
                <w:lang w:eastAsia="uk-UA"/>
              </w:rPr>
              <w:t>Усього</w:t>
            </w:r>
            <w:r>
              <w:rPr>
                <w:rFonts w:ascii="Times New Roman" w:hAnsi="Times New Roman"/>
                <w:sz w:val="24"/>
                <w:szCs w:val="24"/>
              </w:rPr>
              <w:t xml:space="preserve"> : 74 054,6</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Загальний фонд</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усього 55 603,8</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 xml:space="preserve"> </w:t>
            </w:r>
            <w:r>
              <w:rPr>
                <w:rFonts w:eastAsia="Times New Roman" w:ascii="Times New Roman" w:hAnsi="Times New Roman"/>
                <w:sz w:val="24"/>
                <w:szCs w:val="24"/>
                <w:lang w:eastAsia="uk-UA"/>
              </w:rPr>
              <w:t>у  тому числі:</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2016 рік –  15 881,2</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2017 рік –  18 397,1</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2018 рік –  21 325,5</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r>
          </w:p>
          <w:p>
            <w:pPr>
              <w:pStyle w:val="Normal"/>
              <w:spacing w:lineRule="auto" w:line="240" w:before="0" w:after="0"/>
              <w:rPr>
                <w:rFonts w:ascii="Times New Roman" w:hAnsi="Times New Roman"/>
                <w:sz w:val="24"/>
                <w:szCs w:val="24"/>
              </w:rPr>
            </w:pPr>
            <w:r>
              <w:rPr>
                <w:rFonts w:ascii="Times New Roman" w:hAnsi="Times New Roman"/>
                <w:sz w:val="24"/>
                <w:szCs w:val="24"/>
              </w:rPr>
              <w:t>Власні надходження</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усього 18 450,8</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у  тому числі:</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2016 рік –  5 145,1</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2017 рік –  6 087,1</w:t>
            </w:r>
          </w:p>
          <w:p>
            <w:pPr>
              <w:pStyle w:val="Normal"/>
              <w:spacing w:lineRule="auto" w:line="240" w:before="0" w:after="0"/>
              <w:rPr>
                <w:rFonts w:ascii="Times New Roman" w:hAnsi="Times New Roman" w:cs="Times New Roman"/>
                <w:color w:val="000000"/>
                <w:sz w:val="24"/>
                <w:szCs w:val="24"/>
              </w:rPr>
            </w:pPr>
            <w:r>
              <w:rPr>
                <w:rFonts w:eastAsia="Times New Roman" w:ascii="Times New Roman" w:hAnsi="Times New Roman"/>
                <w:sz w:val="24"/>
                <w:szCs w:val="24"/>
                <w:lang w:eastAsia="uk-UA"/>
              </w:rPr>
              <w:t>2018 рік –  7 218,6</w:t>
            </w:r>
          </w:p>
        </w:tc>
        <w:tc>
          <w:tcPr>
            <w:tcW w:w="169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Забезпечення потреб суспільства і держави у кваліфікованих фахівцях завдяки отриманню студентами вищої освіти в закладах III - IV рівнів акредитації. . Підтримка талановитих студентів ВМНЗ</w:t>
            </w:r>
          </w:p>
        </w:tc>
      </w:tr>
      <w:tr>
        <w:trPr>
          <w:trHeight w:val="2257"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410"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833"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 xml:space="preserve">Здійснити  заходи  щодо збереження системи безперервної мистецької освіти, що реалізується мистецькими навчальними закладами м. Києва </w:t>
            </w:r>
          </w:p>
        </w:tc>
        <w:tc>
          <w:tcPr>
            <w:tcW w:w="141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2016-2018</w:t>
            </w:r>
          </w:p>
        </w:tc>
        <w:tc>
          <w:tcPr>
            <w:tcW w:w="2272"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Департамент культури</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Не потребує фінансування</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69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Забезпечення потреб суспільства в системі безперервної  професійної мистецької освіти міста</w:t>
            </w:r>
          </w:p>
        </w:tc>
      </w:tr>
      <w:tr>
        <w:trPr>
          <w:trHeight w:val="2260" w:hRule="atLeast"/>
        </w:trPr>
        <w:tc>
          <w:tcPr>
            <w:tcW w:w="56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410" w:type="dxa"/>
            <w:vMerge w:val="restart"/>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p>
            <w:pPr>
              <w:pStyle w:val="Normal"/>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tc>
        <w:tc>
          <w:tcPr>
            <w:tcW w:w="2833"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Зберегти  мережу вищих мистецьких навчальних закладів ІІІ –</w:t>
            </w:r>
            <w:r>
              <w:rPr>
                <w:rFonts w:ascii="Times New Roman" w:hAnsi="Times New Roman"/>
                <w:sz w:val="24"/>
                <w:szCs w:val="24"/>
                <w:lang w:val="en-US"/>
              </w:rPr>
              <w:t>IV</w:t>
            </w:r>
            <w:r>
              <w:rPr>
                <w:rFonts w:ascii="Times New Roman" w:hAnsi="Times New Roman"/>
                <w:sz w:val="24"/>
                <w:szCs w:val="24"/>
              </w:rPr>
              <w:t xml:space="preserve"> рівнів акредитації  міста Києва в системі вищої освіти з одночасною їх діяльністю в сфері професійної освіти</w:t>
            </w:r>
          </w:p>
        </w:tc>
        <w:tc>
          <w:tcPr>
            <w:tcW w:w="141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2016-2018</w:t>
            </w:r>
          </w:p>
        </w:tc>
        <w:tc>
          <w:tcPr>
            <w:tcW w:w="2272"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Департамент культури</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Не потребує фінансування</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69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Забезпечення потреб суспільства і держави у кваліфікованих фахівцях</w:t>
            </w:r>
          </w:p>
        </w:tc>
      </w:tr>
      <w:tr>
        <w:trPr>
          <w:trHeight w:val="2051" w:hRule="atLeast"/>
        </w:trPr>
        <w:tc>
          <w:tcPr>
            <w:tcW w:w="56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410" w:type="dxa"/>
            <w:vMerge w:val="continue"/>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833"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sz w:val="24"/>
                <w:szCs w:val="24"/>
              </w:rPr>
            </w:pPr>
            <w:r>
              <w:rPr>
                <w:rFonts w:ascii="Times New Roman" w:hAnsi="Times New Roman"/>
                <w:sz w:val="24"/>
                <w:szCs w:val="24"/>
              </w:rPr>
              <w:t>Підготувати  навчальну документацію, програми, методичну літературу для вищих мистецьких навчальних закладів ІІІ –</w:t>
            </w:r>
            <w:r>
              <w:rPr>
                <w:rFonts w:ascii="Times New Roman" w:hAnsi="Times New Roman"/>
                <w:sz w:val="24"/>
                <w:szCs w:val="24"/>
                <w:lang w:val="en-US"/>
              </w:rPr>
              <w:t>IV</w:t>
            </w:r>
            <w:r>
              <w:rPr>
                <w:rFonts w:ascii="Times New Roman" w:hAnsi="Times New Roman"/>
                <w:sz w:val="24"/>
                <w:szCs w:val="24"/>
              </w:rPr>
              <w:t xml:space="preserve"> рівнів акредитації  міста Києва</w:t>
            </w:r>
          </w:p>
        </w:tc>
        <w:tc>
          <w:tcPr>
            <w:tcW w:w="141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sz w:val="24"/>
                <w:szCs w:val="24"/>
              </w:rPr>
            </w:pPr>
            <w:r>
              <w:rPr>
                <w:rFonts w:ascii="Times New Roman" w:hAnsi="Times New Roman"/>
                <w:sz w:val="24"/>
                <w:szCs w:val="24"/>
              </w:rPr>
              <w:t>2016-2018</w:t>
            </w:r>
          </w:p>
        </w:tc>
        <w:tc>
          <w:tcPr>
            <w:tcW w:w="2272"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sz w:val="24"/>
                <w:szCs w:val="24"/>
              </w:rPr>
            </w:pPr>
            <w:r>
              <w:rPr>
                <w:rFonts w:ascii="Times New Roman" w:hAnsi="Times New Roman"/>
                <w:sz w:val="24"/>
                <w:szCs w:val="24"/>
              </w:rPr>
              <w:t>Департамент культури</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sz w:val="24"/>
                <w:szCs w:val="24"/>
                <w:lang w:eastAsia="ru-RU"/>
              </w:rPr>
            </w:pPr>
            <w:r>
              <w:rPr>
                <w:rFonts w:ascii="Times New Roman" w:hAnsi="Times New Roman"/>
                <w:sz w:val="24"/>
                <w:szCs w:val="24"/>
              </w:rPr>
              <w:t xml:space="preserve">Бюджет </w:t>
            </w:r>
          </w:p>
          <w:p>
            <w:pPr>
              <w:pStyle w:val="Normal"/>
              <w:spacing w:lineRule="auto" w:line="240" w:before="0" w:after="0"/>
              <w:rPr>
                <w:rFonts w:ascii="Times New Roman" w:hAnsi="Times New Roman"/>
                <w:sz w:val="24"/>
                <w:szCs w:val="24"/>
              </w:rPr>
            </w:pPr>
            <w:r>
              <w:rPr>
                <w:rFonts w:ascii="Times New Roman" w:hAnsi="Times New Roman"/>
                <w:sz w:val="24"/>
                <w:szCs w:val="24"/>
              </w:rPr>
              <w:t xml:space="preserve">м. Києва </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sz w:val="24"/>
                <w:szCs w:val="24"/>
              </w:rPr>
            </w:pPr>
            <w:r>
              <w:rPr>
                <w:rFonts w:ascii="Times New Roman" w:hAnsi="Times New Roman"/>
                <w:sz w:val="24"/>
                <w:szCs w:val="24"/>
              </w:rPr>
              <w:t>Бюджет м. Києва загальний фонд</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усього 21,0</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 xml:space="preserve"> </w:t>
            </w:r>
            <w:r>
              <w:rPr>
                <w:rFonts w:eastAsia="Times New Roman" w:ascii="Times New Roman" w:hAnsi="Times New Roman"/>
                <w:sz w:val="24"/>
                <w:szCs w:val="24"/>
                <w:lang w:eastAsia="uk-UA"/>
              </w:rPr>
              <w:t>у  тому числі:</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2016 рік –  7,0</w:t>
            </w:r>
          </w:p>
          <w:p>
            <w:pPr>
              <w:pStyle w:val="Normal"/>
              <w:spacing w:lineRule="auto" w:line="240" w:before="0" w:after="0"/>
              <w:rPr>
                <w:rFonts w:ascii="Times New Roman" w:hAnsi="Times New Roman" w:eastAsia="Times New Roman"/>
                <w:sz w:val="24"/>
                <w:szCs w:val="24"/>
                <w:lang w:eastAsia="uk-UA"/>
              </w:rPr>
            </w:pPr>
            <w:r>
              <w:rPr>
                <w:rFonts w:eastAsia="Times New Roman" w:ascii="Times New Roman" w:hAnsi="Times New Roman"/>
                <w:sz w:val="24"/>
                <w:szCs w:val="24"/>
                <w:lang w:eastAsia="uk-UA"/>
              </w:rPr>
              <w:t>2017 рік –  7,0</w:t>
            </w:r>
          </w:p>
          <w:p>
            <w:pPr>
              <w:pStyle w:val="Normal"/>
              <w:spacing w:lineRule="auto" w:line="240" w:before="0" w:after="0"/>
              <w:rPr>
                <w:rFonts w:ascii="Times New Roman" w:hAnsi="Times New Roman"/>
                <w:sz w:val="24"/>
                <w:szCs w:val="24"/>
              </w:rPr>
            </w:pPr>
            <w:r>
              <w:rPr>
                <w:rFonts w:eastAsia="Times New Roman" w:ascii="Times New Roman" w:hAnsi="Times New Roman"/>
                <w:sz w:val="24"/>
                <w:szCs w:val="24"/>
                <w:lang w:eastAsia="uk-UA"/>
              </w:rPr>
              <w:t>2018 рік –  7,0</w:t>
            </w:r>
          </w:p>
        </w:tc>
        <w:tc>
          <w:tcPr>
            <w:tcW w:w="169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sz w:val="24"/>
                <w:szCs w:val="24"/>
              </w:rPr>
            </w:pPr>
            <w:r>
              <w:rPr>
                <w:rFonts w:ascii="Times New Roman" w:hAnsi="Times New Roman"/>
                <w:sz w:val="24"/>
                <w:szCs w:val="24"/>
              </w:rPr>
              <w:t>Науково-методичне забезпечення діяльності вищих мистецьких навчальних закладів ІІІ –</w:t>
            </w:r>
            <w:r>
              <w:rPr>
                <w:rFonts w:ascii="Times New Roman" w:hAnsi="Times New Roman"/>
                <w:sz w:val="24"/>
                <w:szCs w:val="24"/>
                <w:lang w:val="en-US"/>
              </w:rPr>
              <w:t>IV</w:t>
            </w:r>
            <w:r>
              <w:rPr>
                <w:rFonts w:ascii="Times New Roman" w:hAnsi="Times New Roman"/>
                <w:sz w:val="24"/>
                <w:szCs w:val="24"/>
              </w:rPr>
              <w:t xml:space="preserve"> рівнів акредитації  </w:t>
            </w:r>
          </w:p>
        </w:tc>
      </w:tr>
      <w:tr>
        <w:trPr>
          <w:trHeight w:val="555" w:hRule="atLeast"/>
        </w:trPr>
        <w:tc>
          <w:tcPr>
            <w:tcW w:w="567"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7</w:t>
            </w:r>
          </w:p>
        </w:tc>
        <w:tc>
          <w:tcPr>
            <w:tcW w:w="2410"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Забезпечити підготовку  фахівців у вищих навчальних закладах I - II рівнів акредитації для закладів охорони здоров</w:t>
            </w:r>
            <w:r>
              <w:rPr>
                <w:rFonts w:eastAsia="Times New Roman" w:cs="Times New Roman" w:ascii="Times New Roman" w:hAnsi="Times New Roman"/>
                <w:sz w:val="24"/>
                <w:szCs w:val="24"/>
                <w:lang w:val="ru-RU" w:eastAsia="uk-UA"/>
              </w:rPr>
              <w:t xml:space="preserve">’я </w:t>
            </w:r>
            <w:r>
              <w:rPr>
                <w:rFonts w:eastAsia="Times New Roman" w:cs="Times New Roman" w:ascii="Times New Roman" w:hAnsi="Times New Roman"/>
                <w:sz w:val="24"/>
                <w:szCs w:val="24"/>
                <w:lang w:eastAsia="uk-UA"/>
              </w:rPr>
              <w:t xml:space="preserve"> міста Києва</w:t>
            </w:r>
          </w:p>
        </w:tc>
        <w:tc>
          <w:tcPr>
            <w:tcW w:w="2833"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Забезпечити набуття студентами знань у галузі охорони здоров'я, підготовку їх до професійної діяльності</w:t>
            </w:r>
          </w:p>
        </w:tc>
        <w:tc>
          <w:tcPr>
            <w:tcW w:w="141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2016-2018</w:t>
            </w:r>
          </w:p>
        </w:tc>
        <w:tc>
          <w:tcPr>
            <w:tcW w:w="2272"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охорони здоров'я</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Бюджет м. Києва,      власні надходження</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Бюджет м. Києва - Усього: 232 671,7</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Загальний фонд:</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Усього: 180 196,4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у тому числі:           2016 р. – 56 016,9        2017р. – 60 424,6        2018р. – 63 754,9                                          Власні надходження: всього: 52 475,3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             2016 р. – 16 450,7        2017р. – 17 470,7        2018р. – 18 553,9</w:t>
            </w:r>
          </w:p>
        </w:tc>
        <w:tc>
          <w:tcPr>
            <w:tcW w:w="169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Забезпечення потреб закладів охорони здоров</w:t>
            </w:r>
            <w:r>
              <w:rPr>
                <w:rFonts w:eastAsia="Times New Roman" w:cs="Times New Roman" w:ascii="Times New Roman" w:hAnsi="Times New Roman"/>
                <w:sz w:val="24"/>
                <w:szCs w:val="24"/>
                <w:lang w:eastAsia="uk-UA"/>
              </w:rPr>
              <w:t>’я міста Києва</w:t>
            </w:r>
            <w:r>
              <w:rPr>
                <w:rFonts w:ascii="Times New Roman" w:hAnsi="Times New Roman"/>
                <w:sz w:val="24"/>
                <w:szCs w:val="24"/>
              </w:rPr>
              <w:t xml:space="preserve"> у кваліфікованих фахівцях </w:t>
            </w:r>
          </w:p>
        </w:tc>
      </w:tr>
      <w:tr>
        <w:trPr>
          <w:trHeight w:val="1260" w:hRule="atLeast"/>
        </w:trPr>
        <w:tc>
          <w:tcPr>
            <w:tcW w:w="5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8</w:t>
            </w:r>
          </w:p>
        </w:tc>
        <w:tc>
          <w:tcPr>
            <w:tcW w:w="2410"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sz w:val="24"/>
                <w:szCs w:val="24"/>
                <w:lang w:val="ru-RU" w:eastAsia="uk-UA"/>
              </w:rPr>
            </w:pPr>
            <w:r>
              <w:rPr>
                <w:rFonts w:eastAsia="Times New Roman" w:cs="Times New Roman" w:ascii="Times New Roman" w:hAnsi="Times New Roman"/>
                <w:sz w:val="24"/>
                <w:szCs w:val="24"/>
                <w:lang w:eastAsia="uk-UA"/>
              </w:rPr>
              <w:t>Забезпечити підвищення кваліфікації кадрів охорони здоров</w:t>
            </w:r>
            <w:r>
              <w:rPr>
                <w:rFonts w:eastAsia="Times New Roman" w:cs="Times New Roman" w:ascii="Times New Roman" w:hAnsi="Times New Roman"/>
                <w:sz w:val="24"/>
                <w:szCs w:val="24"/>
                <w:lang w:val="ru-RU" w:eastAsia="uk-UA"/>
              </w:rPr>
              <w:t>’я</w:t>
            </w:r>
          </w:p>
        </w:tc>
        <w:tc>
          <w:tcPr>
            <w:tcW w:w="2833"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Забезпечити перепідготовку та підвищення кваліфікації фахівців закладів охорони здоров</w:t>
            </w:r>
            <w:r>
              <w:rPr>
                <w:rFonts w:eastAsia="Times New Roman" w:cs="Times New Roman" w:ascii="Times New Roman" w:hAnsi="Times New Roman"/>
                <w:sz w:val="24"/>
                <w:szCs w:val="24"/>
                <w:lang w:val="ru-RU" w:eastAsia="uk-UA"/>
              </w:rPr>
              <w:t>’я</w:t>
            </w:r>
          </w:p>
        </w:tc>
        <w:tc>
          <w:tcPr>
            <w:tcW w:w="141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2016-2018</w:t>
            </w:r>
          </w:p>
        </w:tc>
        <w:tc>
          <w:tcPr>
            <w:tcW w:w="2272"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охорони здоров'я</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Бюджет м. Києва      </w:t>
            </w:r>
          </w:p>
        </w:tc>
        <w:tc>
          <w:tcPr>
            <w:tcW w:w="2268"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Бюджет м. Києва Загальний фонд:</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4 524,5</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           2016 р. – 1 404,5        2017р. – 1 518,2        2018р. – 1 601,8</w:t>
            </w:r>
          </w:p>
        </w:tc>
        <w:tc>
          <w:tcPr>
            <w:tcW w:w="1697"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ascii="Times New Roman" w:hAnsi="Times New Roman"/>
                <w:sz w:val="24"/>
                <w:szCs w:val="24"/>
              </w:rPr>
              <w:t xml:space="preserve">Забезпечення потреб міста Києва в системі безперервної  професійної освіти фахівців для </w:t>
            </w:r>
            <w:r>
              <w:rPr>
                <w:rFonts w:eastAsia="Times New Roman" w:cs="Times New Roman" w:ascii="Times New Roman" w:hAnsi="Times New Roman"/>
                <w:sz w:val="24"/>
                <w:szCs w:val="24"/>
                <w:lang w:eastAsia="uk-UA"/>
              </w:rPr>
              <w:t>закладів охорони здоров’я міста Києва</w:t>
            </w:r>
          </w:p>
        </w:tc>
      </w:tr>
      <w:tr>
        <w:trPr>
          <w:trHeight w:val="375" w:hRule="atLeast"/>
        </w:trPr>
        <w:tc>
          <w:tcPr>
            <w:tcW w:w="567" w:type="dxa"/>
            <w:tcBorders>
              <w:left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410"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2833"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bCs/>
                <w:color w:val="000000"/>
                <w:sz w:val="24"/>
                <w:szCs w:val="24"/>
                <w:lang w:eastAsia="uk-UA"/>
              </w:rPr>
            </w:pPr>
            <w:r>
              <w:rPr>
                <w:rFonts w:eastAsia="Times New Roman" w:cs="Times New Roman" w:ascii="Times New Roman" w:hAnsi="Times New Roman"/>
                <w:bCs/>
                <w:color w:val="000000"/>
                <w:sz w:val="24"/>
                <w:szCs w:val="24"/>
                <w:lang w:eastAsia="uk-UA"/>
              </w:rPr>
              <w:t>УСЬОГО:</w:t>
            </w:r>
          </w:p>
        </w:tc>
        <w:tc>
          <w:tcPr>
            <w:tcW w:w="141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bCs/>
                <w:color w:val="000000"/>
                <w:sz w:val="24"/>
                <w:szCs w:val="24"/>
                <w:lang w:eastAsia="uk-UA"/>
              </w:rPr>
            </w:pPr>
            <w:r>
              <w:rPr>
                <w:rFonts w:eastAsia="Times New Roman" w:cs="Times New Roman" w:ascii="Times New Roman" w:hAnsi="Times New Roman"/>
                <w:bCs/>
                <w:color w:val="000000"/>
                <w:sz w:val="24"/>
                <w:szCs w:val="24"/>
                <w:lang w:eastAsia="uk-UA"/>
              </w:rPr>
            </w:r>
          </w:p>
        </w:tc>
        <w:tc>
          <w:tcPr>
            <w:tcW w:w="2272"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1695" w:type="dxa"/>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rPr>
                <w:rFonts w:ascii="Calibri" w:hAnsi="Calibri"/>
                <w:color w:val="000000"/>
              </w:rPr>
            </w:pPr>
            <w:r>
              <w:rPr>
                <w:color w:val="000000"/>
              </w:rPr>
            </w:r>
          </w:p>
        </w:tc>
        <w:tc>
          <w:tcPr>
            <w:tcW w:w="2274"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color w:val="000000"/>
                <w:sz w:val="28"/>
                <w:szCs w:val="28"/>
              </w:rPr>
              <w:t>Усього:</w:t>
            </w:r>
          </w:p>
          <w:p>
            <w:pPr>
              <w:pStyle w:val="Normal"/>
              <w:spacing w:lineRule="auto" w:line="240" w:before="0" w:after="0"/>
              <w:rPr>
                <w:rFonts w:ascii="Times New Roman" w:hAnsi="Times New Roman" w:cs="Times New Roman"/>
                <w:color w:val="000000"/>
                <w:sz w:val="28"/>
                <w:szCs w:val="28"/>
              </w:rPr>
            </w:pPr>
            <w:r>
              <w:rPr>
                <w:rFonts w:cs="Times New Roman" w:ascii="Times New Roman" w:hAnsi="Times New Roman"/>
                <w:color w:val="000000"/>
                <w:sz w:val="28"/>
                <w:szCs w:val="28"/>
              </w:rPr>
              <w:t>1 160 491,9</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у  тому числі:</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м. Києва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загальний фонд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усього: 964 796,0,</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в тому числі</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2016р. – 298 779,1  2017р. – 315 909,8   2018р. – 350 107,1</w:t>
            </w:r>
          </w:p>
          <w:p>
            <w:pPr>
              <w:pStyle w:val="Normal"/>
              <w:spacing w:lineRule="auto" w:line="240" w:before="0" w:after="0"/>
              <w:rPr>
                <w:rFonts w:ascii="Times New Roman" w:hAnsi="Times New Roman" w:cs="Times New Roman"/>
                <w:color w:val="000000"/>
                <w:sz w:val="8"/>
                <w:szCs w:val="8"/>
              </w:rPr>
            </w:pPr>
            <w:r>
              <w:rPr>
                <w:rFonts w:cs="Times New Roman" w:ascii="Times New Roman" w:hAnsi="Times New Roman"/>
                <w:color w:val="000000"/>
                <w:sz w:val="8"/>
                <w:szCs w:val="8"/>
              </w:rPr>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Власні надходження </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усього: 195 695,9</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в тому числі</w:t>
            </w:r>
          </w:p>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2016р. – 59 857,3  2017р. – 65 340,0   2018р. – 70 498,6</w:t>
            </w:r>
          </w:p>
          <w:p>
            <w:pPr>
              <w:pStyle w:val="Normal"/>
              <w:spacing w:lineRule="auto" w:line="240" w:before="0" w:after="0"/>
              <w:rPr>
                <w:rFonts w:ascii="Calibri" w:hAnsi="Calibri"/>
                <w:color w:val="000000"/>
              </w:rPr>
            </w:pPr>
            <w:r>
              <w:rPr>
                <w:color w:val="000000"/>
              </w:rPr>
            </w:r>
          </w:p>
        </w:tc>
        <w:tc>
          <w:tcPr>
            <w:tcW w:w="1697" w:type="dxa"/>
            <w:tcBorders>
              <w:bottom w:val="single" w:sz="4" w:space="0" w:color="00000A"/>
              <w:right w:val="single" w:sz="4" w:space="0" w:color="00000A"/>
              <w:insideH w:val="single" w:sz="4" w:space="0" w:color="00000A"/>
              <w:insideV w:val="single" w:sz="4" w:space="0" w:color="00000A"/>
            </w:tcBorders>
            <w:shd w:color="auto" w:fill="FFFFFF" w:themeFill="background1" w:val="clear"/>
          </w:tcPr>
          <w:p>
            <w:pPr>
              <w:pStyle w:val="Normal"/>
              <w:spacing w:lineRule="auto" w:line="240" w:before="0" w:after="0"/>
              <w:rPr>
                <w:rFonts w:ascii="Times New Roman" w:hAnsi="Times New Roman" w:eastAsia="Times New Roman" w:cs="Times New Roman"/>
                <w:bCs/>
                <w:color w:val="000000"/>
                <w:sz w:val="24"/>
                <w:szCs w:val="24"/>
                <w:lang w:eastAsia="uk-UA"/>
              </w:rPr>
            </w:pPr>
            <w:r>
              <w:rPr>
                <w:rFonts w:eastAsia="Times New Roman" w:cs="Times New Roman" w:ascii="Times New Roman" w:hAnsi="Times New Roman"/>
                <w:bCs/>
                <w:color w:val="000000"/>
                <w:sz w:val="24"/>
                <w:szCs w:val="24"/>
                <w:lang w:eastAsia="uk-UA"/>
              </w:rPr>
            </w:r>
          </w:p>
        </w:tc>
      </w:tr>
    </w:tbl>
    <w:p>
      <w:pPr>
        <w:pStyle w:val="Normal"/>
        <w:rPr>
          <w:rStyle w:val="22"/>
          <w:rFonts w:eastAsia="ＭＳ ゴシック" w:cs="Times New Roman" w:eastAsiaTheme="majorEastAsia"/>
          <w:bCs/>
          <w:color w:val="00000A"/>
          <w:szCs w:val="28"/>
        </w:rPr>
      </w:pPr>
      <w:r>
        <w:rPr>
          <w:rFonts w:eastAsia="ＭＳ ゴシック" w:cs="Times New Roman" w:eastAsiaTheme="majorEastAsia"/>
          <w:bCs/>
          <w:color w:val="00000A"/>
          <w:szCs w:val="28"/>
        </w:rPr>
      </w:r>
    </w:p>
    <w:p>
      <w:pPr>
        <w:pStyle w:val="2"/>
        <w:spacing w:before="200" w:after="120"/>
        <w:jc w:val="center"/>
        <w:rPr>
          <w:rFonts w:ascii="Times New Roman" w:hAnsi="Times New Roman" w:cs="Times New Roman"/>
          <w:b w:val="false"/>
          <w:b w:val="false"/>
          <w:color w:val="00000A"/>
          <w:sz w:val="28"/>
          <w:szCs w:val="28"/>
        </w:rPr>
      </w:pPr>
      <w:bookmarkStart w:id="30" w:name="_Toc431397878"/>
      <w:r>
        <w:rPr>
          <w:rStyle w:val="22"/>
          <w:rFonts w:cs="Times New Roman"/>
          <w:b w:val="false"/>
          <w:color w:val="00000A"/>
          <w:szCs w:val="28"/>
        </w:rPr>
        <w:t>Очікувані показники виконання підпрограми</w:t>
      </w:r>
      <w:bookmarkEnd w:id="30"/>
      <w:r>
        <w:rPr>
          <w:rFonts w:cs="Times New Roman" w:ascii="Times New Roman" w:hAnsi="Times New Roman"/>
          <w:b w:val="false"/>
          <w:color w:val="00000A"/>
          <w:sz w:val="28"/>
          <w:szCs w:val="28"/>
        </w:rPr>
        <w:t xml:space="preserve"> «Вища освіта і наука»</w:t>
      </w:r>
    </w:p>
    <w:tbl>
      <w:tblPr>
        <w:tblStyle w:val="24"/>
        <w:tblW w:w="15418" w:type="dxa"/>
        <w:jc w:val="left"/>
        <w:tblInd w:w="0" w:type="dxa"/>
        <w:tblCellMar>
          <w:top w:w="0" w:type="dxa"/>
          <w:left w:w="108" w:type="dxa"/>
          <w:bottom w:w="0" w:type="dxa"/>
          <w:right w:w="108" w:type="dxa"/>
        </w:tblCellMar>
        <w:tblLook w:firstRow="1" w:noVBand="1" w:lastRow="0" w:firstColumn="1" w:lastColumn="0" w:noHBand="0" w:val="04a0"/>
      </w:tblPr>
      <w:tblGrid>
        <w:gridCol w:w="659"/>
        <w:gridCol w:w="5118"/>
        <w:gridCol w:w="1563"/>
        <w:gridCol w:w="2000"/>
        <w:gridCol w:w="1999"/>
        <w:gridCol w:w="2000"/>
        <w:gridCol w:w="2"/>
        <w:gridCol w:w="2076"/>
      </w:tblGrid>
      <w:tr>
        <w:trPr>
          <w:trHeight w:val="510" w:hRule="atLeast"/>
        </w:trPr>
        <w:tc>
          <w:tcPr>
            <w:tcW w:w="659"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w:t>
            </w:r>
          </w:p>
        </w:tc>
        <w:tc>
          <w:tcPr>
            <w:tcW w:w="5118"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Обсяг коштів на виконання підпрограми</w:t>
            </w:r>
          </w:p>
        </w:tc>
        <w:tc>
          <w:tcPr>
            <w:tcW w:w="1563"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Одиниці вимірювання</w:t>
            </w:r>
          </w:p>
        </w:tc>
        <w:tc>
          <w:tcPr>
            <w:tcW w:w="6001" w:type="dxa"/>
            <w:gridSpan w:val="4"/>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Етапи виконання підпрограми за роками</w:t>
            </w:r>
          </w:p>
        </w:tc>
        <w:tc>
          <w:tcPr>
            <w:tcW w:w="2076" w:type="dxa"/>
            <w:vMerge w:val="restart"/>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Усього витрат на виконання підпрограми</w:t>
            </w:r>
          </w:p>
        </w:tc>
      </w:tr>
      <w:tr>
        <w:trPr>
          <w:trHeight w:val="399" w:hRule="atLeast"/>
        </w:trPr>
        <w:tc>
          <w:tcPr>
            <w:tcW w:w="659"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5118"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1563" w:type="dxa"/>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2016</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2017</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ＭＳ 明朝" w:cs="Times New Roman" w:eastAsiaTheme="minorEastAsia" w:ascii="Times New Roman" w:hAnsi="Times New Roman"/>
                <w:sz w:val="24"/>
                <w:szCs w:val="24"/>
                <w:lang w:eastAsia="uk-UA"/>
              </w:rPr>
              <w:t>2018</w:t>
            </w:r>
          </w:p>
        </w:tc>
        <w:tc>
          <w:tcPr>
            <w:tcW w:w="2078" w:type="dxa"/>
            <w:gridSpan w:val="2"/>
            <w:vMerge w:val="continue"/>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05" w:hRule="atLeast"/>
        </w:trPr>
        <w:tc>
          <w:tcPr>
            <w:tcW w:w="15417" w:type="dxa"/>
            <w:gridSpan w:val="8"/>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sz w:val="24"/>
                <w:szCs w:val="24"/>
              </w:rPr>
            </w:pPr>
            <w:r>
              <w:rPr>
                <w:rFonts w:eastAsia="ＭＳ 明朝" w:cs="Times New Roman" w:ascii="Times New Roman" w:hAnsi="Times New Roman" w:asciiTheme="majorBidi" w:cstheme="majorBidi" w:hAnsiTheme="majorBidi"/>
                <w:bCs/>
                <w:sz w:val="24"/>
                <w:szCs w:val="24"/>
                <w:lang w:eastAsia="uk-UA"/>
              </w:rPr>
              <w:t>Вища освіта і наука</w:t>
            </w:r>
          </w:p>
        </w:tc>
      </w:tr>
      <w:tr>
        <w:trPr>
          <w:trHeight w:val="566" w:hRule="atLeast"/>
        </w:trPr>
        <w:tc>
          <w:tcPr>
            <w:tcW w:w="659" w:type="dxa"/>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sz w:val="24"/>
                <w:szCs w:val="24"/>
              </w:rPr>
            </w:pPr>
            <w:r>
              <w:rPr>
                <w:rFonts w:eastAsia="ＭＳ 明朝" w:cs="Times New Roman" w:ascii="Times New Roman" w:hAnsi="Times New Roman" w:asciiTheme="majorBidi" w:cstheme="majorBidi" w:hAnsiTheme="majorBidi"/>
                <w:bCs/>
                <w:sz w:val="24"/>
                <w:szCs w:val="24"/>
                <w:lang w:eastAsia="uk-UA"/>
              </w:rPr>
              <w:t>Бюджет м. Києва</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тис. грн.</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358 636,4</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381 249,8</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420 605,7</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1 160 491,9</w:t>
            </w:r>
          </w:p>
        </w:tc>
      </w:tr>
      <w:tr>
        <w:trPr>
          <w:trHeight w:val="420" w:hRule="atLeast"/>
        </w:trPr>
        <w:tc>
          <w:tcPr>
            <w:tcW w:w="15417" w:type="dxa"/>
            <w:gridSpan w:val="8"/>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i/>
                <w:i/>
                <w:sz w:val="24"/>
                <w:szCs w:val="24"/>
              </w:rPr>
            </w:pPr>
            <w:r>
              <w:rPr>
                <w:rFonts w:eastAsia="ＭＳ 明朝" w:cs="Times New Roman" w:ascii="Times New Roman" w:hAnsi="Times New Roman" w:asciiTheme="majorBidi" w:cstheme="majorBidi" w:hAnsiTheme="majorBidi"/>
                <w:bCs/>
                <w:i/>
                <w:sz w:val="24"/>
                <w:szCs w:val="24"/>
                <w:lang w:eastAsia="uk-UA"/>
              </w:rPr>
              <w:t>Показники затрат</w:t>
            </w:r>
          </w:p>
        </w:tc>
      </w:tr>
      <w:tr>
        <w:trPr>
          <w:trHeight w:val="808"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забезпечити підготовку для регіону фахівців у вищих навчальних закладах</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тис. грн.</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sz w:val="24"/>
                <w:szCs w:val="24"/>
              </w:rPr>
            </w:pPr>
            <w:r>
              <w:rPr>
                <w:rFonts w:eastAsia="ＭＳ 明朝" w:cs="Times New Roman" w:ascii="Times New Roman" w:hAnsi="Times New Roman" w:asciiTheme="majorBidi" w:cstheme="majorBidi" w:hAnsiTheme="majorBidi"/>
                <w:sz w:val="24"/>
                <w:szCs w:val="24"/>
                <w:lang w:eastAsia="uk-UA"/>
              </w:rPr>
              <w:t>358 636,4</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sz w:val="24"/>
                <w:szCs w:val="24"/>
              </w:rPr>
            </w:pPr>
            <w:r>
              <w:rPr>
                <w:rFonts w:eastAsia="ＭＳ 明朝" w:cs="Times New Roman" w:ascii="Times New Roman" w:hAnsi="Times New Roman" w:asciiTheme="majorBidi" w:cstheme="majorBidi" w:hAnsiTheme="majorBidi"/>
                <w:sz w:val="24"/>
                <w:szCs w:val="24"/>
                <w:lang w:eastAsia="uk-UA"/>
              </w:rPr>
              <w:t>381 249,8</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sz w:val="24"/>
                <w:szCs w:val="24"/>
              </w:rPr>
            </w:pPr>
            <w:r>
              <w:rPr>
                <w:rFonts w:eastAsia="ＭＳ 明朝" w:cs="Times New Roman" w:ascii="Times New Roman" w:hAnsi="Times New Roman" w:asciiTheme="majorBidi" w:cstheme="majorBidi" w:hAnsiTheme="majorBidi"/>
                <w:sz w:val="24"/>
                <w:szCs w:val="24"/>
                <w:lang w:eastAsia="uk-UA"/>
              </w:rPr>
              <w:t>420 605,700</w:t>
            </w:r>
          </w:p>
        </w:tc>
        <w:tc>
          <w:tcPr>
            <w:tcW w:w="2078" w:type="dxa"/>
            <w:gridSpan w:val="2"/>
            <w:tcBorders/>
            <w:shd w:fill="auto" w:val="clear"/>
            <w:tcMar>
              <w:left w:w="108" w:type="dxa"/>
            </w:tcMar>
          </w:tcPr>
          <w:p>
            <w:pPr>
              <w:pStyle w:val="Normal"/>
              <w:spacing w:lineRule="auto" w:line="240" w:before="0" w:after="0"/>
              <w:rPr>
                <w:rFonts w:ascii="Times New Roman" w:hAnsi="Times New Roman" w:cs="Times New Roman" w:asciiTheme="majorBidi" w:cstheme="majorBidi" w:hAnsiTheme="majorBidi"/>
                <w:bCs/>
                <w:sz w:val="24"/>
                <w:szCs w:val="24"/>
              </w:rPr>
            </w:pPr>
            <w:r>
              <w:rPr>
                <w:rFonts w:eastAsia="ＭＳ 明朝" w:cs="Times New Roman" w:ascii="Times New Roman" w:hAnsi="Times New Roman" w:asciiTheme="majorBidi" w:cstheme="majorBidi" w:hAnsiTheme="majorBidi"/>
                <w:sz w:val="24"/>
                <w:szCs w:val="24"/>
                <w:lang w:eastAsia="uk-UA"/>
              </w:rPr>
              <w:t>1 160 491,9</w:t>
            </w:r>
          </w:p>
        </w:tc>
      </w:tr>
      <w:tr>
        <w:trPr>
          <w:trHeight w:val="275"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кількість закладів</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од.</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8</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8</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8</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264"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3</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середньорічна кількість ставок науково-педагогічного персоналу</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од.</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681,0</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681,0</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681,0</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600"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середньорічна кількість ставок педагогічного персоналу</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од.</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1 262,35</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1 262,35</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1 262,35</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795"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5</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середньорічна кількість штатних одиниць адмінперсоналу, за умовами оплати віднесених до педагогічного персоналу</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од.</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1 269,5</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1 269,5</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1 269,50</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600"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6</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середньорічна кількість штатних одиниць спеціалістів</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од.</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2 204,5</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2 204,5</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2 204,5</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600"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7</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середньорічна кількість штатних одиниць робітників</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од.</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1 559,5</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1 559,5</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1 559,5</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600"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8</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 xml:space="preserve">всього – середньорічна кількість ставок </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од.</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6 976,85</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6 976,85</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lang w:val="en-US"/>
              </w:rPr>
            </w:pPr>
            <w:r>
              <w:rPr>
                <w:rFonts w:eastAsia="ＭＳ 明朝" w:cs="Times New Roman" w:ascii="Times New Roman" w:hAnsi="Times New Roman" w:asciiTheme="majorBidi" w:cstheme="majorBidi" w:hAnsiTheme="majorBidi"/>
                <w:sz w:val="24"/>
                <w:szCs w:val="24"/>
                <w:lang w:eastAsia="uk-UA"/>
              </w:rPr>
              <w:t>6 976,85</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321" w:hRule="atLeast"/>
        </w:trPr>
        <w:tc>
          <w:tcPr>
            <w:tcW w:w="15417" w:type="dxa"/>
            <w:gridSpan w:val="8"/>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i/>
                <w:i/>
                <w:sz w:val="24"/>
                <w:szCs w:val="24"/>
              </w:rPr>
            </w:pPr>
            <w:r>
              <w:rPr>
                <w:rFonts w:eastAsia="ＭＳ 明朝" w:cs="Times New Roman" w:ascii="Times New Roman" w:hAnsi="Times New Roman" w:asciiTheme="majorBidi" w:cstheme="majorBidi" w:hAnsiTheme="majorBidi"/>
                <w:bCs/>
                <w:i/>
                <w:sz w:val="24"/>
                <w:szCs w:val="24"/>
                <w:lang w:eastAsia="uk-UA"/>
              </w:rPr>
              <w:t>Показники продукту</w:t>
            </w:r>
          </w:p>
        </w:tc>
      </w:tr>
      <w:tr>
        <w:trPr>
          <w:trHeight w:val="525"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Середньорічна кількість студентів денної форми навчання</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осіб</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6 775</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6 775</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6 775</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525"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середньорічна кількість стипендіатів за рахунок коштів бюджету</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осіб</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4 535</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4 535</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4 535</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525"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3</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кількість осіб, прийнятих на 1 курс на денну форму навчання</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осіб</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1 796</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1 796</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1 796</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14"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кількість випускників</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осіб</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1 388</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1 388</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1 388</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162"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5</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середньорічна кількість студентів заочної форми навчання</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осіб</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239</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239</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239</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101"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6</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середньорічна кількість слухачів, які пройдуть підвищення кваліфікації</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осіб</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12 327</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12 327</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12 327</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449" w:hRule="atLeast"/>
        </w:trPr>
        <w:tc>
          <w:tcPr>
            <w:tcW w:w="15417" w:type="dxa"/>
            <w:gridSpan w:val="8"/>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bCs/>
                <w:i/>
                <w:i/>
                <w:sz w:val="24"/>
                <w:szCs w:val="24"/>
              </w:rPr>
            </w:pPr>
            <w:r>
              <w:rPr>
                <w:rFonts w:eastAsia="ＭＳ 明朝" w:cs="Times New Roman" w:ascii="Times New Roman" w:hAnsi="Times New Roman" w:asciiTheme="majorBidi" w:cstheme="majorBidi" w:hAnsiTheme="majorBidi"/>
                <w:bCs/>
                <w:i/>
                <w:sz w:val="24"/>
                <w:szCs w:val="24"/>
                <w:lang w:eastAsia="uk-UA"/>
              </w:rPr>
              <w:t>Показники ефективності</w:t>
            </w:r>
          </w:p>
        </w:tc>
      </w:tr>
      <w:tr>
        <w:trPr>
          <w:trHeight w:val="525" w:hRule="atLeast"/>
        </w:trPr>
        <w:tc>
          <w:tcPr>
            <w:tcW w:w="65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w:t>
            </w:r>
          </w:p>
        </w:tc>
        <w:tc>
          <w:tcPr>
            <w:tcW w:w="5118"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Витрати на 1 студента, слухача</w:t>
            </w:r>
          </w:p>
        </w:tc>
        <w:tc>
          <w:tcPr>
            <w:tcW w:w="1563"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грн.</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18 542,81</w:t>
            </w:r>
          </w:p>
        </w:tc>
        <w:tc>
          <w:tcPr>
            <w:tcW w:w="1999"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19 712,00</w:t>
            </w:r>
          </w:p>
        </w:tc>
        <w:tc>
          <w:tcPr>
            <w:tcW w:w="2000" w:type="dx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21 746,84</w:t>
            </w:r>
          </w:p>
        </w:tc>
        <w:tc>
          <w:tcPr>
            <w:tcW w:w="2078" w:type="dxa"/>
            <w:gridSpan w:val="2"/>
            <w:tcBorders/>
            <w:shd w:fill="auto" w:val="clear"/>
            <w:tcMar>
              <w:left w:w="108" w:type="dxa"/>
            </w:tcMar>
          </w:tcPr>
          <w:p>
            <w:pPr>
              <w:pStyle w:val="Normal"/>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bl>
    <w:p>
      <w:pPr>
        <w:sectPr>
          <w:headerReference w:type="default" r:id="rId33"/>
          <w:headerReference w:type="first" r:id="rId34"/>
          <w:type w:val="nextPage"/>
          <w:pgSz w:orient="landscape" w:w="16838" w:h="11906"/>
          <w:pgMar w:left="851" w:right="851" w:header="709" w:top="1134" w:footer="0" w:bottom="1134" w:gutter="0"/>
          <w:pgNumType w:fmt="decimal"/>
          <w:formProt w:val="false"/>
          <w:titlePg/>
          <w:textDirection w:val="lrTb"/>
          <w:docGrid w:type="default" w:linePitch="360" w:charSpace="4294965247"/>
        </w:sectPr>
        <w:pStyle w:val="Normal"/>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                                                                                            </w:t>
      </w:r>
    </w:p>
    <w:p>
      <w:pPr>
        <w:pStyle w:val="Normal"/>
        <w:jc w:val="center"/>
        <w:rPr>
          <w:rFonts w:ascii="Times New Roman" w:hAnsi="Times New Roman" w:cs="Times New Roman" w:asciiTheme="majorBidi" w:cstheme="majorBidi" w:hAnsiTheme="majorBidi"/>
          <w:b/>
          <w:b/>
          <w:sz w:val="28"/>
          <w:szCs w:val="28"/>
        </w:rPr>
      </w:pPr>
      <w:r>
        <w:rPr>
          <w:rFonts w:cs="Times New Roman" w:ascii="Times New Roman" w:hAnsi="Times New Roman" w:asciiTheme="majorBidi" w:cstheme="majorBidi" w:hAnsiTheme="majorBidi"/>
          <w:b/>
          <w:sz w:val="28"/>
          <w:szCs w:val="28"/>
        </w:rPr>
        <w:t>Підпрограма «Гранти Київського міського голови»</w:t>
      </w:r>
    </w:p>
    <w:p>
      <w:pPr>
        <w:pStyle w:val="Normal"/>
        <w:jc w:val="both"/>
        <w:rPr>
          <w:rFonts w:ascii="Times New Roman" w:hAnsi="Times New Roman" w:eastAsia="Calibri" w:cs="Times New Roman"/>
          <w:sz w:val="28"/>
          <w:szCs w:val="28"/>
        </w:rPr>
      </w:pPr>
      <w:r>
        <w:rPr>
          <w:rFonts w:eastAsia="Calibri" w:cs="Times New Roman" w:ascii="Times New Roman" w:hAnsi="Times New Roman"/>
          <w:sz w:val="28"/>
          <w:szCs w:val="28"/>
        </w:rPr>
        <w:tab/>
        <w:t xml:space="preserve"> Запровадження грантів Київського міського голови є  одним із можливих дієвих механізмів стимулювання та заохочення суб</w:t>
      </w:r>
      <w:r>
        <w:rPr>
          <w:rFonts w:eastAsia="Times New Roman" w:cs="Times New Roman" w:ascii="Times New Roman" w:hAnsi="Times New Roman"/>
          <w:sz w:val="28"/>
          <w:szCs w:val="28"/>
          <w:lang w:eastAsia="uk-UA"/>
        </w:rPr>
        <w:t>’</w:t>
      </w:r>
      <w:r>
        <w:rPr>
          <w:rFonts w:eastAsia="Calibri" w:cs="Times New Roman" w:ascii="Times New Roman" w:hAnsi="Times New Roman"/>
          <w:sz w:val="28"/>
          <w:szCs w:val="28"/>
        </w:rPr>
        <w:t xml:space="preserve">єктів освітньої діяльності до використання інноваційних підходів розвитку освіти в місті Києві. Гранти Київського міського голови надаються за результатами проведення загальноміських конкурсів за такими напрямами: оздоровчо-фізкультурна робота в дошкільних навчальних закладах, робота з дітьми з особливими потребами, визначення найкращого навчального закладу та визначення  найкращого учителя і вихователя навчального закладу. Участь у конкурсах на здобуття грантів Київського міського голови стимулюватиме педагогічних  працівників до запровадження нових підходів щодо організації навчання дітей з особливими потребами та сприятиме розвитку інновацій в управлінській та освітній діяльності навчальних закладів. </w:t>
      </w:r>
    </w:p>
    <w:p>
      <w:pPr>
        <w:pStyle w:val="Normal"/>
        <w:ind w:firstLine="708"/>
        <w:jc w:val="both"/>
        <w:rPr>
          <w:rFonts w:ascii="Times New Roman" w:hAnsi="Times New Roman" w:eastAsia="Calibri" w:cs="Times New Roman"/>
          <w:sz w:val="28"/>
          <w:szCs w:val="28"/>
        </w:rPr>
      </w:pPr>
      <w:r>
        <w:rPr>
          <w:rFonts w:eastAsia="Calibri" w:cs="Times New Roman" w:ascii="Times New Roman" w:hAnsi="Times New Roman"/>
          <w:sz w:val="28"/>
          <w:szCs w:val="28"/>
        </w:rPr>
        <w:t>Фізичний розвиток дітей є одним із пріоритетних напрямів національного виховання, визначеного Державною національною програмою «Освіта» («Україна XXI століття»), затвердженою постановою Кабінету Міністрів України  від 03 листопада 1993 року  № 896. Для забезпечення належного рівня фізичної підготовленості та фізичної культури дітей, виховання стійкого інтересу до рухової активності та підвищення якості фізичного виховання дітей у кожному дошкільному навчальному закладі необхідно створити сучасну спортивно-ігрову зону.</w:t>
      </w:r>
    </w:p>
    <w:p>
      <w:pPr>
        <w:pStyle w:val="Normal"/>
        <w:ind w:firstLine="708"/>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Запровадження грантів  Київського міського голови «Чуйне серце» передбачає проведення загальноміського конкурсу з визначення кращої  системи роботи з дітьми з особливими потребами в дошкільних та загальноосвітніх навчальних закладах столиці. Вирішення питання щодо забезпечення рівного доступу до якісної освіти для дітей з особливими потребами, втілення ідей рівноправності, толерантності,  індивідуальності при задоволенні індивідуальних запитів кожної дитини є прерогативою розвитку інклюзивної освіти  столиці. </w:t>
      </w:r>
    </w:p>
    <w:p>
      <w:pPr>
        <w:pStyle w:val="Normal"/>
        <w:numPr>
          <w:ilvl w:val="0"/>
          <w:numId w:val="0"/>
        </w:numPr>
        <w:jc w:val="both"/>
        <w:rPr>
          <w:rFonts w:ascii="Times New Roman" w:hAnsi="Times New Roman" w:eastAsia="Calibri" w:cs="Times New Roman"/>
          <w:sz w:val="28"/>
          <w:szCs w:val="28"/>
        </w:rPr>
      </w:pPr>
      <w:r>
        <w:rPr>
          <w:rFonts w:eastAsia="Calibri" w:cs="Times New Roman" w:ascii="Times New Roman" w:hAnsi="Times New Roman"/>
          <w:b/>
          <w:sz w:val="28"/>
          <w:szCs w:val="28"/>
        </w:rPr>
        <w:t xml:space="preserve">      </w:t>
      </w:r>
      <w:r>
        <w:rPr>
          <w:rFonts w:eastAsia="Calibri" w:cs="Times New Roman" w:ascii="Times New Roman" w:hAnsi="Times New Roman"/>
          <w:sz w:val="28"/>
          <w:szCs w:val="28"/>
        </w:rPr>
        <w:t>З метою підвищення якості надання освітніх послуг у дошкільних та загальноосвітніх навчальних закладах, які працюють за інклюзивною моделлю освіти, необхідно здійснити заходи, що зменшуватимуть ізоляцію дітей з особливостями психофізичного розвитку та сприятимуть формуванню життєздатності особистості.</w:t>
      </w:r>
    </w:p>
    <w:p>
      <w:pPr>
        <w:pStyle w:val="Normal"/>
        <w:ind w:firstLine="708"/>
        <w:jc w:val="both"/>
        <w:rPr>
          <w:rFonts w:ascii="Times New Roman" w:hAnsi="Times New Roman" w:eastAsia="Calibri" w:cs="Times New Roman"/>
          <w:sz w:val="28"/>
          <w:szCs w:val="28"/>
        </w:rPr>
      </w:pPr>
      <w:r>
        <w:rPr>
          <w:rFonts w:eastAsia="Calibri" w:cs="Times New Roman" w:ascii="Times New Roman" w:hAnsi="Times New Roman"/>
          <w:sz w:val="28"/>
          <w:szCs w:val="28"/>
        </w:rPr>
        <w:t>Грант Київського міського голови «Наш найкращий навчальний заклад» спрямований на підтримку творчої активності педагогічних колективів комунальних дошкільних, загальноосвітніх, позашкільних та професійно-технічних навчальних закладів  міста Києва щодо розробки та впровадження  цілісної інноваційної концепції розвитку навчального закладу.</w:t>
      </w:r>
    </w:p>
    <w:p>
      <w:pPr>
        <w:sectPr>
          <w:headerReference w:type="default" r:id="rId35"/>
          <w:headerReference w:type="first" r:id="rId36"/>
          <w:type w:val="nextPage"/>
          <w:pgSz w:w="11906" w:h="16838"/>
          <w:pgMar w:left="1134" w:right="1134" w:header="709" w:top="851" w:footer="0" w:bottom="851" w:gutter="0"/>
          <w:pgNumType w:fmt="decimal"/>
          <w:formProt w:val="false"/>
          <w:titlePg/>
          <w:textDirection w:val="lrTb"/>
          <w:docGrid w:type="default" w:linePitch="360" w:charSpace="4294965247"/>
        </w:sectPr>
        <w:pStyle w:val="Normal"/>
        <w:jc w:val="both"/>
        <w:rPr>
          <w:rFonts w:ascii="Times New Roman" w:hAnsi="Times New Roman" w:eastAsia="Calibri" w:cs="Times New Roman"/>
          <w:sz w:val="28"/>
          <w:szCs w:val="28"/>
        </w:rPr>
      </w:pPr>
      <w:r>
        <w:rPr>
          <w:rFonts w:eastAsia="Calibri" w:cs="Times New Roman" w:ascii="Times New Roman" w:hAnsi="Times New Roman"/>
          <w:sz w:val="28"/>
          <w:szCs w:val="28"/>
        </w:rPr>
        <w:t xml:space="preserve">           </w:t>
      </w:r>
      <w:r>
        <w:rPr>
          <w:rFonts w:eastAsia="Calibri" w:cs="Times New Roman" w:ascii="Times New Roman" w:hAnsi="Times New Roman"/>
          <w:sz w:val="28"/>
          <w:szCs w:val="28"/>
        </w:rPr>
        <w:t>Грант  Київського міського голови «Перспектива освіти» стимулюватиме професійне зростання педагогічних працівників. Вчителі та вихователі, що здобудуть фінансову підтримку, матимуть можливість реалізувати власний творчий професійний потенціал та втілити свої професійні задуми.  Моральне та матеріальне стимулювання педагогів грантами  Київського міського голови сприятиме самореалізації та самоствердженню педагогів-новаторів, формуватиме установку педагогічних працівників на неперервну освіту, самовдосконалення та</w:t>
      </w:r>
      <w:r>
        <w:rPr>
          <w:rFonts w:eastAsia="Times New Roman" w:cs="Times New Roman" w:ascii="Times New Roman" w:hAnsi="Times New Roman"/>
          <w:sz w:val="28"/>
          <w:szCs w:val="28"/>
          <w:lang w:eastAsia="uk-UA"/>
        </w:rPr>
        <w:t xml:space="preserve"> підвищення освітнього загальнокультурного рівня,</w:t>
      </w:r>
      <w:bookmarkStart w:id="31" w:name="o322"/>
      <w:bookmarkEnd w:id="31"/>
      <w:r>
        <w:rPr>
          <w:rFonts w:eastAsia="Calibri" w:cs="Times New Roman" w:ascii="Times New Roman" w:hAnsi="Times New Roman"/>
          <w:sz w:val="28"/>
          <w:szCs w:val="28"/>
        </w:rPr>
        <w:t xml:space="preserve"> заохочуватиме до самостійності та ініціативи, участі у професійних конкурсах, змаганнях, проектах з  інноваційної педагогічної діяльності. </w:t>
      </w:r>
    </w:p>
    <w:p>
      <w:pPr>
        <w:pStyle w:val="Normal"/>
        <w:rPr>
          <w:rFonts w:ascii="Times New Roman" w:hAnsi="Times New Roman" w:cs="Times New Roman" w:asciiTheme="majorBidi" w:cstheme="majorBidi" w:hAnsiTheme="majorBidi"/>
          <w:sz w:val="28"/>
          <w:szCs w:val="28"/>
        </w:rPr>
      </w:pPr>
      <w:r>
        <w:rPr>
          <w:rFonts w:cs="Times New Roman" w:ascii="Times New Roman" w:hAnsi="Times New Roman" w:asciiTheme="majorBidi" w:cstheme="majorBidi" w:hAnsiTheme="majorBidi"/>
          <w:sz w:val="28"/>
          <w:szCs w:val="28"/>
        </w:rPr>
        <w:t xml:space="preserve">                                           </w:t>
      </w:r>
      <w:r>
        <w:rPr>
          <w:rStyle w:val="22"/>
          <w:rFonts w:cs="Times New Roman"/>
          <w:color w:val="00000A"/>
          <w:szCs w:val="28"/>
        </w:rPr>
        <w:t>Напрями діяльності, завдання та заходи</w:t>
      </w:r>
      <w:r>
        <w:rPr>
          <w:rFonts w:cs="Times New Roman" w:ascii="Times New Roman" w:hAnsi="Times New Roman"/>
          <w:sz w:val="28"/>
          <w:szCs w:val="28"/>
        </w:rPr>
        <w:t xml:space="preserve"> підпрограми</w:t>
      </w:r>
      <w:r>
        <w:rPr>
          <w:rFonts w:cs="Times New Roman" w:ascii="Times New Roman" w:hAnsi="Times New Roman" w:asciiTheme="majorBidi" w:cstheme="majorBidi" w:hAnsiTheme="majorBidi"/>
          <w:sz w:val="28"/>
          <w:szCs w:val="28"/>
        </w:rPr>
        <w:t xml:space="preserve"> «Гранти Київського міського голови»</w:t>
      </w:r>
    </w:p>
    <w:tbl>
      <w:tblPr>
        <w:tblW w:w="15060"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816"/>
        <w:gridCol w:w="2268"/>
        <w:gridCol w:w="2444"/>
        <w:gridCol w:w="1593"/>
        <w:gridCol w:w="1844"/>
        <w:gridCol w:w="1700"/>
        <w:gridCol w:w="2126"/>
        <w:gridCol w:w="2267"/>
      </w:tblGrid>
      <w:tr>
        <w:trPr/>
        <w:tc>
          <w:tcPr>
            <w:tcW w:w="8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Назва напряму діяльності (пріоритетні завдання)</w:t>
            </w:r>
          </w:p>
        </w:tc>
        <w:tc>
          <w:tcPr>
            <w:tcW w:w="24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Заходи підпрограми</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Терміни виконання заходу</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Виконавці</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Джерела фінансування</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Орієнтовні обсяги фінансування (вартість), тис. гривень, у тому числі за роками:</w:t>
            </w:r>
          </w:p>
        </w:tc>
        <w:tc>
          <w:tcPr>
            <w:tcW w:w="2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Очікуваний результат</w:t>
            </w:r>
          </w:p>
        </w:tc>
      </w:tr>
      <w:tr>
        <w:trPr/>
        <w:tc>
          <w:tcPr>
            <w:tcW w:w="8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4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2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81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26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Надати гранти Київського міського голови</w:t>
            </w:r>
          </w:p>
        </w:tc>
        <w:tc>
          <w:tcPr>
            <w:tcW w:w="24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Проведення загальноміського конкурсу «Грант Київського міського голови: система оздоровчо-фізкультурної роботи в дошкільному навчальному закладі»</w:t>
            </w:r>
          </w:p>
          <w:p>
            <w:pPr>
              <w:pStyle w:val="Normal"/>
              <w:spacing w:lineRule="auto" w:line="240" w:before="0" w:after="0"/>
              <w:rPr>
                <w:rFonts w:ascii="Times New Roman" w:hAnsi="Times New Roman" w:cs="Times New Roman"/>
                <w:i/>
                <w:i/>
                <w:sz w:val="24"/>
                <w:szCs w:val="24"/>
                <w:u w:val="single"/>
              </w:rPr>
            </w:pPr>
            <w:r>
              <w:rPr>
                <w:rFonts w:cs="Times New Roman" w:ascii="Times New Roman" w:hAnsi="Times New Roman"/>
                <w:i/>
                <w:sz w:val="24"/>
                <w:szCs w:val="24"/>
                <w:u w:val="single"/>
              </w:rPr>
              <w:t>Переможець:</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навчальний заклад – 100,0 тис.грн.</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педагог – 50,0 тис.грн.</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2016-2018</w:t>
              <w:tab/>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м. Києва</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Загальний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150,0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Стимулювання та заохочення оздоровчо-фізкультурної роботи в дошкільних навчальних закладах</w:t>
            </w:r>
          </w:p>
        </w:tc>
      </w:tr>
      <w:tr>
        <w:trPr/>
        <w:tc>
          <w:tcPr>
            <w:tcW w:w="8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4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Проведення загальноміського конкурсу «Грант Київського міського голови «Чуйне серце»: система  роботи з дітьми з особливими потребами»</w:t>
            </w:r>
          </w:p>
          <w:p>
            <w:pPr>
              <w:pStyle w:val="Normal"/>
              <w:spacing w:lineRule="auto" w:line="240" w:before="0" w:after="0"/>
              <w:rPr>
                <w:rFonts w:ascii="Times New Roman" w:hAnsi="Times New Roman" w:cs="Times New Roman"/>
                <w:i/>
                <w:i/>
                <w:sz w:val="24"/>
                <w:szCs w:val="24"/>
                <w:u w:val="single"/>
              </w:rPr>
            </w:pPr>
            <w:r>
              <w:rPr>
                <w:rFonts w:cs="Times New Roman" w:ascii="Times New Roman" w:hAnsi="Times New Roman"/>
                <w:i/>
                <w:sz w:val="24"/>
                <w:szCs w:val="24"/>
                <w:u w:val="single"/>
              </w:rPr>
              <w:t>Переможець:</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навчальний заклад – 100,0 тис.грн.</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педагог – 50,0 тис.грн.</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2016-2018</w:t>
              <w:tab/>
              <w:tab/>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м. Києва</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pPr>
            <w:r>
              <w:rPr>
                <w:rFonts w:cs="Times New Roman" w:ascii="Times New Roman" w:hAnsi="Times New Roman"/>
                <w:sz w:val="24"/>
                <w:szCs w:val="24"/>
              </w:rPr>
              <w:t>Усього</w:t>
            </w:r>
            <w:r>
              <w:rPr/>
              <w:t xml:space="preserve">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Загальний фонд: 450,0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150,0</w:t>
            </w:r>
          </w:p>
        </w:tc>
        <w:tc>
          <w:tcPr>
            <w:tcW w:w="2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Стимулювання та заохочення інноваційних підходів до організації роботи з дітьми з особливими потребами</w:t>
            </w:r>
          </w:p>
        </w:tc>
      </w:tr>
      <w:tr>
        <w:trPr/>
        <w:tc>
          <w:tcPr>
            <w:tcW w:w="8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4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Calibri" w:cs="Times New Roman"/>
                <w:sz w:val="24"/>
                <w:szCs w:val="24"/>
              </w:rPr>
            </w:pPr>
            <w:r>
              <w:rPr>
                <w:rFonts w:cs="Times New Roman" w:ascii="Times New Roman" w:hAnsi="Times New Roman"/>
                <w:sz w:val="24"/>
                <w:szCs w:val="24"/>
              </w:rPr>
              <w:t>Проведення загальноміського конкурсу «Грант Київського міського голови «</w:t>
            </w:r>
            <w:r>
              <w:rPr>
                <w:rFonts w:eastAsia="Calibri" w:cs="Times New Roman" w:ascii="Times New Roman" w:hAnsi="Times New Roman"/>
                <w:sz w:val="24"/>
                <w:szCs w:val="24"/>
              </w:rPr>
              <w:t>Наш найкращий навчальний заклад»</w:t>
            </w:r>
          </w:p>
          <w:p>
            <w:pPr>
              <w:pStyle w:val="Normal"/>
              <w:spacing w:lineRule="auto" w:line="240" w:before="0" w:after="0"/>
              <w:rPr>
                <w:rFonts w:ascii="Times New Roman" w:hAnsi="Times New Roman" w:cs="Times New Roman"/>
                <w:sz w:val="24"/>
                <w:szCs w:val="24"/>
              </w:rPr>
            </w:pPr>
            <w:r>
              <w:rPr>
                <w:rFonts w:cs="Times New Roman" w:ascii="Times New Roman" w:hAnsi="Times New Roman"/>
                <w:i/>
                <w:sz w:val="24"/>
                <w:szCs w:val="24"/>
                <w:u w:val="single"/>
              </w:rPr>
              <w:t>Переможець</w:t>
            </w:r>
            <w:r>
              <w:rPr>
                <w:rFonts w:cs="Times New Roman" w:ascii="Times New Roman" w:hAnsi="Times New Roman"/>
                <w:sz w:val="24"/>
                <w:szCs w:val="24"/>
              </w:rPr>
              <w:t>:</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навчальний заклад – 50,0 тис.грн. (ДНЗ, ЗНЗ, ПНЗ, ПТНЗ)</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2016-2018</w:t>
              <w:tab/>
              <w:tab/>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м. Києва</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Загальний фонд: 600,0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200,0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200,0</w:t>
            </w:r>
          </w:p>
        </w:tc>
        <w:tc>
          <w:tcPr>
            <w:tcW w:w="2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Стимулювання та заохочення інноваційних підходів до  управлінської діяльності в навчальних закладах</w:t>
            </w:r>
          </w:p>
        </w:tc>
      </w:tr>
      <w:tr>
        <w:trPr/>
        <w:tc>
          <w:tcPr>
            <w:tcW w:w="81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4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Проведення загальноміського конкурсу «Грант Київського міського голови </w:t>
            </w:r>
            <w:r>
              <w:rPr>
                <w:rFonts w:eastAsia="Calibri" w:cs="Times New Roman" w:ascii="Times New Roman" w:hAnsi="Times New Roman"/>
                <w:sz w:val="24"/>
                <w:szCs w:val="24"/>
              </w:rPr>
              <w:t>«Перспектива освіти</w:t>
            </w:r>
            <w:r>
              <w:rPr>
                <w:rFonts w:eastAsia="Calibri" w:cs="Times New Roman" w:ascii="Times New Roman" w:hAnsi="Times New Roman"/>
                <w:sz w:val="28"/>
                <w:szCs w:val="28"/>
              </w:rPr>
              <w:t>»</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2016-2018</w:t>
              <w:tab/>
              <w:tab/>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м. Києва</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Загальний фонд: 150,0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50,0</w:t>
            </w:r>
          </w:p>
        </w:tc>
        <w:tc>
          <w:tcPr>
            <w:tcW w:w="2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Стимулювання та заохочення інноваційних підходів до  освітніх напрямів у навчальних закладах</w:t>
            </w:r>
          </w:p>
        </w:tc>
      </w:tr>
      <w:tr>
        <w:trPr/>
        <w:tc>
          <w:tcPr>
            <w:tcW w:w="8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4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УСЬОГО:</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Усього</w:t>
            </w:r>
          </w:p>
          <w:p>
            <w:pPr>
              <w:pStyle w:val="Normal"/>
              <w:spacing w:lineRule="auto" w:line="240" w:before="0" w:after="0"/>
              <w:jc w:val="center"/>
              <w:rPr>
                <w:rFonts w:ascii="Times New Roman" w:hAnsi="Times New Roman" w:cs="Times New Roman"/>
                <w:sz w:val="24"/>
                <w:szCs w:val="24"/>
              </w:rPr>
            </w:pPr>
            <w:r>
              <w:rPr>
                <w:sz w:val="24"/>
                <w:szCs w:val="24"/>
              </w:rPr>
              <w:t xml:space="preserve"> </w:t>
            </w:r>
            <w:r>
              <w:rPr>
                <w:rFonts w:cs="Times New Roman" w:ascii="Times New Roman" w:hAnsi="Times New Roman"/>
                <w:sz w:val="24"/>
                <w:szCs w:val="24"/>
              </w:rPr>
              <w:t>Загальний фонд:</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1 650,0</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jc w:val="center"/>
              <w:rPr>
                <w:rFonts w:ascii="Times New Roman" w:hAnsi="Times New Roman" w:eastAsia="Times New Roman" w:cs="Times New Roman"/>
                <w:bCs/>
                <w:sz w:val="24"/>
                <w:szCs w:val="24"/>
                <w:lang w:eastAsia="uk-UA"/>
              </w:rPr>
            </w:pPr>
            <w:r>
              <w:rPr>
                <w:rFonts w:cs="Times New Roman" w:ascii="Times New Roman" w:hAnsi="Times New Roman"/>
                <w:sz w:val="24"/>
                <w:szCs w:val="24"/>
              </w:rPr>
              <w:t xml:space="preserve">2016 – </w:t>
            </w:r>
            <w:r>
              <w:rPr>
                <w:rFonts w:eastAsia="Times New Roman" w:cs="Times New Roman" w:ascii="Times New Roman" w:hAnsi="Times New Roman"/>
                <w:bCs/>
                <w:sz w:val="24"/>
                <w:szCs w:val="24"/>
                <w:lang w:eastAsia="uk-UA"/>
              </w:rPr>
              <w:t>550,0</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2017 – </w:t>
            </w:r>
            <w:r>
              <w:rPr>
                <w:rFonts w:eastAsia="Times New Roman" w:cs="Times New Roman" w:ascii="Times New Roman" w:hAnsi="Times New Roman"/>
                <w:bCs/>
                <w:sz w:val="24"/>
                <w:szCs w:val="24"/>
                <w:lang w:eastAsia="uk-UA"/>
              </w:rPr>
              <w:t>550,0</w:t>
            </w:r>
          </w:p>
          <w:p>
            <w:pPr>
              <w:pStyle w:val="Normal"/>
              <w:spacing w:lineRule="auto" w:line="240" w:before="0" w:after="0"/>
              <w:jc w:val="center"/>
              <w:rPr>
                <w:rFonts w:ascii="Times New Roman" w:hAnsi="Times New Roman" w:cs="Times New Roman"/>
                <w:sz w:val="28"/>
                <w:szCs w:val="28"/>
              </w:rPr>
            </w:pPr>
            <w:r>
              <w:rPr>
                <w:rFonts w:cs="Times New Roman" w:ascii="Times New Roman" w:hAnsi="Times New Roman"/>
                <w:sz w:val="24"/>
                <w:szCs w:val="24"/>
              </w:rPr>
              <w:t xml:space="preserve">2018 – </w:t>
            </w:r>
            <w:r>
              <w:rPr>
                <w:rFonts w:eastAsia="Times New Roman" w:cs="Times New Roman" w:ascii="Times New Roman" w:hAnsi="Times New Roman"/>
                <w:bCs/>
                <w:sz w:val="24"/>
                <w:szCs w:val="24"/>
                <w:lang w:eastAsia="uk-UA"/>
              </w:rPr>
              <w:t>550,0</w:t>
            </w:r>
          </w:p>
        </w:tc>
        <w:tc>
          <w:tcPr>
            <w:tcW w:w="226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bl>
    <w:p>
      <w:pPr>
        <w:sectPr>
          <w:headerReference w:type="default" r:id="rId37"/>
          <w:headerReference w:type="first" r:id="rId38"/>
          <w:type w:val="nextPage"/>
          <w:pgSz w:orient="landscape" w:w="16838" w:h="11906"/>
          <w:pgMar w:left="851" w:right="851" w:header="709" w:top="1135" w:footer="0" w:bottom="1134" w:gutter="0"/>
          <w:pgNumType w:fmt="decimal"/>
          <w:formProt w:val="false"/>
          <w:titlePg/>
          <w:textDirection w:val="lrTb"/>
          <w:docGrid w:type="default" w:linePitch="360" w:charSpace="4294965247"/>
        </w:sectPr>
        <w:pStyle w:val="Normal"/>
        <w:rPr>
          <w:rFonts w:ascii="Times New Roman" w:hAnsi="Times New Roman" w:cs="Times New Roman"/>
          <w:sz w:val="28"/>
          <w:szCs w:val="28"/>
        </w:rPr>
      </w:pPr>
      <w:r>
        <w:rPr>
          <w:rFonts w:cs="Times New Roman" w:ascii="Times New Roman" w:hAnsi="Times New Roman"/>
          <w:sz w:val="28"/>
          <w:szCs w:val="28"/>
        </w:rPr>
      </w:r>
    </w:p>
    <w:p>
      <w:pPr>
        <w:pStyle w:val="NoSpacing"/>
        <w:jc w:val="center"/>
        <w:rPr>
          <w:rFonts w:ascii="Times New Roman" w:hAnsi="Times New Roman" w:cs="Times New Roman"/>
          <w:b/>
          <w:b/>
          <w:sz w:val="28"/>
          <w:szCs w:val="28"/>
        </w:rPr>
      </w:pPr>
      <w:bookmarkStart w:id="32" w:name="_Toc431397881"/>
      <w:r>
        <w:rPr>
          <w:rFonts w:cs="Times New Roman" w:ascii="Times New Roman" w:hAnsi="Times New Roman"/>
          <w:b/>
          <w:sz w:val="28"/>
          <w:szCs w:val="28"/>
        </w:rPr>
        <w:t>Підпрограма «Єдиний інформаційно-освітній</w:t>
      </w:r>
    </w:p>
    <w:p>
      <w:pPr>
        <w:pStyle w:val="NoSpacing"/>
        <w:jc w:val="center"/>
        <w:rPr>
          <w:rFonts w:ascii="Times New Roman" w:hAnsi="Times New Roman" w:cs="Times New Roman"/>
          <w:b/>
          <w:b/>
          <w:sz w:val="28"/>
          <w:szCs w:val="28"/>
        </w:rPr>
      </w:pPr>
      <w:bookmarkStart w:id="33" w:name="_Toc431397881"/>
      <w:bookmarkEnd w:id="33"/>
      <w:r>
        <w:rPr>
          <w:rFonts w:cs="Times New Roman" w:ascii="Times New Roman" w:hAnsi="Times New Roman"/>
          <w:b/>
          <w:sz w:val="28"/>
          <w:szCs w:val="28"/>
        </w:rPr>
        <w:t>простір навчальних закладів комунальної форми власності»</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В умовах динамічного розвитку суспільства, глобальній взаємозалежності й конкуренції на ринку праці особливого значення набуває інформатизація освітньої галузі. Вона стає не лише феноменом педагогічної реальності, але й професійно-ціннісною орієнтацією, невід’ємною умовою діяльності педагогів і школярів. Нині зміст і якість навчання, його доступність, відповідність потребам конкретної особистості визначають стан інтелектуального потенціалу сучасного суспільства.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У світовій освітній практиці інформаційно-комунікаційні технології розглядаються як якісно нові засоби поширення  й  акумулювання  знань. При цьому актуальною є проблема їх раціонального  використання  в  навчально-виховному процесі, управлінській діяльності, підвищенні кваліфікації педагогічних працівників та самоосвіті.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Організація навчально-виховного процесу в загальноосвітніх навчальних закладах м. Києва має відповідати сучасним вимогам інформаційного суспільства, яке характеризується вільним доступом до великих обсягів даних та відомостей, безпрецедентними можливостями співробітництва та індивідуальної участі. Тому постає необхідність ефективного запровадження в навчальний процес інформаційно-комунікаційних технологій, а саме: якісне та повне забезпечення освітніми інформаційними електронними ресурсами, вільне володіння освітянами інформаційно-комунікаційними технологіями на рівні європейських стандартів, якісна підготовленість учнів до використання інформаційно-комунікаційних технологій для розв’язування практичних завдань, забезпечення комп’ютерним та комунікаційним обладнанням освітніх установ.</w:t>
      </w:r>
    </w:p>
    <w:p>
      <w:pPr>
        <w:pStyle w:val="Normal"/>
        <w:spacing w:before="480" w:after="0"/>
        <w:jc w:val="both"/>
        <w:rPr>
          <w:rFonts w:ascii="Times New Roman" w:hAnsi="Times New Roman" w:eastAsia="Times New Roman" w:cs="Times New Roman"/>
          <w:i/>
          <w:i/>
          <w:sz w:val="28"/>
          <w:szCs w:val="28"/>
          <w:lang w:eastAsia="uk-UA"/>
        </w:rPr>
      </w:pPr>
      <w:r>
        <w:rPr>
          <w:rFonts w:eastAsia="Times New Roman" w:cs="Times New Roman" w:ascii="Times New Roman" w:hAnsi="Times New Roman"/>
          <w:i/>
          <w:sz w:val="28"/>
          <w:szCs w:val="28"/>
          <w:lang w:eastAsia="uk-UA"/>
        </w:rPr>
        <w:t>Пріоритет 1. Оновлення нормативно-правової бази інформатизації</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Удосконалення нормативно-правового забезпечення використання  інформаційних технологій в управлінні освітою, у тому числі в галузі інформаційної безпеки та організації роботи з інформацією обмеженого доступу та персональними даними.</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Підвищення кваліфікації керівників освітніх закладів та вчителів у галузі інформаційно-комунікаційних технологій (далі-ІКТ).</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Розроблення положень про науково-методичне забезпечення й запровадження інформаційно-комунікаційних технологій навчання та створення якісного мультимедійного інтерактивного контенту для учнів та мультимедійних методичних матеріалів для вчителів та вихователів дошкільних навчальних закладів.</w:t>
      </w:r>
    </w:p>
    <w:p>
      <w:pPr>
        <w:pStyle w:val="Normal"/>
        <w:spacing w:before="480" w:after="0"/>
        <w:jc w:val="both"/>
        <w:rPr>
          <w:rFonts w:ascii="Times New Roman" w:hAnsi="Times New Roman" w:eastAsia="Times New Roman" w:cs="Times New Roman"/>
          <w:i/>
          <w:i/>
          <w:sz w:val="28"/>
          <w:szCs w:val="28"/>
          <w:lang w:eastAsia="uk-UA"/>
        </w:rPr>
      </w:pPr>
      <w:r>
        <w:rPr>
          <w:rFonts w:eastAsia="Times New Roman" w:cs="Times New Roman" w:ascii="Times New Roman" w:hAnsi="Times New Roman"/>
          <w:i/>
          <w:sz w:val="28"/>
          <w:szCs w:val="28"/>
          <w:lang w:eastAsia="uk-UA"/>
        </w:rPr>
        <w:t>Пріоритет 2. Формування інформаційної інфраструктури єдиного ресурсно-інформаційного освітнього середовища міста.</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Передбачити в структурі Київського університету імені Бориса Грінченка Центр компетенцій відкритої освіти. Реорганізувати районні науково-методичні центри у центри компетенцій відкритої освіти, завданням яких є розвиток єдиного відкритого ресурсно-інформаційного освітнього простору;</w:t>
      </w:r>
      <w:r>
        <w:rPr>
          <w:rFonts w:eastAsia="Times New Roman" w:cs="Times New Roman" w:ascii="Times New Roman" w:hAnsi="Times New Roman"/>
          <w:sz w:val="28"/>
          <w:szCs w:val="28"/>
          <w:lang w:eastAsia="uk-UA"/>
        </w:rPr>
        <w:t xml:space="preserve"> надання методичної допомоги з упровадження інформаційно-комунікаційних технологій, STEM-освіти, інновацій та педагогічних технологій тощо; проведення тренінгів для вчителів, які отримають новітню комп’ютерну техніку, STEM-центри та мультимедійні навчальні комплекси тощо; надання методичної допомоги батькам та старшокласникам, аутсорсинг технічної допомоги та обслуговування всього парку комп’ютерної техніки комунальних закладів освіти Києва;  накопичення  та поширення найкращого інноваційного досвіду освітян району; підтримка професійних он-лайн  спільнот тощо.</w:t>
      </w:r>
      <w:r>
        <w:rPr>
          <w:rFonts w:eastAsia="Times New Roman" w:cs="Times New Roman" w:ascii="Times New Roman" w:hAnsi="Times New Roman"/>
          <w:color w:val="000000"/>
          <w:sz w:val="28"/>
          <w:szCs w:val="28"/>
          <w:lang w:eastAsia="uk-UA"/>
        </w:rPr>
        <w:t xml:space="preserve">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Створення єдиного освітнього електронного середовища м. Києва на основі хмаро-орієнтованих технологій.</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Розробка та введення єдиного реєстру електронних документів та стандартів роботи з ними для навчальних закладів, що підпорядковані Департаменту освіти і науки, молоді та спорту, управлінням освіти районних в місті Києві державних адміністрацій.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Створення системи сайтів закладів освіти, орієнтованих на публікацію найкращих освітніх практик; формування мережевих професійних спільнот.</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Створення  мережі електронних бібліотек навчальних закладів та тематичних цифрових архівів інформаційних і методичних ресурсів з навчальних предметів.</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Проведення щорічної міської виставки «Інформаційні технології в системі столичної освіти».</w:t>
      </w:r>
    </w:p>
    <w:p>
      <w:pPr>
        <w:pStyle w:val="Normal"/>
        <w:spacing w:before="480" w:after="0"/>
        <w:jc w:val="both"/>
        <w:rPr>
          <w:rFonts w:ascii="Times New Roman" w:hAnsi="Times New Roman" w:eastAsia="Times New Roman" w:cs="Times New Roman"/>
          <w:i/>
          <w:i/>
          <w:sz w:val="28"/>
          <w:szCs w:val="28"/>
          <w:lang w:eastAsia="uk-UA"/>
        </w:rPr>
      </w:pPr>
      <w:r>
        <w:rPr>
          <w:rFonts w:eastAsia="Times New Roman" w:cs="Times New Roman" w:ascii="Times New Roman" w:hAnsi="Times New Roman"/>
          <w:i/>
          <w:sz w:val="28"/>
          <w:szCs w:val="28"/>
          <w:lang w:eastAsia="uk-UA"/>
        </w:rPr>
        <w:t>Пріоритет 3. Формування технологічної інфраструктури єдиного освітнього середовища міста</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Раціональне  оснащення навчальних закладів  засобами ІКТ (навчальними комп’ютерними комплексами, мультимедійним обладнанням, програмним забезпеченням тощо):</w:t>
      </w:r>
    </w:p>
    <w:p>
      <w:pPr>
        <w:pStyle w:val="ListParagraph"/>
        <w:numPr>
          <w:ilvl w:val="0"/>
          <w:numId w:val="4"/>
        </w:numPr>
        <w:spacing w:lineRule="auto" w:line="240" w:before="480" w:after="0"/>
        <w:jc w:val="both"/>
        <w:rPr>
          <w:rFonts w:ascii="Times New Roman" w:hAnsi="Times New Roman" w:eastAsia="Times New Roman" w:cs="Times New Roman"/>
          <w:color w:val="000000" w:themeColor="text1"/>
          <w:sz w:val="28"/>
          <w:szCs w:val="28"/>
          <w:lang w:eastAsia="uk-UA"/>
        </w:rPr>
      </w:pPr>
      <w:r>
        <w:rPr>
          <w:rFonts w:eastAsia="Times New Roman" w:cs="Times New Roman" w:ascii="Times New Roman" w:hAnsi="Times New Roman"/>
          <w:sz w:val="28"/>
          <w:szCs w:val="28"/>
          <w:lang w:eastAsia="uk-UA"/>
        </w:rPr>
        <w:t xml:space="preserve">середні загальноосвітні навчальні заклади - дооснащення навчальними </w:t>
      </w:r>
      <w:r>
        <w:rPr>
          <w:rFonts w:eastAsia="Times New Roman" w:cs="Times New Roman" w:ascii="Times New Roman" w:hAnsi="Times New Roman"/>
          <w:color w:val="000000" w:themeColor="text1"/>
          <w:sz w:val="28"/>
          <w:szCs w:val="28"/>
          <w:lang w:eastAsia="uk-UA"/>
        </w:rPr>
        <w:t>комп’ютерними комплексами  до рівня  1 комп’ютер на 10 учнів, мультимедійне обладнання предметних кабінетів;</w:t>
      </w:r>
    </w:p>
    <w:p>
      <w:pPr>
        <w:pStyle w:val="ListParagraph"/>
        <w:numPr>
          <w:ilvl w:val="0"/>
          <w:numId w:val="4"/>
        </w:numPr>
        <w:spacing w:lineRule="auto" w:line="240" w:before="480" w:after="0"/>
        <w:jc w:val="both"/>
        <w:rPr>
          <w:rFonts w:ascii="Times New Roman" w:hAnsi="Times New Roman" w:eastAsia="Times New Roman" w:cs="Times New Roman"/>
          <w:color w:val="000000" w:themeColor="text1"/>
          <w:sz w:val="28"/>
          <w:szCs w:val="28"/>
          <w:lang w:eastAsia="uk-UA"/>
        </w:rPr>
      </w:pPr>
      <w:r>
        <w:rPr>
          <w:rFonts w:eastAsia="Times New Roman" w:cs="Times New Roman" w:ascii="Times New Roman" w:hAnsi="Times New Roman"/>
          <w:color w:val="000000" w:themeColor="text1"/>
          <w:sz w:val="28"/>
          <w:szCs w:val="28"/>
          <w:lang w:eastAsia="uk-UA"/>
        </w:rPr>
        <w:t>дошкільні навчальні заклади – сучасне компютерне обладнання для адміністрації, мультимедійний навчальний комп’ютерний комплекс;</w:t>
      </w:r>
    </w:p>
    <w:p>
      <w:pPr>
        <w:pStyle w:val="ListParagraph"/>
        <w:numPr>
          <w:ilvl w:val="0"/>
          <w:numId w:val="4"/>
        </w:numPr>
        <w:spacing w:lineRule="auto" w:line="240" w:before="480" w:after="0"/>
        <w:jc w:val="both"/>
        <w:rPr>
          <w:rFonts w:ascii="Times New Roman" w:hAnsi="Times New Roman" w:eastAsia="Times New Roman" w:cs="Times New Roman"/>
          <w:color w:val="000000" w:themeColor="text1"/>
          <w:sz w:val="28"/>
          <w:szCs w:val="28"/>
          <w:lang w:eastAsia="uk-UA"/>
        </w:rPr>
      </w:pPr>
      <w:r>
        <w:rPr>
          <w:rFonts w:eastAsia="Times New Roman" w:cs="Times New Roman" w:ascii="Times New Roman" w:hAnsi="Times New Roman"/>
          <w:color w:val="000000" w:themeColor="text1"/>
          <w:sz w:val="28"/>
          <w:szCs w:val="28"/>
          <w:lang w:eastAsia="uk-UA"/>
        </w:rPr>
        <w:t>позашкільні навчальні заклади – сучасне компютерне обладнання для адміністрації, мультимедійне обладнання, навчальні комп’ютерні комплекси;</w:t>
      </w:r>
    </w:p>
    <w:p>
      <w:pPr>
        <w:pStyle w:val="ListParagraph"/>
        <w:numPr>
          <w:ilvl w:val="0"/>
          <w:numId w:val="4"/>
        </w:numPr>
        <w:spacing w:lineRule="auto" w:line="240"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навчальні заклади, що підпорядковані Депаратменту освіти і науки, молоді та спорту - </w:t>
      </w:r>
      <w:r>
        <w:rPr>
          <w:rFonts w:eastAsia="Times New Roman" w:cs="Times New Roman" w:ascii="Times New Roman" w:hAnsi="Times New Roman"/>
          <w:color w:val="000000" w:themeColor="text1"/>
          <w:sz w:val="28"/>
          <w:szCs w:val="28"/>
          <w:lang w:eastAsia="uk-UA"/>
        </w:rPr>
        <w:t xml:space="preserve">сучасне компютерне обладнання для </w:t>
      </w:r>
      <w:r>
        <w:rPr>
          <w:rFonts w:eastAsia="Times New Roman" w:cs="Times New Roman" w:ascii="Times New Roman" w:hAnsi="Times New Roman"/>
          <w:sz w:val="28"/>
          <w:szCs w:val="28"/>
          <w:lang w:eastAsia="uk-UA"/>
        </w:rPr>
        <w:t>адміністрації, мультимедійні комплекси, навчальні комп’ютерні комплекси.</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Забезпечення рівного доступу до відкритого освітнього простору для  учнів, учителів, керівників навчальних закладів та батьків; створення єдиної цифрової науково-освітньої мережі та підключення до </w:t>
      </w:r>
      <w:r>
        <w:rPr>
          <w:rFonts w:eastAsia="Times New Roman" w:cs="Times New Roman" w:ascii="Times New Roman" w:hAnsi="Times New Roman"/>
          <w:color w:val="000000" w:themeColor="text1"/>
          <w:sz w:val="28"/>
          <w:szCs w:val="28"/>
          <w:lang w:eastAsia="uk-UA"/>
        </w:rPr>
        <w:t xml:space="preserve">високошвидкісного Інтернету (не менше 2 МБ/с): </w:t>
      </w:r>
      <w:r>
        <w:rPr>
          <w:rFonts w:eastAsia="Times New Roman" w:cs="Times New Roman" w:ascii="Times New Roman" w:hAnsi="Times New Roman"/>
          <w:color w:val="000000"/>
          <w:sz w:val="28"/>
          <w:szCs w:val="28"/>
          <w:lang w:eastAsia="uk-UA"/>
        </w:rPr>
        <w:t>Центр компетенцій відкритої освіти Київського університету імені Бориса Грінченка, 10 районних центрів компетенцій відкритої  освіти, 384 школи, 562 дошкільних закладів, 41 позашкільний навчальний заклад.</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Модернізація наявного морально застарілого комп‘ютерного обладнання на основі термінальних систем. Побудова інформаційно-телекомунікаційної інфраструктури навчальних закладів та управлінь освіти.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Створення системи технічного обслуговування програмно-апаратних засобів  навчання за допомогою центру аутсорсингового обслуговування комп'ютерної техніки . </w:t>
      </w:r>
    </w:p>
    <w:p>
      <w:pPr>
        <w:pStyle w:val="Normal"/>
        <w:spacing w:before="480" w:after="0"/>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Сформувати технологічну інфраструктуру для забезпечення діяльності Центру компетенцій відкритої освіти Київського університету імені Бориса Грінченка, 10 районних центрів компетенцій відкритої освіти та STEM-центрів (Science, Technology, Engineering, Maths), STEAM-центрів (Science, Technology, Engineering, Arts,  Maths) при спеціалізованих школах, ліцеях, гімназіях у кожному районі міста Києва для поглибленого навчання учнів наук, технологій, мистецтва, інженерії, математики.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Забезпечення 9 тисяч учителів ноутбуками. Встановлення 3 тисяч мультимедійних інтерактивних навчальних класів для учнів старшої школи.</w:t>
      </w:r>
    </w:p>
    <w:p>
      <w:pPr>
        <w:pStyle w:val="Normal"/>
        <w:spacing w:before="480" w:after="0"/>
        <w:jc w:val="both"/>
        <w:rPr>
          <w:rFonts w:ascii="Times New Roman" w:hAnsi="Times New Roman" w:eastAsia="Times New Roman" w:cs="Times New Roman"/>
          <w:i/>
          <w:i/>
          <w:sz w:val="28"/>
          <w:szCs w:val="28"/>
          <w:lang w:eastAsia="uk-UA"/>
        </w:rPr>
      </w:pPr>
      <w:r>
        <w:rPr>
          <w:rFonts w:eastAsia="Times New Roman" w:cs="Times New Roman" w:ascii="Times New Roman" w:hAnsi="Times New Roman"/>
          <w:i/>
          <w:sz w:val="28"/>
          <w:szCs w:val="28"/>
          <w:lang w:eastAsia="uk-UA"/>
        </w:rPr>
        <w:t>Пріоритет 4. Кадрове забезпечення</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Інтенсифікація процесів підготовки та підвищення кваліфікації педагогічних кадрів у галузі впровадження ІКТ у практику навчання.</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Розробка методик використання в навчально-виховному процесі інформаційно-комунікаційних технологій, відповідних навчальних курсів; організація навчання слухачів  за дистанційною та змішаною формою.</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Надання через мережевих методистів консультацій учителям-предметникам щодо використання інформаційно-комунікаційних технологій у навчально-виховному процесі.</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Організація проведення семінарів, тренінгів, круглих столів, практичних конференцій, конкурсів щодо використання та інтеграції інформаційних ресурсів.</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Проведення відеоконференцій щодо використання та інтеграції інформаційних ресурсів у системі освіти міста.</w:t>
      </w:r>
    </w:p>
    <w:p>
      <w:pPr>
        <w:pStyle w:val="Normal"/>
        <w:spacing w:before="480" w:after="0"/>
        <w:jc w:val="both"/>
        <w:rPr>
          <w:rFonts w:ascii="Times New Roman" w:hAnsi="Times New Roman" w:eastAsia="Times New Roman" w:cs="Times New Roman"/>
          <w:i/>
          <w:i/>
          <w:sz w:val="28"/>
          <w:szCs w:val="28"/>
          <w:lang w:eastAsia="uk-UA"/>
        </w:rPr>
      </w:pPr>
      <w:r>
        <w:rPr>
          <w:rFonts w:eastAsia="Times New Roman" w:cs="Times New Roman" w:ascii="Times New Roman" w:hAnsi="Times New Roman"/>
          <w:i/>
          <w:sz w:val="28"/>
          <w:szCs w:val="28"/>
          <w:lang w:eastAsia="uk-UA"/>
        </w:rPr>
        <w:t>Пріоритет 5.  Нові підходи до викладання навчальних предметів</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Формування в учнів інформаційно-комунікаційних компетентностей.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 xml:space="preserve">Створення та активне використання освітніх середовищ колективної взаємодії та онлайнових інструментів комунікації під час викладання навчальних предметів. </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Формування системи виявлення обдарованих учнів та роботи з ними, налагодження їх ефективної електронної комунікації з провідними фахівцями та вченими.</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Розвиток системи дистанційної підтримки навчання дітей з особливими потребами; дітей, які не відвідують навчальні заклади; дітей із зони АТО.</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Розробка електронних навчальних матеріалів і засобів підтримки дітей з особливими потребами для здобуття ними якісної освіти й необхідної спеціальної (корекційної) допомоги.</w:t>
      </w:r>
    </w:p>
    <w:p>
      <w:pPr>
        <w:pStyle w:val="Normal"/>
        <w:spacing w:beforeAutospacing="1" w:afterAutospacing="1"/>
        <w:ind w:firstLine="708"/>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Використання інформаційно-комунікаційних технологій у проведенні предметних олімпіад.</w:t>
      </w:r>
    </w:p>
    <w:p>
      <w:pPr>
        <w:pStyle w:val="Normal"/>
        <w:jc w:val="both"/>
        <w:rPr>
          <w:rFonts w:ascii="Calibri" w:hAnsi="Calibri" w:eastAsia="Times New Roman" w:cs="Times New Roman"/>
          <w:lang w:eastAsia="uk-UA"/>
        </w:rPr>
      </w:pPr>
      <w:r>
        <w:rPr>
          <w:rFonts w:eastAsia="Times New Roman" w:cs="Times New Roman" w:ascii="Times New Roman" w:hAnsi="Times New Roman"/>
          <w:sz w:val="28"/>
          <w:szCs w:val="28"/>
          <w:lang w:eastAsia="uk-UA"/>
        </w:rPr>
        <w:t>Очікувані результати:</w:t>
      </w:r>
    </w:p>
    <w:p>
      <w:pPr>
        <w:pStyle w:val="ListParagraph"/>
        <w:numPr>
          <w:ilvl w:val="0"/>
          <w:numId w:val="3"/>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Створення єдиної освітньої політики столиці, яка: окреслить бачення трансформації освіти; запропонує шляхи вирішення системних стратегічних завдань освіти в сучасному глобалізованому світі; вибудує синергетичні рішення для досягнення мети всіма учасниками навчального процесу, а також  батьками, партнерами та ін.; визначити показники ефективності і якості трансформації освіти.</w:t>
      </w:r>
    </w:p>
    <w:p>
      <w:pPr>
        <w:pStyle w:val="Normal"/>
        <w:numPr>
          <w:ilvl w:val="0"/>
          <w:numId w:val="3"/>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Створення Центру </w:t>
      </w:r>
      <w:r>
        <w:rPr>
          <w:rFonts w:eastAsia="Times New Roman" w:cs="Times New Roman" w:ascii="Times New Roman" w:hAnsi="Times New Roman"/>
          <w:color w:val="000000"/>
          <w:sz w:val="28"/>
          <w:szCs w:val="28"/>
          <w:lang w:eastAsia="uk-UA"/>
        </w:rPr>
        <w:t xml:space="preserve">компетенцій відкритої освіти при </w:t>
      </w:r>
      <w:r>
        <w:rPr>
          <w:rFonts w:eastAsia="Times New Roman" w:cs="Times New Roman" w:ascii="Times New Roman" w:hAnsi="Times New Roman"/>
          <w:sz w:val="28"/>
          <w:szCs w:val="28"/>
          <w:lang w:eastAsia="uk-UA"/>
        </w:rPr>
        <w:t>Київському університеті  імені Бориса Грінченка</w:t>
      </w:r>
      <w:r>
        <w:rPr>
          <w:rFonts w:eastAsia="Times New Roman" w:cs="Times New Roman" w:ascii="Times New Roman" w:hAnsi="Times New Roman"/>
          <w:color w:val="000000"/>
          <w:sz w:val="28"/>
          <w:szCs w:val="28"/>
          <w:lang w:eastAsia="uk-UA"/>
        </w:rPr>
        <w:t>.</w:t>
      </w:r>
    </w:p>
    <w:p>
      <w:pPr>
        <w:pStyle w:val="Normal"/>
        <w:numPr>
          <w:ilvl w:val="0"/>
          <w:numId w:val="3"/>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Створення 10 районних центрів компетенцій відкритої освіти.</w:t>
      </w:r>
    </w:p>
    <w:p>
      <w:pPr>
        <w:pStyle w:val="Normal"/>
        <w:numPr>
          <w:ilvl w:val="0"/>
          <w:numId w:val="3"/>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Створення умов для реалізації моделі відкритої освіти (забезпечення рівних можливостей для здобуття якісної освіти та освіти впродовж життя для жителів м. Києва, можливостей для варіативності й індивідуалізації освіти; широкого доступу учнів до національних і глобальних інформаційних ресурсів). Створення, накопичення та надання е-контенту, віртуальних лабораторій усім  ЗНЗ міста.</w:t>
      </w:r>
    </w:p>
    <w:p>
      <w:pPr>
        <w:pStyle w:val="Normal"/>
        <w:numPr>
          <w:ilvl w:val="0"/>
          <w:numId w:val="3"/>
        </w:numPr>
        <w:spacing w:before="480" w:after="0"/>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Створення єдиного відкритого освітнього електронного середовища м. Києва на основі хмаро-орієнтованих технологій.</w:t>
      </w:r>
    </w:p>
    <w:p>
      <w:pPr>
        <w:pStyle w:val="Normal"/>
        <w:numPr>
          <w:ilvl w:val="0"/>
          <w:numId w:val="3"/>
        </w:numPr>
        <w:spacing w:before="480" w:after="0"/>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Створення 100 STEM-центрів (Science, Technology, Engineering, Maths) для поглибленого навчання учнів наукам, технологіям, інженерії, математиці  та STEAM-центрів (Science, Technology, Engineering, Arts,  Maths) для поглибленого навчання учнів наукам, технологіям, інженерії, мистецтву, математиці.</w:t>
      </w:r>
    </w:p>
    <w:p>
      <w:pPr>
        <w:pStyle w:val="Normal"/>
        <w:numPr>
          <w:ilvl w:val="0"/>
          <w:numId w:val="3"/>
        </w:numPr>
        <w:spacing w:before="480" w:after="0"/>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Забезпечення ефективної співпраці установ освіти на основі спільних стандартів і вимог у рамках єдиного інформаційного освітнього простору.</w:t>
      </w:r>
    </w:p>
    <w:p>
      <w:pPr>
        <w:pStyle w:val="Normal"/>
        <w:numPr>
          <w:ilvl w:val="0"/>
          <w:numId w:val="3"/>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Оцінювання в режимі реального часу стану та якості системи освіти міста, кадрового та організаційного забезпечення навчально-виховного процесу, проведення моніторингу контингенту учнів за різними соціальними та віковими параметрами. </w:t>
      </w:r>
    </w:p>
    <w:p>
      <w:pPr>
        <w:pStyle w:val="Normal"/>
        <w:numPr>
          <w:ilvl w:val="0"/>
          <w:numId w:val="3"/>
        </w:numPr>
        <w:spacing w:before="480" w:after="0"/>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sz w:val="28"/>
          <w:szCs w:val="28"/>
          <w:lang w:eastAsia="uk-UA"/>
        </w:rPr>
        <w:t>Формування загальноміського освітнього інформаційного ресурсу, що включає електронні бібліотеки навчальних матеріалів,  навчально-методичні комплекси, цифрові інформаційні ресурси.</w:t>
      </w:r>
    </w:p>
    <w:p>
      <w:pPr>
        <w:pStyle w:val="Normal"/>
        <w:numPr>
          <w:ilvl w:val="0"/>
          <w:numId w:val="3"/>
        </w:numPr>
        <w:spacing w:before="480" w:after="0"/>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Упровадження</w:t>
      </w:r>
      <w:r>
        <w:rPr>
          <w:rFonts w:eastAsia="Times New Roman" w:cs="Times New Roman" w:ascii="Times New Roman" w:hAnsi="Times New Roman"/>
          <w:color w:val="000000"/>
          <w:sz w:val="28"/>
          <w:szCs w:val="28"/>
          <w:lang w:eastAsia="uk-UA"/>
        </w:rPr>
        <w:t xml:space="preserve"> </w:t>
      </w:r>
      <w:r>
        <w:rPr>
          <w:rFonts w:eastAsia="Times New Roman" w:cs="Times New Roman" w:ascii="Times New Roman" w:hAnsi="Times New Roman"/>
          <w:sz w:val="28"/>
          <w:szCs w:val="28"/>
          <w:lang w:eastAsia="uk-UA"/>
        </w:rPr>
        <w:t>комплексних</w:t>
      </w:r>
      <w:r>
        <w:rPr>
          <w:rFonts w:eastAsia="Times New Roman" w:cs="Times New Roman" w:ascii="Times New Roman" w:hAnsi="Times New Roman"/>
          <w:color w:val="000000"/>
          <w:sz w:val="28"/>
          <w:szCs w:val="28"/>
          <w:lang w:eastAsia="uk-UA"/>
        </w:rPr>
        <w:t xml:space="preserve"> інформаційних систем управління кадрами, фінансовими та матеріально-технічними ресурсами освіти, </w:t>
      </w:r>
      <w:r>
        <w:rPr>
          <w:rFonts w:eastAsia="Times New Roman" w:cs="Times New Roman" w:ascii="Times New Roman" w:hAnsi="Times New Roman"/>
          <w:sz w:val="28"/>
          <w:szCs w:val="28"/>
          <w:lang w:eastAsia="uk-UA"/>
        </w:rPr>
        <w:t>запровадження</w:t>
      </w:r>
      <w:r>
        <w:rPr>
          <w:rFonts w:eastAsia="Times New Roman" w:cs="Times New Roman" w:ascii="Times New Roman" w:hAnsi="Times New Roman"/>
          <w:color w:val="000000"/>
          <w:sz w:val="28"/>
          <w:szCs w:val="28"/>
          <w:lang w:eastAsia="uk-UA"/>
        </w:rPr>
        <w:t xml:space="preserve"> </w:t>
      </w:r>
      <w:r>
        <w:rPr>
          <w:rFonts w:eastAsia="Times New Roman" w:cs="Times New Roman" w:ascii="Times New Roman" w:hAnsi="Times New Roman"/>
          <w:sz w:val="28"/>
          <w:szCs w:val="28"/>
          <w:lang w:eastAsia="uk-UA"/>
        </w:rPr>
        <w:t>електронного</w:t>
      </w:r>
      <w:r>
        <w:rPr>
          <w:rFonts w:eastAsia="Times New Roman" w:cs="Times New Roman" w:ascii="Times New Roman" w:hAnsi="Times New Roman"/>
          <w:color w:val="000000"/>
          <w:sz w:val="28"/>
          <w:szCs w:val="28"/>
          <w:lang w:eastAsia="uk-UA"/>
        </w:rPr>
        <w:t xml:space="preserve"> документообігу й централізованої системи електронної пошти.</w:t>
      </w:r>
    </w:p>
    <w:p>
      <w:pPr>
        <w:pStyle w:val="Normal"/>
        <w:numPr>
          <w:ilvl w:val="0"/>
          <w:numId w:val="3"/>
        </w:numPr>
        <w:spacing w:before="480" w:after="0"/>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Здійснення інтерактивного</w:t>
      </w:r>
      <w:r>
        <w:rPr>
          <w:rFonts w:eastAsia="Times New Roman" w:cs="Times New Roman" w:ascii="Times New Roman" w:hAnsi="Times New Roman"/>
          <w:color w:val="000000"/>
          <w:sz w:val="28"/>
          <w:szCs w:val="28"/>
          <w:lang w:eastAsia="uk-UA"/>
        </w:rPr>
        <w:t xml:space="preserve"> інформаційного обслуговування потенційних споживачів освітньої та управлінської інформації.</w:t>
      </w:r>
    </w:p>
    <w:p>
      <w:pPr>
        <w:pStyle w:val="Normal"/>
        <w:numPr>
          <w:ilvl w:val="0"/>
          <w:numId w:val="3"/>
        </w:numPr>
        <w:spacing w:before="480" w:after="0"/>
        <w:jc w:val="both"/>
        <w:rPr>
          <w:rFonts w:ascii="Times New Roman" w:hAnsi="Times New Roman" w:eastAsia="Times New Roman" w:cs="Times New Roman"/>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Підвищення рівня кваліфікації педагогічних працівників при роботі з сучасними інформаційними технологіями, зокрема 9000 учителів міста, 1560 працівників адміністрації навчальних закладів з отриманням ними міжнародного сертифікату після виконання компетентнісних завдань.</w:t>
      </w:r>
    </w:p>
    <w:p>
      <w:pPr>
        <w:pStyle w:val="Normal"/>
        <w:numPr>
          <w:ilvl w:val="0"/>
          <w:numId w:val="3"/>
        </w:numPr>
        <w:spacing w:before="480" w:after="0"/>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Забезпечення</w:t>
      </w:r>
      <w:r>
        <w:rPr>
          <w:rFonts w:eastAsia="Times New Roman" w:cs="Times New Roman" w:ascii="Times New Roman" w:hAnsi="Times New Roman"/>
          <w:color w:val="000000"/>
          <w:sz w:val="28"/>
          <w:szCs w:val="28"/>
          <w:lang w:eastAsia="uk-UA"/>
        </w:rPr>
        <w:t xml:space="preserve"> </w:t>
      </w:r>
      <w:r>
        <w:rPr>
          <w:rFonts w:eastAsia="Times New Roman" w:cs="Times New Roman" w:ascii="Times New Roman" w:hAnsi="Times New Roman"/>
          <w:sz w:val="28"/>
          <w:szCs w:val="28"/>
          <w:lang w:eastAsia="uk-UA"/>
        </w:rPr>
        <w:t>єдиних</w:t>
      </w:r>
      <w:r>
        <w:rPr>
          <w:rFonts w:eastAsia="Times New Roman" w:cs="Times New Roman" w:ascii="Times New Roman" w:hAnsi="Times New Roman"/>
          <w:color w:val="000000"/>
          <w:sz w:val="28"/>
          <w:szCs w:val="28"/>
          <w:lang w:eastAsia="uk-UA"/>
        </w:rPr>
        <w:t xml:space="preserve"> основних вимог до комп‘ютерів, серверів, периферійних пристроїв, локальних мереж, а також до базового та прикладного ліцензійного програмного забезпечення.</w:t>
      </w:r>
    </w:p>
    <w:p>
      <w:pPr>
        <w:pStyle w:val="Normal"/>
        <w:numPr>
          <w:ilvl w:val="0"/>
          <w:numId w:val="3"/>
        </w:numPr>
        <w:spacing w:before="480" w:after="0"/>
        <w:jc w:val="both"/>
        <w:rPr>
          <w:rFonts w:ascii="Times New Roman" w:hAnsi="Times New Roman" w:eastAsia="Times New Roman" w:cs="Times New Roman"/>
          <w:color w:val="000000"/>
          <w:sz w:val="28"/>
          <w:szCs w:val="28"/>
          <w:lang w:eastAsia="uk-UA"/>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 xml:space="preserve">Забезпечення рівного доступу до відкритого освітнього простору для  учнів, учителів, керівників навчальних закладів та батьків; створення єдиної цифрової науково-освітньої мережі та підключення </w:t>
      </w:r>
      <w:r>
        <w:rPr>
          <w:rFonts w:eastAsia="Times New Roman" w:cs="Times New Roman" w:ascii="Times New Roman" w:hAnsi="Times New Roman"/>
          <w:color w:val="000000"/>
          <w:sz w:val="28"/>
          <w:szCs w:val="28"/>
          <w:lang w:eastAsia="uk-UA"/>
        </w:rPr>
        <w:t xml:space="preserve">до </w:t>
      </w:r>
      <w:r>
        <w:rPr>
          <w:rFonts w:eastAsia="Times New Roman" w:cs="Times New Roman" w:ascii="Times New Roman" w:hAnsi="Times New Roman"/>
          <w:color w:val="000000" w:themeColor="text1"/>
          <w:sz w:val="28"/>
          <w:szCs w:val="28"/>
          <w:lang w:eastAsia="uk-UA"/>
        </w:rPr>
        <w:t>високошвидкісного Інтернету (не менше 2 МБ/с):</w:t>
      </w:r>
      <w:r>
        <w:rPr>
          <w:rFonts w:eastAsia="Times New Roman" w:cs="Times New Roman" w:ascii="Times New Roman" w:hAnsi="Times New Roman"/>
          <w:color w:val="000000"/>
          <w:sz w:val="28"/>
          <w:szCs w:val="28"/>
          <w:lang w:eastAsia="uk-UA"/>
        </w:rPr>
        <w:t xml:space="preserve">  Центру компетенцій відкритої освіти Київського університету імені Бориса Грінченка, 10 районних центрів компетенцій відкритої  освіти, дошкільних, загальноосвітніх та позашкільних навчальних закладів.</w:t>
      </w:r>
    </w:p>
    <w:p>
      <w:pPr>
        <w:sectPr>
          <w:headerReference w:type="default" r:id="rId39"/>
          <w:headerReference w:type="first" r:id="rId40"/>
          <w:type w:val="nextPage"/>
          <w:pgSz w:w="11906" w:h="16838"/>
          <w:pgMar w:left="1134" w:right="567" w:header="709" w:top="851" w:footer="0" w:bottom="851" w:gutter="0"/>
          <w:pgNumType w:fmt="decimal"/>
          <w:formProt w:val="false"/>
          <w:titlePg/>
          <w:textDirection w:val="lrTb"/>
          <w:docGrid w:type="default" w:linePitch="360" w:charSpace="4294965247"/>
        </w:sectPr>
        <w:pStyle w:val="Normal"/>
        <w:numPr>
          <w:ilvl w:val="0"/>
          <w:numId w:val="3"/>
        </w:numPr>
        <w:spacing w:before="480" w:after="0"/>
        <w:jc w:val="both"/>
        <w:rPr>
          <w:rFonts w:ascii="Times New Roman" w:hAnsi="Times New Roman" w:cs="Times New Roman"/>
          <w:sz w:val="28"/>
        </w:rPr>
      </w:pPr>
      <w:r>
        <w:rPr>
          <w:rFonts w:eastAsia="Times New Roman" w:cs="Times New Roman" w:ascii="Times New Roman" w:hAnsi="Times New Roman"/>
          <w:sz w:val="28"/>
          <w:szCs w:val="28"/>
          <w:lang w:eastAsia="uk-UA"/>
        </w:rPr>
        <w:t xml:space="preserve"> </w:t>
      </w:r>
      <w:r>
        <w:rPr>
          <w:rFonts w:eastAsia="Times New Roman" w:cs="Times New Roman" w:ascii="Times New Roman" w:hAnsi="Times New Roman"/>
          <w:sz w:val="28"/>
          <w:szCs w:val="28"/>
          <w:lang w:eastAsia="uk-UA"/>
        </w:rPr>
        <w:t>Придбання мультимедійних інтерактивних навчальних класів для учнів старшої школи, забезпечення вчителів  міста ноутбуками.</w:t>
      </w:r>
    </w:p>
    <w:p>
      <w:pPr>
        <w:pStyle w:val="1"/>
        <w:numPr>
          <w:ilvl w:val="0"/>
          <w:numId w:val="3"/>
        </w:numPr>
        <w:spacing w:before="120" w:after="120"/>
        <w:jc w:val="center"/>
        <w:rPr>
          <w:rFonts w:ascii="Times New Roman" w:hAnsi="Times New Roman" w:cs="Times New Roman"/>
          <w:b w:val="false"/>
          <w:b w:val="false"/>
          <w:color w:val="00000A"/>
        </w:rPr>
      </w:pPr>
      <w:bookmarkStart w:id="34" w:name="_Toc431397882"/>
      <w:r>
        <w:rPr>
          <w:rStyle w:val="22"/>
          <w:rFonts w:cs="Times New Roman"/>
          <w:b w:val="false"/>
          <w:color w:val="00000A"/>
        </w:rPr>
        <w:t>Напрями діяльності, завдання та заходи</w:t>
      </w:r>
      <w:bookmarkEnd w:id="34"/>
      <w:r>
        <w:rPr>
          <w:rFonts w:cs="Times New Roman" w:ascii="Times New Roman" w:hAnsi="Times New Roman"/>
          <w:b w:val="false"/>
          <w:color w:val="00000A"/>
        </w:rPr>
        <w:t xml:space="preserve"> підпрограми «Єдиний інформаційно-освітній простір навчальних закладів комунальної форми власності»</w:t>
      </w:r>
    </w:p>
    <w:tbl>
      <w:tblPr>
        <w:tblW w:w="15308" w:type="dxa"/>
        <w:jc w:val="left"/>
        <w:tblInd w:w="10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815"/>
        <w:gridCol w:w="2160"/>
        <w:gridCol w:w="2584"/>
        <w:gridCol w:w="1594"/>
        <w:gridCol w:w="1636"/>
        <w:gridCol w:w="1698"/>
        <w:gridCol w:w="2272"/>
        <w:gridCol w:w="2547"/>
      </w:tblGrid>
      <w:tr>
        <w:trPr/>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Назва напряму діяльності (пріоритетні завдання)</w:t>
            </w:r>
          </w:p>
        </w:tc>
        <w:tc>
          <w:tcPr>
            <w:tcW w:w="2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Заходи підпрограми</w:t>
            </w:r>
          </w:p>
        </w:tc>
        <w:tc>
          <w:tcPr>
            <w:tcW w:w="1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Терміни виконання заходу</w:t>
            </w:r>
          </w:p>
        </w:tc>
        <w:tc>
          <w:tcPr>
            <w:tcW w:w="1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Виконавці</w:t>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ind w:left="0" w:right="0" w:hanging="0"/>
              <w:jc w:val="center"/>
              <w:rPr>
                <w:rFonts w:ascii="Times New Roman" w:hAnsi="Times New Roman" w:cs="Times New Roman"/>
                <w:spacing w:val="0"/>
                <w:sz w:val="24"/>
                <w:szCs w:val="24"/>
              </w:rPr>
            </w:pPr>
            <w:r>
              <w:rPr>
                <w:rFonts w:cs="Times New Roman" w:ascii="Times New Roman" w:hAnsi="Times New Roman"/>
                <w:spacing w:val="0"/>
                <w:sz w:val="24"/>
                <w:szCs w:val="24"/>
              </w:rPr>
              <w:t>Джерела фінансування</w:t>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Орієнтовні обсяги фінансування (вартість), тис. гривень, у тому числі за роками:</w:t>
            </w:r>
          </w:p>
        </w:tc>
        <w:tc>
          <w:tcPr>
            <w:tcW w:w="25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Очікуваний результат</w:t>
            </w:r>
          </w:p>
        </w:tc>
      </w:tr>
      <w:tr>
        <w:trPr/>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25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8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1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Розробити регіональний проект «Розумна» освіта в «розумному» місті</w:t>
            </w:r>
          </w:p>
        </w:tc>
        <w:tc>
          <w:tcPr>
            <w:tcW w:w="2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Розробити Стратегію використання комп</w:t>
            </w:r>
            <w:r>
              <w:rPr>
                <w:rFonts w:cs="Times New Roman" w:ascii="Times New Roman" w:hAnsi="Times New Roman"/>
                <w:sz w:val="24"/>
                <w:szCs w:val="24"/>
                <w:lang w:val="ru-RU"/>
              </w:rPr>
              <w:t>’</w:t>
            </w:r>
            <w:r>
              <w:rPr>
                <w:rFonts w:cs="Times New Roman" w:ascii="Times New Roman" w:hAnsi="Times New Roman"/>
                <w:sz w:val="24"/>
                <w:szCs w:val="24"/>
              </w:rPr>
              <w:t>ютерних технологій в освіті</w:t>
            </w:r>
          </w:p>
        </w:tc>
        <w:tc>
          <w:tcPr>
            <w:tcW w:w="1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Київський університет імені Бориса Грінченка </w:t>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Не потребує фінансування</w:t>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5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Розроблення рекомендацій та вимог щодо використання інформаційно-комунікаційних технологій в освіті; підвищення кваліфікації керівників освіти та вчителів у галузі ІКТ </w:t>
            </w:r>
          </w:p>
        </w:tc>
      </w:tr>
      <w:tr>
        <w:trPr/>
        <w:tc>
          <w:tcPr>
            <w:tcW w:w="8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Розробити технічну документацію проекту</w:t>
            </w:r>
          </w:p>
        </w:tc>
        <w:tc>
          <w:tcPr>
            <w:tcW w:w="1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w:t>
            </w:r>
          </w:p>
        </w:tc>
        <w:tc>
          <w:tcPr>
            <w:tcW w:w="1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jc w:val="center"/>
              <w:rPr>
                <w:rFonts w:ascii="Times New Roman" w:hAnsi="Times New Roman" w:cs="Times New Roman"/>
              </w:rPr>
            </w:pPr>
            <w:r>
              <w:rPr>
                <w:rFonts w:cs="Times New Roman" w:ascii="Times New Roman" w:hAnsi="Times New Roman"/>
                <w:sz w:val="24"/>
                <w:szCs w:val="24"/>
              </w:rPr>
              <w:t>Бюджет м. Києва</w:t>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pPr>
            <w:r>
              <w:rPr>
                <w:rFonts w:cs="Times New Roman" w:ascii="Times New Roman" w:hAnsi="Times New Roman"/>
                <w:sz w:val="24"/>
                <w:szCs w:val="24"/>
              </w:rPr>
              <w:t>Усього</w:t>
            </w:r>
            <w:r>
              <w:rPr/>
              <w:t xml:space="preserve"> </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Загальний фонд: 50,0 </w:t>
              <w:br/>
              <w:t>у тому числі:</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2016 – 50,0</w:t>
            </w:r>
          </w:p>
        </w:tc>
        <w:tc>
          <w:tcPr>
            <w:tcW w:w="25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Технічна документація проекту «Єдиний інформаційно-освітній простір навчальних закладів» </w:t>
            </w:r>
          </w:p>
        </w:tc>
      </w:tr>
      <w:tr>
        <w:trPr/>
        <w:tc>
          <w:tcPr>
            <w:tcW w:w="8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Забезпечити доступ до відкритого освітнього середовища столиці – якісний Інтернет</w:t>
            </w:r>
          </w:p>
        </w:tc>
        <w:tc>
          <w:tcPr>
            <w:tcW w:w="1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w:t>
            </w:r>
          </w:p>
        </w:tc>
        <w:tc>
          <w:tcPr>
            <w:tcW w:w="1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 управління освіти</w:t>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jc w:val="center"/>
              <w:rPr>
                <w:rFonts w:ascii="Times New Roman" w:hAnsi="Times New Roman" w:cs="Times New Roman"/>
              </w:rPr>
            </w:pPr>
            <w:r>
              <w:rPr>
                <w:rFonts w:cs="Times New Roman" w:ascii="Times New Roman" w:hAnsi="Times New Roman"/>
                <w:sz w:val="24"/>
                <w:szCs w:val="24"/>
              </w:rPr>
              <w:t>Бюджет м. Києва</w:t>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pPr>
            <w:r>
              <w:rPr>
                <w:rFonts w:cs="Times New Roman" w:ascii="Times New Roman" w:hAnsi="Times New Roman"/>
                <w:sz w:val="24"/>
                <w:szCs w:val="24"/>
              </w:rPr>
              <w:t>Усього</w:t>
            </w:r>
            <w:r>
              <w:rPr/>
              <w:t xml:space="preserve"> </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Загальний фонд: </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21 504,0</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2016 – 21 504,0</w:t>
            </w:r>
          </w:p>
        </w:tc>
        <w:tc>
          <w:tcPr>
            <w:tcW w:w="25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Створення єдиної цифрової науково-освітньої мережі та підключення до неї 441 загальноосвітніх навчальних закладів, 11 центрів компетенцій для впровадження </w:t>
            </w:r>
            <w:r>
              <w:rPr>
                <w:rFonts w:cs="Times New Roman" w:ascii="Times New Roman" w:hAnsi="Times New Roman"/>
                <w:sz w:val="24"/>
                <w:szCs w:val="24"/>
                <w:lang w:val="en-US"/>
              </w:rPr>
              <w:t>Smart</w:t>
            </w:r>
            <w:r>
              <w:rPr>
                <w:rFonts w:cs="Times New Roman" w:ascii="Times New Roman" w:hAnsi="Times New Roman"/>
                <w:sz w:val="24"/>
                <w:szCs w:val="24"/>
              </w:rPr>
              <w:t xml:space="preserve"> Освіта</w:t>
            </w:r>
          </w:p>
        </w:tc>
      </w:tr>
      <w:tr>
        <w:trPr/>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Створити  центри компетенцій  відкритої освіти</w:t>
            </w:r>
          </w:p>
        </w:tc>
        <w:tc>
          <w:tcPr>
            <w:tcW w:w="2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Реорганізувати районні науково-методичні центри у центри компетенцій відкритої освіти</w:t>
            </w:r>
          </w:p>
        </w:tc>
        <w:tc>
          <w:tcPr>
            <w:tcW w:w="1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w:t>
            </w:r>
          </w:p>
        </w:tc>
        <w:tc>
          <w:tcPr>
            <w:tcW w:w="1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 управління освіти</w:t>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jc w:val="center"/>
              <w:rPr>
                <w:rFonts w:ascii="Times New Roman" w:hAnsi="Times New Roman" w:cs="Times New Roman"/>
              </w:rPr>
            </w:pPr>
            <w:r>
              <w:rPr>
                <w:rFonts w:cs="Times New Roman" w:ascii="Times New Roman" w:hAnsi="Times New Roman"/>
                <w:sz w:val="24"/>
                <w:szCs w:val="24"/>
              </w:rPr>
              <w:t>Бюджет м. Києва</w:t>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pPr>
            <w:r>
              <w:rPr>
                <w:rFonts w:cs="Times New Roman" w:ascii="Times New Roman" w:hAnsi="Times New Roman"/>
                <w:sz w:val="24"/>
                <w:szCs w:val="24"/>
              </w:rPr>
              <w:t>Усього</w:t>
            </w:r>
            <w:r>
              <w:rPr/>
              <w:t xml:space="preserve"> </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Загальний фонд: 5 091,2</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2016 – 5 091,2</w:t>
            </w:r>
          </w:p>
        </w:tc>
        <w:tc>
          <w:tcPr>
            <w:tcW w:w="25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Створення 10 районних центрів  компетенцій відкритої освіти для впровадження Smart Освіта</w:t>
            </w:r>
          </w:p>
        </w:tc>
      </w:tr>
      <w:tr>
        <w:trPr/>
        <w:tc>
          <w:tcPr>
            <w:tcW w:w="81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Забезпечити навчально-виховний  процес</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засобами інформаційно-комунікаційних технологій </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Створити  профільні STEM та STEAM-центри при спеціалізованих школах, ліцеях, гімназіях.</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Забезпечити загальноосвітні навчальні заклади навчальними комп’ютерними комплексами</w:t>
            </w:r>
          </w:p>
        </w:tc>
        <w:tc>
          <w:tcPr>
            <w:tcW w:w="1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 управління освіти</w:t>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спеціальний фонд, </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інші джерела фінансування</w:t>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 74 779,7</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Спеціальний фонд</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(інші джерела фінансування)</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2016 – 37 389,9</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2017 – 22 433,9</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2018 – 14 955,9</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5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100 навчальних комп’ютерних комплексів – STEM та STEAM-центрів для учнів 5 – 12 класів: мобільне робоче місце вчителя для створення контенту та контролю учнів, інтерактивна дошка, мультимедійний проектор, акустична система, бездротовий маршрутизатор 300 Мбіт, 30 пристроїв учня «все в одному» з сенсорним екраном, система керування класом.</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STEM-центри – для поглибленого навчання учнів наук, технологій, інженерії, математики.</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STEAM-центри – для поглибленого навчання учнів наук, технологій, мистецтва, інженерії, математики для впровадження Smart Освіта</w:t>
            </w:r>
          </w:p>
        </w:tc>
      </w:tr>
      <w:tr>
        <w:trPr/>
        <w:tc>
          <w:tcPr>
            <w:tcW w:w="8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Забезпечити загальноосвітні навчальні заклади сучасною комп’ютерною технікою</w:t>
            </w:r>
          </w:p>
        </w:tc>
        <w:tc>
          <w:tcPr>
            <w:tcW w:w="1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 управління освіти</w:t>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 м. Києва, спеціальний фонд</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інші джерела фінансування,</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інші джерела фінансування</w:t>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Усього: 464 123,4</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Спеціальний фонд (інші джерела фінансування)</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 – 154 707,8</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2017 – 154 707 ,8</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2018 – 154 707,8</w:t>
            </w:r>
          </w:p>
        </w:tc>
        <w:tc>
          <w:tcPr>
            <w:tcW w:w="25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9000 учителів ноутбуками.</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Встановлення 3000 класів з мультимедійним інтерактивним обладнанням: інтерактивна дошка, мультимедійний проектор, інтерфейс, підключення до мережі з можливістю під'єднання 30 клієнтів, мобільне робоче місце вчителя для створення контенту та контролю учнів  для впровадження Smart Освіта</w:t>
            </w:r>
          </w:p>
        </w:tc>
      </w:tr>
      <w:tr>
        <w:trPr>
          <w:trHeight w:val="672" w:hRule="atLeast"/>
        </w:trPr>
        <w:tc>
          <w:tcPr>
            <w:tcW w:w="8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Забезпечити дошкільні та позашкільні навчальні заклади сучасною комп’ютерною технікою</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 управління освіти</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спеціальний фонд,</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інші джерела фінансування</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Спеціальний фонд (інші джерела фінансування)</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Усього: 18 021,9</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 – 6 007,3</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2017 – 6 007,3</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2018 – 6 007,3</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5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Оснащення  </w:t>
            </w:r>
            <w:r>
              <w:rPr>
                <w:rFonts w:eastAsia="Times New Roman" w:cs="Times New Roman" w:ascii="Times New Roman" w:hAnsi="Times New Roman"/>
                <w:color w:val="000000" w:themeColor="text1"/>
                <w:sz w:val="24"/>
                <w:szCs w:val="28"/>
                <w:lang w:eastAsia="uk-UA"/>
              </w:rPr>
              <w:t xml:space="preserve">сучасним компютерним обладнанням </w:t>
            </w:r>
            <w:r>
              <w:rPr>
                <w:rFonts w:cs="Times New Roman" w:ascii="Times New Roman" w:hAnsi="Times New Roman"/>
                <w:sz w:val="24"/>
                <w:szCs w:val="24"/>
              </w:rPr>
              <w:t>511 дошкільних навчальних закладів та 39 позашкільних навчальних закладів для впровадження Smart Освіта</w:t>
            </w:r>
          </w:p>
        </w:tc>
      </w:tr>
      <w:tr>
        <w:trPr>
          <w:trHeight w:val="432" w:hRule="atLeast"/>
        </w:trPr>
        <w:tc>
          <w:tcPr>
            <w:tcW w:w="81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Придбати сервер  та комп</w:t>
            </w:r>
            <w:r>
              <w:rPr>
                <w:rFonts w:eastAsia="Times New Roman" w:cs="Times New Roman" w:ascii="Times New Roman" w:hAnsi="Times New Roman"/>
                <w:color w:val="000000"/>
                <w:sz w:val="24"/>
                <w:szCs w:val="24"/>
                <w:lang w:val="ru-RU" w:eastAsia="uk-UA" w:bidi="he-IL"/>
              </w:rPr>
              <w:t>’</w:t>
            </w:r>
            <w:r>
              <w:rPr>
                <w:rFonts w:eastAsia="Times New Roman" w:cs="Times New Roman" w:ascii="Times New Roman" w:hAnsi="Times New Roman"/>
                <w:color w:val="000000"/>
                <w:sz w:val="24"/>
                <w:szCs w:val="24"/>
                <w:lang w:eastAsia="uk-UA" w:bidi="he-IL"/>
              </w:rPr>
              <w:t xml:space="preserve">ютерну </w:t>
            </w:r>
            <w:r>
              <w:rPr>
                <w:rFonts w:eastAsia="Times New Roman" w:cs="Times New Roman" w:ascii="Times New Roman" w:hAnsi="Times New Roman"/>
                <w:color w:val="000000"/>
                <w:sz w:val="24"/>
                <w:szCs w:val="24"/>
                <w:lang w:eastAsia="uk-UA"/>
              </w:rPr>
              <w:t>техніку для Центру компетенції відкритої освіти Київського університету імені Бориса Грінченка</w:t>
            </w:r>
          </w:p>
        </w:tc>
        <w:tc>
          <w:tcPr>
            <w:tcW w:w="1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2016-2018</w:t>
            </w:r>
          </w:p>
        </w:tc>
        <w:tc>
          <w:tcPr>
            <w:tcW w:w="1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освіти і науки, молоді та спорту, Київський університет імені Бориса Грінченка</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Спеціальний фонд,</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color w:val="000000"/>
                <w:sz w:val="24"/>
                <w:szCs w:val="24"/>
              </w:rPr>
              <w:t>інші джерела фінансування</w:t>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Спеціальний фонд</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(інші джерела фінансування)</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усього: 10 147,6</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у тому числі:           2016  –3 150,0        2017 – 3 405,2        2018 – 3 592,4   </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color w:val="000000"/>
                <w:sz w:val="24"/>
                <w:szCs w:val="24"/>
              </w:rPr>
              <w:t xml:space="preserve">                                     </w:t>
            </w:r>
          </w:p>
        </w:tc>
        <w:tc>
          <w:tcPr>
            <w:tcW w:w="25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Оснащення  </w:t>
            </w:r>
            <w:r>
              <w:rPr>
                <w:rFonts w:eastAsia="Times New Roman" w:cs="Times New Roman" w:ascii="Times New Roman" w:hAnsi="Times New Roman"/>
                <w:color w:val="000000" w:themeColor="text1"/>
                <w:sz w:val="24"/>
                <w:szCs w:val="28"/>
                <w:lang w:eastAsia="uk-UA"/>
              </w:rPr>
              <w:t xml:space="preserve">сучасним компютерним обладнанням </w:t>
            </w:r>
            <w:r>
              <w:rPr>
                <w:rFonts w:eastAsia="Times New Roman" w:cs="Times New Roman" w:ascii="Times New Roman" w:hAnsi="Times New Roman"/>
                <w:color w:val="000000"/>
                <w:sz w:val="24"/>
                <w:szCs w:val="24"/>
                <w:lang w:eastAsia="uk-UA"/>
              </w:rPr>
              <w:t>Центру компетенції відкритої освіти Київського університету імені Бориса Грінченка</w:t>
            </w:r>
          </w:p>
        </w:tc>
      </w:tr>
      <w:tr>
        <w:trPr/>
        <w:tc>
          <w:tcPr>
            <w:tcW w:w="81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5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УСЬОГО:</w:t>
            </w:r>
          </w:p>
        </w:tc>
        <w:tc>
          <w:tcPr>
            <w:tcW w:w="15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6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6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7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593 717,8</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Загальний фонд</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Усього: 26 645,2</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 – 26 645,2</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Спеціальний фонд</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(інші джерела фінансування)</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Усього: 567 072,6</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 – 201 255,0</w:t>
            </w:r>
          </w:p>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2017– 186 554,2</w:t>
            </w:r>
          </w:p>
          <w:p>
            <w:pPr>
              <w:pStyle w:val="Normal"/>
              <w:numPr>
                <w:ilvl w:val="0"/>
                <w:numId w:val="3"/>
              </w:numPr>
              <w:spacing w:lineRule="auto" w:line="240" w:before="0" w:after="0"/>
              <w:jc w:val="center"/>
              <w:rPr>
                <w:rFonts w:ascii="Times New Roman" w:hAnsi="Times New Roman" w:cs="Times New Roman"/>
                <w:sz w:val="28"/>
                <w:szCs w:val="28"/>
              </w:rPr>
            </w:pPr>
            <w:r>
              <w:rPr>
                <w:rFonts w:cs="Times New Roman" w:ascii="Times New Roman" w:hAnsi="Times New Roman"/>
                <w:sz w:val="24"/>
                <w:szCs w:val="24"/>
              </w:rPr>
              <w:t xml:space="preserve"> </w:t>
            </w:r>
            <w:r>
              <w:rPr>
                <w:rFonts w:cs="Times New Roman" w:ascii="Times New Roman" w:hAnsi="Times New Roman"/>
                <w:sz w:val="24"/>
                <w:szCs w:val="24"/>
              </w:rPr>
              <w:t>2018 – 179 263,4</w:t>
            </w:r>
          </w:p>
        </w:tc>
        <w:tc>
          <w:tcPr>
            <w:tcW w:w="254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bl>
    <w:p>
      <w:pPr>
        <w:pStyle w:val="Normal"/>
        <w:numPr>
          <w:ilvl w:val="0"/>
          <w:numId w:val="3"/>
        </w:numPr>
        <w:jc w:val="center"/>
        <w:rPr>
          <w:rFonts w:ascii="Times New Roman" w:hAnsi="Times New Roman" w:cs="Times New Roman" w:asciiTheme="majorBidi" w:cstheme="majorBidi" w:hAnsiTheme="majorBidi"/>
          <w:bCs/>
          <w:sz w:val="24"/>
          <w:szCs w:val="24"/>
        </w:rPr>
      </w:pPr>
      <w:r>
        <w:rPr>
          <w:rFonts w:cs="Times New Roman" w:cstheme="majorBidi" w:ascii="Times New Roman" w:hAnsi="Times New Roman"/>
          <w:bCs/>
          <w:sz w:val="24"/>
          <w:szCs w:val="24"/>
        </w:rPr>
      </w:r>
    </w:p>
    <w:p>
      <w:pPr>
        <w:pStyle w:val="Normal"/>
        <w:numPr>
          <w:ilvl w:val="0"/>
          <w:numId w:val="3"/>
        </w:numPr>
        <w:jc w:val="center"/>
        <w:rPr>
          <w:rFonts w:ascii="Times New Roman" w:hAnsi="Times New Roman" w:cs="Times New Roman" w:asciiTheme="majorBidi" w:cstheme="majorBidi" w:hAnsiTheme="majorBidi"/>
          <w:bCs/>
          <w:sz w:val="24"/>
          <w:szCs w:val="24"/>
        </w:rPr>
      </w:pPr>
      <w:r>
        <w:rPr>
          <w:rFonts w:cs="Times New Roman" w:cstheme="majorBidi" w:ascii="Times New Roman" w:hAnsi="Times New Roman"/>
          <w:bCs/>
          <w:sz w:val="24"/>
          <w:szCs w:val="24"/>
        </w:rPr>
      </w:r>
    </w:p>
    <w:p>
      <w:pPr>
        <w:pStyle w:val="Normal"/>
        <w:numPr>
          <w:ilvl w:val="0"/>
          <w:numId w:val="3"/>
        </w:numPr>
        <w:jc w:val="center"/>
        <w:rPr>
          <w:rFonts w:ascii="Times New Roman" w:hAnsi="Times New Roman" w:eastAsia="Times New Roman" w:cs="Times New Roman" w:asciiTheme="majorBidi" w:cstheme="majorBidi" w:hAnsiTheme="majorBidi"/>
          <w:bCs/>
          <w:sz w:val="28"/>
          <w:szCs w:val="28"/>
          <w:lang w:bidi="he-IL"/>
        </w:rPr>
      </w:pPr>
      <w:r>
        <w:rPr>
          <w:rFonts w:eastAsia="Times New Roman" w:cs="Times New Roman" w:cstheme="majorBidi" w:ascii="Times New Roman" w:hAnsi="Times New Roman"/>
          <w:bCs/>
          <w:sz w:val="28"/>
          <w:szCs w:val="28"/>
          <w:lang w:bidi="he-IL"/>
        </w:rPr>
      </w:r>
    </w:p>
    <w:p>
      <w:pPr>
        <w:pStyle w:val="Normal"/>
        <w:numPr>
          <w:ilvl w:val="0"/>
          <w:numId w:val="3"/>
        </w:numPr>
        <w:spacing w:before="0" w:after="0"/>
        <w:jc w:val="center"/>
        <w:rPr>
          <w:rFonts w:ascii="Times New Roman" w:hAnsi="Times New Roman" w:cs="Times New Roman" w:asciiTheme="majorBidi" w:cstheme="majorBidi" w:hAnsiTheme="majorBidi"/>
          <w:bCs/>
          <w:sz w:val="28"/>
          <w:szCs w:val="28"/>
        </w:rPr>
      </w:pPr>
      <w:r>
        <w:rPr>
          <w:rFonts w:eastAsia="Times New Roman" w:cs="Times New Roman" w:ascii="Times New Roman" w:hAnsi="Times New Roman" w:asciiTheme="majorBidi" w:cstheme="majorBidi" w:hAnsiTheme="majorBidi"/>
          <w:bCs/>
          <w:sz w:val="28"/>
          <w:szCs w:val="28"/>
          <w:lang w:bidi="he-IL"/>
        </w:rPr>
        <w:t>Очікувані результативні показники виконання підпрограми «Єдиний інформаційно-освітній простір навчальних закладів комунальної форми власності»</w:t>
      </w:r>
    </w:p>
    <w:tbl>
      <w:tblPr>
        <w:tblStyle w:val="24"/>
        <w:tblW w:w="15260" w:type="dxa"/>
        <w:jc w:val="left"/>
        <w:tblInd w:w="0" w:type="dxa"/>
        <w:tblCellMar>
          <w:top w:w="0" w:type="dxa"/>
          <w:left w:w="108" w:type="dxa"/>
          <w:bottom w:w="0" w:type="dxa"/>
          <w:right w:w="108" w:type="dxa"/>
        </w:tblCellMar>
        <w:tblLook w:firstRow="1" w:noVBand="1" w:lastRow="0" w:firstColumn="1" w:lastColumn="0" w:noHBand="0" w:val="04a0"/>
      </w:tblPr>
      <w:tblGrid>
        <w:gridCol w:w="959"/>
        <w:gridCol w:w="5102"/>
        <w:gridCol w:w="1540"/>
        <w:gridCol w:w="1852"/>
        <w:gridCol w:w="1853"/>
        <w:gridCol w:w="1852"/>
        <w:gridCol w:w="2"/>
        <w:gridCol w:w="2099"/>
      </w:tblGrid>
      <w:tr>
        <w:trPr>
          <w:trHeight w:val="405" w:hRule="atLeast"/>
        </w:trPr>
        <w:tc>
          <w:tcPr>
            <w:tcW w:w="959" w:type="dxa"/>
            <w:vMerge w:val="restart"/>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w:t>
            </w:r>
          </w:p>
        </w:tc>
        <w:tc>
          <w:tcPr>
            <w:tcW w:w="5102" w:type="dxa"/>
            <w:vMerge w:val="restart"/>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Обсяг коштів, які пропонується залучити на виконання підпрограми</w:t>
            </w:r>
          </w:p>
        </w:tc>
        <w:tc>
          <w:tcPr>
            <w:tcW w:w="1540" w:type="dxa"/>
            <w:vMerge w:val="restart"/>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одиниці виміру</w:t>
            </w:r>
          </w:p>
        </w:tc>
        <w:tc>
          <w:tcPr>
            <w:tcW w:w="5559" w:type="dxa"/>
            <w:gridSpan w:val="4"/>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Етапи виконання підпрограми по роках</w:t>
            </w:r>
          </w:p>
        </w:tc>
        <w:tc>
          <w:tcPr>
            <w:tcW w:w="2099" w:type="dxa"/>
            <w:vMerge w:val="restart"/>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lang w:bidi="he-IL"/>
              </w:rPr>
            </w:pPr>
            <w:r>
              <w:rPr>
                <w:rFonts w:eastAsia="Times New Roman" w:cs="Times New Roman" w:ascii="Times New Roman" w:hAnsi="Times New Roman" w:asciiTheme="majorBidi" w:cstheme="majorBidi" w:hAnsiTheme="majorBidi"/>
                <w:bCs/>
                <w:lang w:eastAsia="uk-UA" w:bidi="he-IL"/>
              </w:rPr>
              <w:t>Усього витрат на виконання підпрограми</w:t>
            </w:r>
          </w:p>
        </w:tc>
      </w:tr>
      <w:tr>
        <w:trPr>
          <w:trHeight w:val="300" w:hRule="atLeast"/>
        </w:trPr>
        <w:tc>
          <w:tcPr>
            <w:tcW w:w="959" w:type="dxa"/>
            <w:vMerge w:val="continue"/>
            <w:tcBorders/>
            <w:shd w:fill="auto" w:val="clear"/>
            <w:tcMar>
              <w:left w:w="108" w:type="dxa"/>
            </w:tcMar>
          </w:tcPr>
          <w:p>
            <w:pPr>
              <w:pStyle w:val="Normal"/>
              <w:numPr>
                <w:ilvl w:val="0"/>
                <w:numId w:val="3"/>
              </w:numPr>
              <w:spacing w:lineRule="auto" w:line="240" w:before="0" w:after="0"/>
              <w:rPr>
                <w:rFonts w:ascii="Times New Roman" w:hAnsi="Times New Roman" w:eastAsia="ＭＳ 明朝" w:cs="Times New Roman" w:eastAsiaTheme="minorEastAsia"/>
                <w:bCs/>
                <w:sz w:val="24"/>
                <w:szCs w:val="24"/>
                <w:lang w:eastAsia="uk-UA" w:bidi="he-IL"/>
              </w:rPr>
            </w:pPr>
            <w:r>
              <w:rPr>
                <w:rFonts w:eastAsia="ＭＳ 明朝" w:cs="Times New Roman" w:eastAsiaTheme="minorEastAsia" w:ascii="Times New Roman" w:hAnsi="Times New Roman"/>
                <w:bCs/>
                <w:sz w:val="24"/>
                <w:szCs w:val="24"/>
                <w:lang w:eastAsia="uk-UA" w:bidi="he-IL"/>
              </w:rPr>
            </w:r>
          </w:p>
        </w:tc>
        <w:tc>
          <w:tcPr>
            <w:tcW w:w="5102" w:type="dxa"/>
            <w:vMerge w:val="continue"/>
            <w:tcBorders/>
            <w:shd w:fill="auto" w:val="clear"/>
            <w:tcMar>
              <w:left w:w="108" w:type="dxa"/>
            </w:tcMar>
          </w:tcPr>
          <w:p>
            <w:pPr>
              <w:pStyle w:val="Normal"/>
              <w:numPr>
                <w:ilvl w:val="0"/>
                <w:numId w:val="3"/>
              </w:numPr>
              <w:spacing w:lineRule="auto" w:line="240" w:before="0" w:after="0"/>
              <w:rPr>
                <w:rFonts w:ascii="Times New Roman" w:hAnsi="Times New Roman" w:eastAsia="ＭＳ 明朝" w:cs="Times New Roman" w:eastAsiaTheme="minorEastAsia"/>
                <w:bCs/>
                <w:sz w:val="24"/>
                <w:szCs w:val="24"/>
                <w:lang w:eastAsia="uk-UA" w:bidi="he-IL"/>
              </w:rPr>
            </w:pPr>
            <w:r>
              <w:rPr>
                <w:rFonts w:eastAsia="ＭＳ 明朝" w:cs="Times New Roman" w:eastAsiaTheme="minorEastAsia" w:ascii="Times New Roman" w:hAnsi="Times New Roman"/>
                <w:bCs/>
                <w:sz w:val="24"/>
                <w:szCs w:val="24"/>
                <w:lang w:eastAsia="uk-UA" w:bidi="he-IL"/>
              </w:rPr>
            </w:r>
          </w:p>
        </w:tc>
        <w:tc>
          <w:tcPr>
            <w:tcW w:w="1540" w:type="dxa"/>
            <w:vMerge w:val="continue"/>
            <w:tcBorders/>
            <w:shd w:fill="auto" w:val="clear"/>
            <w:tcMar>
              <w:left w:w="108" w:type="dxa"/>
            </w:tcMar>
          </w:tcPr>
          <w:p>
            <w:pPr>
              <w:pStyle w:val="Normal"/>
              <w:numPr>
                <w:ilvl w:val="0"/>
                <w:numId w:val="3"/>
              </w:numPr>
              <w:spacing w:lineRule="auto" w:line="240" w:before="0" w:after="0"/>
              <w:rPr>
                <w:rFonts w:ascii="Times New Roman" w:hAnsi="Times New Roman" w:eastAsia="ＭＳ 明朝" w:cs="Times New Roman" w:eastAsiaTheme="minorEastAsia"/>
                <w:bCs/>
                <w:sz w:val="24"/>
                <w:szCs w:val="24"/>
                <w:lang w:eastAsia="uk-UA" w:bidi="he-IL"/>
              </w:rPr>
            </w:pPr>
            <w:r>
              <w:rPr>
                <w:rFonts w:eastAsia="ＭＳ 明朝" w:cs="Times New Roman" w:eastAsiaTheme="minorEastAsia" w:ascii="Times New Roman" w:hAnsi="Times New Roman"/>
                <w:bCs/>
                <w:sz w:val="24"/>
                <w:szCs w:val="24"/>
                <w:lang w:eastAsia="uk-UA" w:bidi="he-IL"/>
              </w:rPr>
            </w:r>
          </w:p>
        </w:tc>
        <w:tc>
          <w:tcPr>
            <w:tcW w:w="185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2016</w:t>
            </w:r>
          </w:p>
        </w:tc>
        <w:tc>
          <w:tcPr>
            <w:tcW w:w="1853"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2017</w:t>
            </w:r>
          </w:p>
        </w:tc>
        <w:tc>
          <w:tcPr>
            <w:tcW w:w="185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2018</w:t>
            </w:r>
          </w:p>
        </w:tc>
        <w:tc>
          <w:tcPr>
            <w:tcW w:w="2101" w:type="dxa"/>
            <w:gridSpan w:val="2"/>
            <w:vMerge w:val="continue"/>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明朝" w:cs="Times New Roman" w:eastAsiaTheme="minorEastAsia"/>
                <w:bCs/>
                <w:sz w:val="24"/>
                <w:szCs w:val="24"/>
                <w:lang w:eastAsia="uk-UA" w:bidi="he-IL"/>
              </w:rPr>
            </w:pPr>
            <w:r>
              <w:rPr>
                <w:rFonts w:eastAsia="ＭＳ 明朝" w:cs="Times New Roman" w:eastAsiaTheme="minorEastAsia" w:ascii="Times New Roman" w:hAnsi="Times New Roman"/>
                <w:bCs/>
                <w:sz w:val="24"/>
                <w:szCs w:val="24"/>
                <w:lang w:eastAsia="uk-UA" w:bidi="he-IL"/>
              </w:rPr>
            </w:r>
          </w:p>
        </w:tc>
      </w:tr>
      <w:tr>
        <w:trPr>
          <w:trHeight w:val="420" w:hRule="atLeast"/>
        </w:trPr>
        <w:tc>
          <w:tcPr>
            <w:tcW w:w="959" w:type="dxa"/>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 </w:t>
            </w:r>
          </w:p>
        </w:tc>
        <w:tc>
          <w:tcPr>
            <w:tcW w:w="510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Бюджет м. Києва</w:t>
            </w:r>
          </w:p>
        </w:tc>
        <w:tc>
          <w:tcPr>
            <w:tcW w:w="1540"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тис. грн.</w:t>
            </w:r>
          </w:p>
        </w:tc>
        <w:tc>
          <w:tcPr>
            <w:tcW w:w="185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ＭＳ 明朝" w:cs="Times New Roman" w:eastAsiaTheme="minorEastAsia" w:ascii="Times New Roman" w:hAnsi="Times New Roman"/>
                <w:sz w:val="24"/>
                <w:szCs w:val="24"/>
                <w:lang w:eastAsia="uk-UA"/>
              </w:rPr>
              <w:t>227 900,2</w:t>
            </w:r>
          </w:p>
        </w:tc>
        <w:tc>
          <w:tcPr>
            <w:tcW w:w="1853"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ＭＳ 明朝" w:cs="Times New Roman" w:eastAsiaTheme="minorEastAsia" w:ascii="Times New Roman" w:hAnsi="Times New Roman"/>
                <w:sz w:val="24"/>
                <w:szCs w:val="24"/>
                <w:lang w:eastAsia="uk-UA"/>
              </w:rPr>
              <w:t>186 554,2</w:t>
            </w:r>
          </w:p>
        </w:tc>
        <w:tc>
          <w:tcPr>
            <w:tcW w:w="185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ＭＳ 明朝" w:cs="Times New Roman" w:eastAsiaTheme="minorEastAsia" w:ascii="Times New Roman" w:hAnsi="Times New Roman"/>
                <w:sz w:val="24"/>
                <w:szCs w:val="24"/>
                <w:lang w:eastAsia="uk-UA"/>
              </w:rPr>
              <w:t>179 263,4</w:t>
            </w:r>
          </w:p>
        </w:tc>
        <w:tc>
          <w:tcPr>
            <w:tcW w:w="2101" w:type="dxa"/>
            <w:gridSpan w:val="2"/>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ＭＳ 明朝" w:cs="Times New Roman" w:eastAsiaTheme="minorEastAsia" w:ascii="Times New Roman" w:hAnsi="Times New Roman"/>
                <w:sz w:val="24"/>
                <w:szCs w:val="24"/>
                <w:lang w:eastAsia="uk-UA"/>
              </w:rPr>
              <w:t>593 717,8</w:t>
            </w:r>
          </w:p>
        </w:tc>
      </w:tr>
      <w:tr>
        <w:trPr>
          <w:trHeight w:val="420" w:hRule="atLeast"/>
        </w:trPr>
        <w:tc>
          <w:tcPr>
            <w:tcW w:w="15259" w:type="dxa"/>
            <w:gridSpan w:val="8"/>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 xml:space="preserve">                                                           </w:t>
            </w:r>
            <w:r>
              <w:rPr>
                <w:rFonts w:eastAsia="Times New Roman" w:cs="Times New Roman" w:ascii="Times New Roman" w:hAnsi="Times New Roman"/>
                <w:bCs/>
                <w:sz w:val="24"/>
                <w:szCs w:val="24"/>
                <w:lang w:eastAsia="uk-UA" w:bidi="he-IL"/>
              </w:rPr>
              <w:t>Створення "Єдиного інформаційно-освітнього простору навчальних закладів"</w:t>
            </w:r>
          </w:p>
        </w:tc>
      </w:tr>
      <w:tr>
        <w:trPr>
          <w:trHeight w:val="405" w:hRule="atLeast"/>
        </w:trPr>
        <w:tc>
          <w:tcPr>
            <w:tcW w:w="15259" w:type="dxa"/>
            <w:gridSpan w:val="8"/>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i/>
                <w:i/>
                <w:iCs/>
                <w:sz w:val="24"/>
                <w:szCs w:val="24"/>
                <w:lang w:bidi="he-IL"/>
              </w:rPr>
            </w:pPr>
            <w:r>
              <w:rPr>
                <w:rFonts w:eastAsia="Times New Roman" w:cs="Times New Roman" w:ascii="Times New Roman" w:hAnsi="Times New Roman"/>
                <w:bCs/>
                <w:i/>
                <w:iCs/>
                <w:sz w:val="24"/>
                <w:szCs w:val="24"/>
                <w:lang w:eastAsia="uk-UA" w:bidi="he-IL"/>
              </w:rPr>
              <w:t>Показники затрат</w:t>
            </w:r>
          </w:p>
        </w:tc>
      </w:tr>
      <w:tr>
        <w:trPr>
          <w:trHeight w:val="662" w:hRule="atLeast"/>
        </w:trPr>
        <w:tc>
          <w:tcPr>
            <w:tcW w:w="959"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1</w:t>
            </w:r>
          </w:p>
        </w:tc>
        <w:tc>
          <w:tcPr>
            <w:tcW w:w="510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Обсяг видатків на створення єдиного інформаційно-освітнього простору навчальних закладів</w:t>
            </w:r>
          </w:p>
        </w:tc>
        <w:tc>
          <w:tcPr>
            <w:tcW w:w="1540"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тис. грн.</w:t>
            </w:r>
          </w:p>
        </w:tc>
        <w:tc>
          <w:tcPr>
            <w:tcW w:w="185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26 645,2</w:t>
            </w:r>
          </w:p>
        </w:tc>
        <w:tc>
          <w:tcPr>
            <w:tcW w:w="1853"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 </w:t>
            </w:r>
          </w:p>
        </w:tc>
        <w:tc>
          <w:tcPr>
            <w:tcW w:w="185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 </w:t>
            </w:r>
          </w:p>
        </w:tc>
        <w:tc>
          <w:tcPr>
            <w:tcW w:w="2101" w:type="dxa"/>
            <w:gridSpan w:val="2"/>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26 645,2 </w:t>
            </w:r>
          </w:p>
        </w:tc>
      </w:tr>
      <w:tr>
        <w:trPr>
          <w:trHeight w:val="405" w:hRule="atLeast"/>
        </w:trPr>
        <w:tc>
          <w:tcPr>
            <w:tcW w:w="15259" w:type="dxa"/>
            <w:gridSpan w:val="8"/>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i/>
                <w:i/>
                <w:iCs/>
                <w:sz w:val="24"/>
                <w:szCs w:val="24"/>
                <w:lang w:bidi="he-IL"/>
              </w:rPr>
            </w:pPr>
            <w:r>
              <w:rPr>
                <w:rFonts w:eastAsia="Times New Roman" w:cs="Times New Roman" w:ascii="Times New Roman" w:hAnsi="Times New Roman"/>
                <w:bCs/>
                <w:i/>
                <w:iCs/>
                <w:sz w:val="24"/>
                <w:szCs w:val="24"/>
                <w:lang w:eastAsia="uk-UA" w:bidi="he-IL"/>
              </w:rPr>
              <w:t>Показники продукту</w:t>
            </w:r>
          </w:p>
        </w:tc>
      </w:tr>
      <w:tr>
        <w:trPr>
          <w:trHeight w:val="681" w:hRule="atLeast"/>
        </w:trPr>
        <w:tc>
          <w:tcPr>
            <w:tcW w:w="959"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1</w:t>
            </w:r>
          </w:p>
        </w:tc>
        <w:tc>
          <w:tcPr>
            <w:tcW w:w="510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Кількість закладів, в яких буде створено єдиний інформаційно-освітній простір навчальних закладів</w:t>
            </w:r>
          </w:p>
        </w:tc>
        <w:tc>
          <w:tcPr>
            <w:tcW w:w="1540"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од.</w:t>
            </w:r>
          </w:p>
        </w:tc>
        <w:tc>
          <w:tcPr>
            <w:tcW w:w="185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451</w:t>
            </w:r>
          </w:p>
        </w:tc>
        <w:tc>
          <w:tcPr>
            <w:tcW w:w="1853"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 </w:t>
            </w:r>
          </w:p>
        </w:tc>
        <w:tc>
          <w:tcPr>
            <w:tcW w:w="185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 </w:t>
            </w:r>
          </w:p>
        </w:tc>
        <w:tc>
          <w:tcPr>
            <w:tcW w:w="2101" w:type="dxa"/>
            <w:gridSpan w:val="2"/>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 </w:t>
            </w:r>
          </w:p>
        </w:tc>
      </w:tr>
      <w:tr>
        <w:trPr>
          <w:trHeight w:val="405" w:hRule="atLeast"/>
        </w:trPr>
        <w:tc>
          <w:tcPr>
            <w:tcW w:w="15259" w:type="dxa"/>
            <w:gridSpan w:val="8"/>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i/>
                <w:i/>
                <w:iCs/>
                <w:sz w:val="24"/>
                <w:szCs w:val="24"/>
                <w:lang w:bidi="he-IL"/>
              </w:rPr>
            </w:pPr>
            <w:r>
              <w:rPr>
                <w:rFonts w:eastAsia="Times New Roman" w:cs="Times New Roman" w:ascii="Times New Roman" w:hAnsi="Times New Roman"/>
                <w:bCs/>
                <w:i/>
                <w:iCs/>
                <w:sz w:val="24"/>
                <w:szCs w:val="24"/>
                <w:lang w:eastAsia="uk-UA" w:bidi="he-IL"/>
              </w:rPr>
              <w:t>Показники ефективності</w:t>
            </w:r>
          </w:p>
        </w:tc>
      </w:tr>
      <w:tr>
        <w:trPr>
          <w:trHeight w:val="713" w:hRule="atLeast"/>
        </w:trPr>
        <w:tc>
          <w:tcPr>
            <w:tcW w:w="959"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1</w:t>
            </w:r>
          </w:p>
        </w:tc>
        <w:tc>
          <w:tcPr>
            <w:tcW w:w="510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Середня вартість на створення єдиного інформаційно-освітнього простору навчальних закладів</w:t>
            </w:r>
          </w:p>
        </w:tc>
        <w:tc>
          <w:tcPr>
            <w:tcW w:w="1540"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грн.</w:t>
            </w:r>
          </w:p>
        </w:tc>
        <w:tc>
          <w:tcPr>
            <w:tcW w:w="1852" w:type="dxa"/>
            <w:tcBorders/>
            <w:shd w:fill="auto" w:val="clear"/>
            <w:tcMar>
              <w:left w:w="108" w:type="dxa"/>
            </w:tcMar>
          </w:tcPr>
          <w:p>
            <w:pPr>
              <w:pStyle w:val="Normal"/>
              <w:numPr>
                <w:ilvl w:val="0"/>
                <w:numId w:val="3"/>
              </w:numPr>
              <w:spacing w:lineRule="auto" w:line="240" w:before="0" w:after="0"/>
              <w:jc w:val="right"/>
              <w:rPr>
                <w:rFonts w:ascii="Times New Roman" w:hAnsi="Times New Roman" w:eastAsia="Times New Roman" w:cs="Times New Roman"/>
                <w:bCs/>
                <w:color w:val="000000"/>
                <w:sz w:val="24"/>
                <w:szCs w:val="24"/>
                <w:lang w:bidi="he-IL"/>
              </w:rPr>
            </w:pPr>
            <w:r>
              <w:rPr>
                <w:rFonts w:eastAsia="Times New Roman" w:cs="Times New Roman" w:ascii="Times New Roman" w:hAnsi="Times New Roman"/>
                <w:bCs/>
                <w:color w:val="000000"/>
                <w:sz w:val="24"/>
                <w:szCs w:val="24"/>
                <w:lang w:eastAsia="uk-UA" w:bidi="he-IL"/>
              </w:rPr>
              <w:t>59 080,27</w:t>
            </w:r>
          </w:p>
        </w:tc>
        <w:tc>
          <w:tcPr>
            <w:tcW w:w="1853" w:type="dxa"/>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bCs/>
                <w:color w:val="000000"/>
                <w:sz w:val="24"/>
                <w:szCs w:val="24"/>
                <w:lang w:eastAsia="uk-UA" w:bidi="he-IL"/>
              </w:rPr>
            </w:pPr>
            <w:r>
              <w:rPr>
                <w:rFonts w:eastAsia="Times New Roman" w:cs="Times New Roman" w:ascii="Times New Roman" w:hAnsi="Times New Roman"/>
                <w:bCs/>
                <w:color w:val="000000"/>
                <w:sz w:val="24"/>
                <w:szCs w:val="24"/>
                <w:lang w:eastAsia="uk-UA" w:bidi="he-IL"/>
              </w:rPr>
            </w:r>
          </w:p>
          <w:p>
            <w:pPr>
              <w:pStyle w:val="Normal"/>
              <w:numPr>
                <w:ilvl w:val="0"/>
                <w:numId w:val="3"/>
              </w:numPr>
              <w:spacing w:lineRule="auto" w:line="240" w:before="0" w:after="0"/>
              <w:rPr>
                <w:rFonts w:ascii="Times New Roman" w:hAnsi="Times New Roman" w:eastAsia="Times New Roman" w:cs="Times New Roman"/>
                <w:bCs/>
                <w:color w:val="000000"/>
                <w:sz w:val="24"/>
                <w:szCs w:val="24"/>
                <w:lang w:bidi="he-IL"/>
              </w:rPr>
            </w:pPr>
            <w:r>
              <w:rPr>
                <w:rFonts w:eastAsia="Times New Roman" w:cs="Times New Roman" w:ascii="Times New Roman" w:hAnsi="Times New Roman"/>
                <w:bCs/>
                <w:color w:val="000000"/>
                <w:sz w:val="24"/>
                <w:szCs w:val="24"/>
                <w:lang w:eastAsia="uk-UA" w:bidi="he-IL"/>
              </w:rPr>
              <w:t> </w:t>
            </w:r>
          </w:p>
        </w:tc>
        <w:tc>
          <w:tcPr>
            <w:tcW w:w="1852" w:type="dxa"/>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bCs/>
                <w:color w:val="000000"/>
                <w:sz w:val="24"/>
                <w:szCs w:val="24"/>
                <w:lang w:bidi="he-IL"/>
              </w:rPr>
            </w:pPr>
            <w:r>
              <w:rPr>
                <w:rFonts w:eastAsia="Times New Roman" w:cs="Times New Roman" w:ascii="Times New Roman" w:hAnsi="Times New Roman"/>
                <w:bCs/>
                <w:color w:val="000000"/>
                <w:sz w:val="24"/>
                <w:szCs w:val="24"/>
                <w:lang w:eastAsia="uk-UA" w:bidi="he-IL"/>
              </w:rPr>
              <w:t> </w:t>
            </w:r>
          </w:p>
        </w:tc>
        <w:tc>
          <w:tcPr>
            <w:tcW w:w="2101" w:type="dxa"/>
            <w:gridSpan w:val="2"/>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 </w:t>
            </w:r>
          </w:p>
        </w:tc>
      </w:tr>
      <w:tr>
        <w:trPr>
          <w:trHeight w:val="405" w:hRule="atLeast"/>
        </w:trPr>
        <w:tc>
          <w:tcPr>
            <w:tcW w:w="15259" w:type="dxa"/>
            <w:gridSpan w:val="8"/>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Забезпечення інформатизації та комп’ютеризації навчальних закладів</w:t>
            </w:r>
          </w:p>
        </w:tc>
      </w:tr>
      <w:tr>
        <w:trPr>
          <w:trHeight w:val="342" w:hRule="atLeast"/>
        </w:trPr>
        <w:tc>
          <w:tcPr>
            <w:tcW w:w="15259" w:type="dxa"/>
            <w:gridSpan w:val="8"/>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i/>
                <w:i/>
                <w:iCs/>
                <w:sz w:val="24"/>
                <w:szCs w:val="24"/>
                <w:lang w:bidi="he-IL"/>
              </w:rPr>
            </w:pPr>
            <w:r>
              <w:rPr>
                <w:rFonts w:eastAsia="Times New Roman" w:cs="Times New Roman" w:ascii="Times New Roman" w:hAnsi="Times New Roman"/>
                <w:bCs/>
                <w:i/>
                <w:iCs/>
                <w:sz w:val="24"/>
                <w:szCs w:val="24"/>
                <w:lang w:eastAsia="uk-UA" w:bidi="he-IL"/>
              </w:rPr>
              <w:t>Показники затрат</w:t>
            </w:r>
          </w:p>
        </w:tc>
      </w:tr>
      <w:tr>
        <w:trPr>
          <w:trHeight w:val="537" w:hRule="atLeast"/>
        </w:trPr>
        <w:tc>
          <w:tcPr>
            <w:tcW w:w="959" w:type="dxa"/>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 xml:space="preserve">     </w:t>
            </w:r>
            <w:r>
              <w:rPr>
                <w:rFonts w:eastAsia="Times New Roman" w:cs="Times New Roman" w:ascii="Times New Roman" w:hAnsi="Times New Roman" w:asciiTheme="majorBidi" w:cstheme="majorBidi" w:hAnsiTheme="majorBidi"/>
                <w:bCs/>
                <w:sz w:val="24"/>
                <w:szCs w:val="24"/>
                <w:lang w:eastAsia="uk-UA" w:bidi="he-IL"/>
              </w:rPr>
              <w:t>1</w:t>
            </w:r>
          </w:p>
        </w:tc>
        <w:tc>
          <w:tcPr>
            <w:tcW w:w="510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Обсяг видатків на створення єдиного інформаційно-освітнього простору навчальних закладів</w:t>
            </w:r>
          </w:p>
        </w:tc>
        <w:tc>
          <w:tcPr>
            <w:tcW w:w="1540" w:type="dxa"/>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тис. грн.</w:t>
            </w:r>
          </w:p>
        </w:tc>
        <w:tc>
          <w:tcPr>
            <w:tcW w:w="1852" w:type="dxa"/>
            <w:tcBorders/>
            <w:shd w:fill="auto" w:val="clear"/>
            <w:tcMar>
              <w:left w:w="108" w:type="dxa"/>
            </w:tcMar>
          </w:tcPr>
          <w:p>
            <w:pPr>
              <w:pStyle w:val="Normal"/>
              <w:numPr>
                <w:ilvl w:val="0"/>
                <w:numId w:val="3"/>
              </w:numPr>
              <w:spacing w:lineRule="auto" w:line="240" w:before="0" w:after="0"/>
              <w:jc w:val="right"/>
              <w:rPr>
                <w:rFonts w:ascii="Times New Roman" w:hAnsi="Times New Roman" w:eastAsia="Times New Roman" w:cs="Times New Roman"/>
                <w:bCs/>
                <w:color w:val="000000"/>
                <w:sz w:val="24"/>
                <w:szCs w:val="24"/>
                <w:lang w:bidi="he-IL"/>
              </w:rPr>
            </w:pPr>
            <w:r>
              <w:rPr>
                <w:rFonts w:eastAsia="ＭＳ 明朝" w:cs="Times New Roman" w:eastAsiaTheme="minorEastAsia" w:ascii="Times New Roman" w:hAnsi="Times New Roman"/>
                <w:sz w:val="24"/>
                <w:szCs w:val="24"/>
                <w:lang w:eastAsia="uk-UA"/>
              </w:rPr>
              <w:t>201 255,00</w:t>
            </w:r>
          </w:p>
        </w:tc>
        <w:tc>
          <w:tcPr>
            <w:tcW w:w="1853" w:type="dxa"/>
            <w:tcBorders/>
            <w:shd w:fill="auto" w:val="clear"/>
            <w:tcMar>
              <w:left w:w="108" w:type="dxa"/>
            </w:tcMar>
          </w:tcPr>
          <w:p>
            <w:pPr>
              <w:pStyle w:val="Normal"/>
              <w:numPr>
                <w:ilvl w:val="0"/>
                <w:numId w:val="3"/>
              </w:numPr>
              <w:spacing w:lineRule="auto" w:line="240" w:before="0" w:after="0"/>
              <w:jc w:val="right"/>
              <w:rPr>
                <w:rFonts w:ascii="Times New Roman" w:hAnsi="Times New Roman" w:eastAsia="Times New Roman" w:cs="Times New Roman"/>
                <w:bCs/>
                <w:color w:val="000000"/>
                <w:sz w:val="24"/>
                <w:szCs w:val="24"/>
                <w:lang w:bidi="he-IL"/>
              </w:rPr>
            </w:pPr>
            <w:r>
              <w:rPr>
                <w:rFonts w:eastAsia="ＭＳ 明朝" w:cs="Times New Roman" w:eastAsiaTheme="minorEastAsia" w:ascii="Times New Roman" w:hAnsi="Times New Roman"/>
                <w:sz w:val="24"/>
                <w:szCs w:val="24"/>
                <w:lang w:eastAsia="uk-UA"/>
              </w:rPr>
              <w:t>186 554,20</w:t>
            </w:r>
          </w:p>
        </w:tc>
        <w:tc>
          <w:tcPr>
            <w:tcW w:w="1852" w:type="dxa"/>
            <w:tcBorders/>
            <w:shd w:fill="auto" w:val="clear"/>
            <w:tcMar>
              <w:left w:w="108" w:type="dxa"/>
            </w:tcMar>
          </w:tcPr>
          <w:p>
            <w:pPr>
              <w:pStyle w:val="Normal"/>
              <w:numPr>
                <w:ilvl w:val="0"/>
                <w:numId w:val="3"/>
              </w:numPr>
              <w:spacing w:lineRule="auto" w:line="240" w:before="0" w:after="0"/>
              <w:jc w:val="right"/>
              <w:rPr>
                <w:rFonts w:ascii="Times New Roman" w:hAnsi="Times New Roman" w:eastAsia="Times New Roman" w:cs="Times New Roman"/>
                <w:bCs/>
                <w:color w:val="000000"/>
                <w:sz w:val="24"/>
                <w:szCs w:val="24"/>
                <w:lang w:bidi="he-IL"/>
              </w:rPr>
            </w:pPr>
            <w:r>
              <w:rPr>
                <w:rFonts w:eastAsia="ＭＳ 明朝" w:cs="Times New Roman" w:eastAsiaTheme="minorEastAsia" w:ascii="Times New Roman" w:hAnsi="Times New Roman"/>
                <w:sz w:val="24"/>
                <w:szCs w:val="24"/>
                <w:lang w:eastAsia="uk-UA"/>
              </w:rPr>
              <w:t>179 263,40</w:t>
            </w:r>
          </w:p>
        </w:tc>
        <w:tc>
          <w:tcPr>
            <w:tcW w:w="2101" w:type="dxa"/>
            <w:gridSpan w:val="2"/>
            <w:tcBorders/>
            <w:shd w:fill="auto" w:val="clear"/>
            <w:tcMar>
              <w:left w:w="108" w:type="dxa"/>
            </w:tcMar>
          </w:tcPr>
          <w:p>
            <w:pPr>
              <w:pStyle w:val="Normal"/>
              <w:numPr>
                <w:ilvl w:val="0"/>
                <w:numId w:val="3"/>
              </w:numPr>
              <w:spacing w:lineRule="auto" w:line="240" w:before="0" w:after="0"/>
              <w:jc w:val="right"/>
              <w:rPr>
                <w:rFonts w:ascii="Times New Roman" w:hAnsi="Times New Roman" w:eastAsia="Times New Roman" w:cs="Times New Roman"/>
                <w:bCs/>
                <w:color w:val="000000"/>
                <w:sz w:val="24"/>
                <w:szCs w:val="24"/>
                <w:lang w:bidi="he-IL"/>
              </w:rPr>
            </w:pPr>
            <w:r>
              <w:rPr>
                <w:rFonts w:eastAsia="ＭＳ 明朝" w:cs="Times New Roman" w:eastAsiaTheme="minorEastAsia" w:ascii="Times New Roman" w:hAnsi="Times New Roman"/>
                <w:sz w:val="24"/>
                <w:szCs w:val="24"/>
                <w:lang w:eastAsia="uk-UA"/>
              </w:rPr>
              <w:t>567 072,60</w:t>
            </w:r>
          </w:p>
        </w:tc>
      </w:tr>
      <w:tr>
        <w:trPr>
          <w:trHeight w:val="355" w:hRule="atLeast"/>
        </w:trPr>
        <w:tc>
          <w:tcPr>
            <w:tcW w:w="15259" w:type="dxa"/>
            <w:gridSpan w:val="8"/>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i/>
                <w:i/>
                <w:iCs/>
                <w:sz w:val="24"/>
                <w:szCs w:val="24"/>
                <w:lang w:bidi="he-IL"/>
              </w:rPr>
            </w:pPr>
            <w:r>
              <w:rPr>
                <w:rFonts w:eastAsia="Times New Roman" w:cs="Times New Roman" w:ascii="Times New Roman" w:hAnsi="Times New Roman"/>
                <w:bCs/>
                <w:i/>
                <w:iCs/>
                <w:sz w:val="24"/>
                <w:szCs w:val="24"/>
                <w:lang w:eastAsia="uk-UA" w:bidi="he-IL"/>
              </w:rPr>
              <w:t>Показники продукту</w:t>
            </w:r>
          </w:p>
        </w:tc>
      </w:tr>
      <w:tr>
        <w:trPr>
          <w:trHeight w:val="405" w:hRule="atLeast"/>
        </w:trPr>
        <w:tc>
          <w:tcPr>
            <w:tcW w:w="959"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1</w:t>
            </w:r>
          </w:p>
        </w:tc>
        <w:tc>
          <w:tcPr>
            <w:tcW w:w="5102"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кількість придбаних комп’ютерних комплексів</w:t>
            </w:r>
          </w:p>
        </w:tc>
        <w:tc>
          <w:tcPr>
            <w:tcW w:w="1540"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од.</w:t>
            </w:r>
          </w:p>
        </w:tc>
        <w:tc>
          <w:tcPr>
            <w:tcW w:w="1852" w:type="dxa"/>
            <w:tcBorders/>
            <w:shd w:fill="auto" w:val="clear"/>
            <w:tcMar>
              <w:left w:w="108" w:type="dxa"/>
            </w:tcMar>
          </w:tcPr>
          <w:p>
            <w:pPr>
              <w:pStyle w:val="Normal"/>
              <w:numPr>
                <w:ilvl w:val="0"/>
                <w:numId w:val="3"/>
              </w:numPr>
              <w:spacing w:lineRule="auto" w:line="240" w:before="0" w:after="0"/>
              <w:jc w:val="right"/>
              <w:rPr>
                <w:rFonts w:ascii="Times New Roman" w:hAnsi="Times New Roman" w:eastAsia="Times New Roman" w:cs="Times New Roman"/>
                <w:bCs/>
                <w:color w:val="000000"/>
                <w:sz w:val="24"/>
                <w:szCs w:val="24"/>
                <w:lang w:bidi="he-IL"/>
              </w:rPr>
            </w:pPr>
            <w:r>
              <w:rPr>
                <w:rFonts w:eastAsia="ＭＳ 明朝" w:cs="Times New Roman" w:eastAsiaTheme="minorEastAsia" w:ascii="Times New Roman" w:hAnsi="Times New Roman"/>
                <w:sz w:val="24"/>
                <w:szCs w:val="24"/>
                <w:lang w:eastAsia="uk-UA"/>
              </w:rPr>
              <w:t>3 351</w:t>
            </w:r>
          </w:p>
        </w:tc>
        <w:tc>
          <w:tcPr>
            <w:tcW w:w="1853" w:type="dxa"/>
            <w:tcBorders/>
            <w:shd w:fill="auto" w:val="clear"/>
            <w:tcMar>
              <w:left w:w="108" w:type="dxa"/>
            </w:tcMar>
          </w:tcPr>
          <w:p>
            <w:pPr>
              <w:pStyle w:val="Normal"/>
              <w:numPr>
                <w:ilvl w:val="0"/>
                <w:numId w:val="3"/>
              </w:numPr>
              <w:spacing w:lineRule="auto" w:line="240" w:before="0" w:after="0"/>
              <w:jc w:val="right"/>
              <w:rPr>
                <w:rFonts w:ascii="Times New Roman" w:hAnsi="Times New Roman" w:eastAsia="Times New Roman" w:cs="Times New Roman"/>
                <w:bCs/>
                <w:color w:val="000000"/>
                <w:sz w:val="24"/>
                <w:szCs w:val="24"/>
                <w:lang w:bidi="he-IL"/>
              </w:rPr>
            </w:pPr>
            <w:r>
              <w:rPr>
                <w:rFonts w:eastAsia="ＭＳ 明朝" w:cs="Times New Roman" w:eastAsiaTheme="minorEastAsia" w:ascii="Times New Roman" w:hAnsi="Times New Roman"/>
                <w:sz w:val="24"/>
                <w:szCs w:val="24"/>
                <w:lang w:eastAsia="uk-UA"/>
              </w:rPr>
              <w:t>2 880</w:t>
            </w:r>
          </w:p>
        </w:tc>
        <w:tc>
          <w:tcPr>
            <w:tcW w:w="1852" w:type="dxa"/>
            <w:tcBorders/>
            <w:shd w:fill="auto" w:val="clear"/>
            <w:tcMar>
              <w:left w:w="108" w:type="dxa"/>
            </w:tcMar>
          </w:tcPr>
          <w:p>
            <w:pPr>
              <w:pStyle w:val="Normal"/>
              <w:numPr>
                <w:ilvl w:val="0"/>
                <w:numId w:val="3"/>
              </w:numPr>
              <w:spacing w:lineRule="auto" w:line="240" w:before="0" w:after="0"/>
              <w:jc w:val="right"/>
              <w:rPr>
                <w:rFonts w:ascii="Times New Roman" w:hAnsi="Times New Roman" w:eastAsia="Times New Roman" w:cs="Times New Roman"/>
                <w:bCs/>
                <w:color w:val="000000"/>
                <w:sz w:val="24"/>
                <w:szCs w:val="24"/>
                <w:lang w:bidi="he-IL"/>
              </w:rPr>
            </w:pPr>
            <w:r>
              <w:rPr>
                <w:rFonts w:eastAsia="ＭＳ 明朝" w:cs="Times New Roman" w:eastAsiaTheme="minorEastAsia" w:ascii="Times New Roman" w:hAnsi="Times New Roman"/>
                <w:sz w:val="24"/>
                <w:szCs w:val="24"/>
                <w:lang w:eastAsia="uk-UA"/>
              </w:rPr>
              <w:t>2 627</w:t>
            </w:r>
          </w:p>
        </w:tc>
        <w:tc>
          <w:tcPr>
            <w:tcW w:w="2101" w:type="dxa"/>
            <w:gridSpan w:val="2"/>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 </w:t>
            </w:r>
          </w:p>
        </w:tc>
      </w:tr>
      <w:tr>
        <w:trPr>
          <w:trHeight w:val="405" w:hRule="atLeast"/>
        </w:trPr>
        <w:tc>
          <w:tcPr>
            <w:tcW w:w="15259" w:type="dxa"/>
            <w:gridSpan w:val="8"/>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Показники ефективності</w:t>
            </w:r>
          </w:p>
        </w:tc>
      </w:tr>
      <w:tr>
        <w:trPr>
          <w:trHeight w:val="300" w:hRule="atLeast"/>
        </w:trPr>
        <w:tc>
          <w:tcPr>
            <w:tcW w:w="959" w:type="dxa"/>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1</w:t>
            </w:r>
          </w:p>
        </w:tc>
        <w:tc>
          <w:tcPr>
            <w:tcW w:w="5102" w:type="dxa"/>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 xml:space="preserve">середня вартість одного придбаного </w:t>
            </w:r>
          </w:p>
          <w:p>
            <w:pPr>
              <w:pStyle w:val="Normal"/>
              <w:numPr>
                <w:ilvl w:val="0"/>
                <w:numId w:val="3"/>
              </w:numPr>
              <w:spacing w:lineRule="auto" w:line="240" w:before="0" w:after="0"/>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комп’ютерного комплексу</w:t>
            </w:r>
          </w:p>
        </w:tc>
        <w:tc>
          <w:tcPr>
            <w:tcW w:w="1540"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Times New Roman" w:cs="Times New Roman" w:asciiTheme="majorBidi" w:cstheme="majorBidi" w:hAnsiTheme="majorBidi"/>
                <w:bCs/>
                <w:sz w:val="24"/>
                <w:szCs w:val="24"/>
                <w:lang w:bidi="he-IL"/>
              </w:rPr>
            </w:pPr>
            <w:r>
              <w:rPr>
                <w:rFonts w:eastAsia="Times New Roman" w:cs="Times New Roman" w:ascii="Times New Roman" w:hAnsi="Times New Roman" w:asciiTheme="majorBidi" w:cstheme="majorBidi" w:hAnsiTheme="majorBidi"/>
                <w:bCs/>
                <w:sz w:val="24"/>
                <w:szCs w:val="24"/>
                <w:lang w:eastAsia="uk-UA" w:bidi="he-IL"/>
              </w:rPr>
              <w:t>грн.</w:t>
            </w:r>
          </w:p>
        </w:tc>
        <w:tc>
          <w:tcPr>
            <w:tcW w:w="1852" w:type="dxa"/>
            <w:tcBorders/>
            <w:shd w:fill="auto" w:val="clear"/>
            <w:tcMar>
              <w:left w:w="108" w:type="dxa"/>
            </w:tcMar>
          </w:tcPr>
          <w:p>
            <w:pPr>
              <w:pStyle w:val="Normal"/>
              <w:numPr>
                <w:ilvl w:val="0"/>
                <w:numId w:val="3"/>
              </w:numPr>
              <w:spacing w:lineRule="auto" w:line="240" w:before="0" w:after="0"/>
              <w:jc w:val="right"/>
              <w:rPr>
                <w:rFonts w:ascii="Times New Roman" w:hAnsi="Times New Roman" w:eastAsia="Times New Roman" w:cs="Times New Roman"/>
                <w:bCs/>
                <w:color w:val="000000"/>
                <w:sz w:val="24"/>
                <w:szCs w:val="24"/>
                <w:lang w:bidi="he-IL"/>
              </w:rPr>
            </w:pPr>
            <w:r>
              <w:rPr>
                <w:rFonts w:eastAsia="ＭＳ 明朝" w:cs="Times New Roman" w:eastAsiaTheme="minorEastAsia" w:ascii="Times New Roman" w:hAnsi="Times New Roman"/>
                <w:sz w:val="24"/>
                <w:szCs w:val="24"/>
                <w:lang w:eastAsia="uk-UA"/>
              </w:rPr>
              <w:t>60 058,19</w:t>
            </w:r>
          </w:p>
        </w:tc>
        <w:tc>
          <w:tcPr>
            <w:tcW w:w="1853" w:type="dxa"/>
            <w:tcBorders/>
            <w:shd w:fill="auto" w:val="clear"/>
            <w:tcMar>
              <w:left w:w="108" w:type="dxa"/>
            </w:tcMar>
          </w:tcPr>
          <w:p>
            <w:pPr>
              <w:pStyle w:val="Normal"/>
              <w:numPr>
                <w:ilvl w:val="0"/>
                <w:numId w:val="3"/>
              </w:numPr>
              <w:spacing w:lineRule="auto" w:line="240" w:before="0" w:after="0"/>
              <w:jc w:val="right"/>
              <w:rPr>
                <w:rFonts w:ascii="Times New Roman" w:hAnsi="Times New Roman" w:eastAsia="Times New Roman" w:cs="Times New Roman"/>
                <w:bCs/>
                <w:color w:val="000000"/>
                <w:sz w:val="24"/>
                <w:szCs w:val="24"/>
                <w:lang w:bidi="he-IL"/>
              </w:rPr>
            </w:pPr>
            <w:r>
              <w:rPr>
                <w:rFonts w:eastAsia="ＭＳ 明朝" w:cs="Times New Roman" w:eastAsiaTheme="minorEastAsia" w:ascii="Times New Roman" w:hAnsi="Times New Roman"/>
                <w:sz w:val="24"/>
                <w:szCs w:val="24"/>
                <w:lang w:eastAsia="uk-UA"/>
              </w:rPr>
              <w:t>64 775,76</w:t>
            </w:r>
          </w:p>
        </w:tc>
        <w:tc>
          <w:tcPr>
            <w:tcW w:w="1852" w:type="dxa"/>
            <w:tcBorders/>
            <w:shd w:fill="auto" w:val="clear"/>
            <w:tcMar>
              <w:left w:w="108" w:type="dxa"/>
            </w:tcMar>
          </w:tcPr>
          <w:p>
            <w:pPr>
              <w:pStyle w:val="Normal"/>
              <w:numPr>
                <w:ilvl w:val="0"/>
                <w:numId w:val="3"/>
              </w:numPr>
              <w:spacing w:lineRule="auto" w:line="240" w:before="0" w:after="0"/>
              <w:jc w:val="right"/>
              <w:rPr>
                <w:rFonts w:ascii="Times New Roman" w:hAnsi="Times New Roman" w:eastAsia="Times New Roman" w:cs="Times New Roman"/>
                <w:bCs/>
                <w:color w:val="000000"/>
                <w:sz w:val="24"/>
                <w:szCs w:val="24"/>
                <w:lang w:bidi="he-IL"/>
              </w:rPr>
            </w:pPr>
            <w:r>
              <w:rPr>
                <w:rFonts w:eastAsia="ＭＳ 明朝" w:cs="Times New Roman" w:eastAsiaTheme="minorEastAsia" w:ascii="Times New Roman" w:hAnsi="Times New Roman"/>
                <w:sz w:val="24"/>
                <w:szCs w:val="24"/>
                <w:lang w:eastAsia="uk-UA"/>
              </w:rPr>
              <w:t>68 238,83</w:t>
            </w:r>
          </w:p>
        </w:tc>
        <w:tc>
          <w:tcPr>
            <w:tcW w:w="2101" w:type="dxa"/>
            <w:gridSpan w:val="2"/>
            <w:tcBorders/>
            <w:shd w:fill="auto" w:val="clear"/>
            <w:tcMar>
              <w:left w:w="108" w:type="dxa"/>
            </w:tcMar>
          </w:tcPr>
          <w:p>
            <w:pPr>
              <w:pStyle w:val="Normal"/>
              <w:numPr>
                <w:ilvl w:val="0"/>
                <w:numId w:val="3"/>
              </w:numPr>
              <w:spacing w:lineRule="auto" w:line="240" w:before="0" w:after="0"/>
              <w:rPr>
                <w:rFonts w:ascii="Times New Roman" w:hAnsi="Times New Roman" w:eastAsia="Times New Roman" w:cs="Times New Roman"/>
                <w:bCs/>
                <w:sz w:val="24"/>
                <w:szCs w:val="24"/>
                <w:lang w:bidi="he-IL"/>
              </w:rPr>
            </w:pPr>
            <w:r>
              <w:rPr>
                <w:rFonts w:eastAsia="Times New Roman" w:cs="Times New Roman" w:ascii="Times New Roman" w:hAnsi="Times New Roman"/>
                <w:bCs/>
                <w:sz w:val="24"/>
                <w:szCs w:val="24"/>
                <w:lang w:eastAsia="uk-UA" w:bidi="he-IL"/>
              </w:rPr>
              <w:t> </w:t>
            </w:r>
          </w:p>
        </w:tc>
      </w:tr>
    </w:tbl>
    <w:p>
      <w:pPr>
        <w:pStyle w:val="Normal"/>
        <w:numPr>
          <w:ilvl w:val="0"/>
          <w:numId w:val="3"/>
        </w:numPr>
        <w:jc w:val="center"/>
        <w:rPr>
          <w:rFonts w:ascii="Times New Roman" w:hAnsi="Times New Roman" w:cs="Times New Roman"/>
          <w:b/>
          <w:b/>
          <w:sz w:val="28"/>
          <w:szCs w:val="28"/>
        </w:rPr>
      </w:pPr>
      <w:r>
        <w:rPr>
          <w:rFonts w:cs="Times New Roman" w:ascii="Times New Roman" w:hAnsi="Times New Roman"/>
          <w:b/>
          <w:sz w:val="28"/>
          <w:szCs w:val="28"/>
        </w:rPr>
        <w:t>Підпрограма «Методична, технічна підтримка закладів освіти»</w:t>
      </w:r>
    </w:p>
    <w:p>
      <w:pPr>
        <w:pStyle w:val="Normal"/>
        <w:numPr>
          <w:ilvl w:val="0"/>
          <w:numId w:val="3"/>
        </w:numPr>
        <w:spacing w:before="0" w:after="0"/>
        <w:ind w:firstLine="720"/>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Успішний перехід країни на інноваційний шлях розвитку стає можливим за умови постійного підвищення якості освіти, оновлення її змісту та форм організації навчального процесу; запровадження освітніх інновацій, інформаційних технологій; створення ринку освітніх послуг та його науково-методичного забезпечення; інтеграції вітчизняної освіти до європейського та світового освітнього простору. </w:t>
      </w:r>
    </w:p>
    <w:p>
      <w:pPr>
        <w:pStyle w:val="Normal"/>
        <w:numPr>
          <w:ilvl w:val="0"/>
          <w:numId w:val="3"/>
        </w:numPr>
        <w:spacing w:before="0" w:after="0"/>
        <w:ind w:firstLine="720"/>
        <w:jc w:val="both"/>
        <w:rPr>
          <w:rFonts w:ascii="Times New Roman" w:hAnsi="Times New Roman" w:eastAsia="Calibri" w:cs="Times New Roman"/>
          <w:sz w:val="28"/>
          <w:szCs w:val="28"/>
          <w:lang w:eastAsia="ru-RU"/>
        </w:rPr>
      </w:pPr>
      <w:r>
        <w:rPr>
          <w:rFonts w:eastAsia="Times New Roman" w:cs="Times New Roman" w:ascii="Times New Roman" w:hAnsi="Times New Roman"/>
          <w:sz w:val="28"/>
          <w:szCs w:val="28"/>
          <w:lang w:eastAsia="ru-RU"/>
        </w:rPr>
        <w:t xml:space="preserve">У місті Києві систему післядипломної педагогічної освіти, методичну та технічну підтримку начальних закладів забезпечує </w:t>
      </w:r>
      <w:r>
        <w:rPr>
          <w:rFonts w:eastAsia="Calibri" w:cs="Times New Roman" w:ascii="Times New Roman" w:hAnsi="Times New Roman"/>
          <w:sz w:val="28"/>
          <w:szCs w:val="28"/>
          <w:lang w:eastAsia="ru-RU"/>
        </w:rPr>
        <w:t>Інститут післядипломної педагогічної освіти Київського університету імені Бориса Грінченка (далі ― Інститут). Пріоритетними напрямами його діяльності є:</w:t>
      </w:r>
    </w:p>
    <w:p>
      <w:pPr>
        <w:pStyle w:val="Normal"/>
        <w:numPr>
          <w:ilvl w:val="0"/>
          <w:numId w:val="16"/>
        </w:numPr>
        <w:tabs>
          <w:tab w:val="left" w:pos="284" w:leader="none"/>
          <w:tab w:val="left" w:pos="426" w:leader="none"/>
          <w:tab w:val="left" w:pos="709" w:leader="none"/>
          <w:tab w:val="left" w:pos="8550" w:leader="none"/>
        </w:tabs>
        <w:spacing w:before="0" w:after="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створення інноваційного освітнього середовища для підвищення кваліфікації педагогічних кадрів на засадах компетентнісної освіти;</w:t>
      </w:r>
    </w:p>
    <w:p>
      <w:pPr>
        <w:pStyle w:val="Normal"/>
        <w:numPr>
          <w:ilvl w:val="0"/>
          <w:numId w:val="16"/>
        </w:numPr>
        <w:tabs>
          <w:tab w:val="left" w:pos="284" w:leader="none"/>
          <w:tab w:val="left" w:pos="426" w:leader="none"/>
          <w:tab w:val="left" w:pos="709" w:leader="none"/>
          <w:tab w:val="left" w:pos="8550" w:leader="none"/>
        </w:tabs>
        <w:spacing w:before="0" w:after="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розвиток освітніх потужностей курсів підвищення кваліфікації;</w:t>
      </w:r>
    </w:p>
    <w:p>
      <w:pPr>
        <w:pStyle w:val="Normal"/>
        <w:numPr>
          <w:ilvl w:val="0"/>
          <w:numId w:val="16"/>
        </w:numPr>
        <w:tabs>
          <w:tab w:val="left" w:pos="284" w:leader="none"/>
          <w:tab w:val="left" w:pos="426" w:leader="none"/>
          <w:tab w:val="left" w:pos="709" w:leader="none"/>
        </w:tabs>
        <w:spacing w:before="0" w:after="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розвиток науково-дослідної діяльності кафедр.</w:t>
      </w:r>
    </w:p>
    <w:p>
      <w:pPr>
        <w:pStyle w:val="Normal"/>
        <w:numPr>
          <w:ilvl w:val="0"/>
          <w:numId w:val="3"/>
        </w:numPr>
        <w:tabs>
          <w:tab w:val="left" w:pos="284" w:leader="none"/>
          <w:tab w:val="left" w:pos="426" w:leader="none"/>
          <w:tab w:val="left" w:pos="709" w:leader="none"/>
        </w:tabs>
        <w:spacing w:before="0" w:after="0"/>
        <w:ind w:firstLine="284"/>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ab/>
        <w:tab/>
        <w:t>Реалізація цих напрямів дасть змогу створити організаційні, педагогічні та психологічні умови для забезпечення освітніх потреб регіону, навчальних закладів у цілому та індивідуальних запитів педагогічних працівників.</w:t>
      </w:r>
    </w:p>
    <w:p>
      <w:pPr>
        <w:pStyle w:val="Normal"/>
        <w:numPr>
          <w:ilvl w:val="0"/>
          <w:numId w:val="3"/>
        </w:numPr>
        <w:tabs>
          <w:tab w:val="left" w:pos="284" w:leader="none"/>
          <w:tab w:val="left" w:pos="426" w:leader="none"/>
          <w:tab w:val="left" w:pos="709" w:leader="none"/>
        </w:tabs>
        <w:spacing w:before="0" w:after="0"/>
        <w:ind w:firstLine="284"/>
        <w:jc w:val="both"/>
        <w:rPr>
          <w:rFonts w:ascii="Times New Roman" w:hAnsi="Times New Roman" w:eastAsia="Calibri" w:cs="Times New Roman"/>
          <w:color w:val="000000"/>
          <w:sz w:val="28"/>
          <w:szCs w:val="28"/>
          <w:lang w:eastAsia="ru-RU"/>
        </w:rPr>
      </w:pPr>
      <w:r>
        <w:rPr>
          <w:rFonts w:eastAsia="Times New Roman" w:cs="Times New Roman" w:ascii="Times New Roman" w:hAnsi="Times New Roman"/>
          <w:sz w:val="28"/>
          <w:szCs w:val="28"/>
          <w:lang w:eastAsia="ru-RU"/>
        </w:rPr>
        <w:tab/>
        <w:tab/>
        <w:t xml:space="preserve">Методичну роботу в установах освіти та інших закладах Інститут </w:t>
      </w:r>
      <w:r>
        <w:rPr>
          <w:rFonts w:eastAsia="Calibri" w:cs="Times New Roman" w:ascii="Times New Roman" w:hAnsi="Times New Roman"/>
          <w:color w:val="000000"/>
          <w:sz w:val="28"/>
          <w:szCs w:val="28"/>
          <w:lang w:eastAsia="ru-RU"/>
        </w:rPr>
        <w:t>здійснюватиме шляхом: </w:t>
      </w:r>
    </w:p>
    <w:p>
      <w:pPr>
        <w:pStyle w:val="Normal"/>
        <w:numPr>
          <w:ilvl w:val="1"/>
          <w:numId w:val="14"/>
        </w:numPr>
        <w:tabs>
          <w:tab w:val="left" w:pos="284" w:leader="none"/>
          <w:tab w:val="left" w:pos="426" w:leader="none"/>
        </w:tabs>
        <w:spacing w:before="0" w:after="0"/>
        <w:ind w:left="284" w:hanging="284"/>
        <w:contextualSpacing/>
        <w:jc w:val="both"/>
        <w:rPr>
          <w:rFonts w:ascii="Times New Roman" w:hAnsi="Times New Roman" w:eastAsia="Calibri" w:cs="Times New Roman"/>
          <w:color w:val="000000"/>
          <w:sz w:val="28"/>
          <w:szCs w:val="28"/>
          <w:lang w:eastAsia="ru-RU"/>
        </w:rPr>
      </w:pPr>
      <w:r>
        <w:rPr>
          <w:rFonts w:eastAsia="Calibri" w:cs="Times New Roman" w:ascii="Times New Roman" w:hAnsi="Times New Roman"/>
          <w:color w:val="000000"/>
          <w:sz w:val="28"/>
          <w:szCs w:val="28"/>
          <w:lang w:eastAsia="ru-RU"/>
        </w:rPr>
        <w:t>реалізації статусу Інституту як центру відкритої освіти, що забезпечить розширення інтеграції для надання якісних освітніх послуг на курсах підвищення кваліфікації та в міжкурсові періоди;</w:t>
      </w:r>
    </w:p>
    <w:p>
      <w:pPr>
        <w:pStyle w:val="Normal"/>
        <w:numPr>
          <w:ilvl w:val="1"/>
          <w:numId w:val="14"/>
        </w:numPr>
        <w:tabs>
          <w:tab w:val="left" w:pos="284" w:leader="none"/>
          <w:tab w:val="left" w:pos="426" w:leader="none"/>
        </w:tabs>
        <w:spacing w:before="0" w:after="0"/>
        <w:ind w:left="284" w:hanging="284"/>
        <w:contextualSpacing/>
        <w:jc w:val="both"/>
        <w:rPr>
          <w:rFonts w:ascii="Times New Roman" w:hAnsi="Times New Roman" w:eastAsia="Calibri" w:cs="Times New Roman"/>
          <w:color w:val="000000"/>
          <w:sz w:val="28"/>
          <w:szCs w:val="28"/>
          <w:lang w:eastAsia="ru-RU"/>
        </w:rPr>
      </w:pPr>
      <w:r>
        <w:rPr>
          <w:rFonts w:eastAsia="Calibri" w:cs="Times New Roman" w:ascii="Times New Roman" w:hAnsi="Times New Roman"/>
          <w:color w:val="000000"/>
          <w:sz w:val="28"/>
          <w:szCs w:val="28"/>
          <w:lang w:eastAsia="ru-RU"/>
        </w:rPr>
        <w:t>ліцензування нових інтегрованих навчальних програм, які забезпечать розвиток професійної компетентності слухачів курсів підвищення кваліфікації та збереження високого рівня викладання на компетентнісних засадах;</w:t>
      </w:r>
    </w:p>
    <w:p>
      <w:pPr>
        <w:pStyle w:val="Normal"/>
        <w:numPr>
          <w:ilvl w:val="1"/>
          <w:numId w:val="14"/>
        </w:numPr>
        <w:tabs>
          <w:tab w:val="left" w:pos="284" w:leader="none"/>
          <w:tab w:val="left" w:pos="426" w:leader="none"/>
        </w:tabs>
        <w:spacing w:before="0" w:after="0"/>
        <w:ind w:left="284" w:hanging="284"/>
        <w:contextualSpacing/>
        <w:jc w:val="both"/>
        <w:rPr>
          <w:rFonts w:ascii="Times New Roman" w:hAnsi="Times New Roman" w:eastAsia="Calibri" w:cs="Times New Roman"/>
          <w:color w:val="000000"/>
          <w:sz w:val="28"/>
          <w:szCs w:val="28"/>
          <w:lang w:eastAsia="ru-RU"/>
        </w:rPr>
      </w:pPr>
      <w:r>
        <w:rPr>
          <w:rFonts w:eastAsia="Calibri" w:cs="Times New Roman" w:ascii="Times New Roman" w:hAnsi="Times New Roman"/>
          <w:color w:val="000000"/>
          <w:sz w:val="28"/>
          <w:szCs w:val="28"/>
          <w:lang w:eastAsia="ru-RU"/>
        </w:rPr>
        <w:t>пошук і впровадження в навчальний процес ефективних, інноваційних методів викладання та інформаційних технологій навчання; </w:t>
      </w:r>
    </w:p>
    <w:p>
      <w:pPr>
        <w:pStyle w:val="Normal"/>
        <w:numPr>
          <w:ilvl w:val="1"/>
          <w:numId w:val="14"/>
        </w:numPr>
        <w:tabs>
          <w:tab w:val="left" w:pos="284" w:leader="none"/>
          <w:tab w:val="left" w:pos="426" w:leader="none"/>
        </w:tabs>
        <w:spacing w:before="0" w:after="0"/>
        <w:ind w:left="284" w:hanging="284"/>
        <w:contextualSpacing/>
        <w:jc w:val="both"/>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t>розроблення та впровадження в навчальний процес дистанційних та змішаних курсів навчання для педагогічних працівників і учнів; </w:t>
      </w:r>
    </w:p>
    <w:p>
      <w:pPr>
        <w:pStyle w:val="Normal"/>
        <w:numPr>
          <w:ilvl w:val="1"/>
          <w:numId w:val="14"/>
        </w:numPr>
        <w:tabs>
          <w:tab w:val="left" w:pos="284" w:leader="none"/>
          <w:tab w:val="left" w:pos="426" w:leader="none"/>
        </w:tabs>
        <w:spacing w:before="0" w:after="0"/>
        <w:ind w:left="284" w:hanging="284"/>
        <w:contextualSpacing/>
        <w:jc w:val="both"/>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t>удосконалення інформаційно-освітнього порталу Інституту; </w:t>
      </w:r>
    </w:p>
    <w:p>
      <w:pPr>
        <w:pStyle w:val="Normal"/>
        <w:numPr>
          <w:ilvl w:val="1"/>
          <w:numId w:val="14"/>
        </w:numPr>
        <w:tabs>
          <w:tab w:val="left" w:pos="284" w:leader="none"/>
          <w:tab w:val="left" w:pos="426" w:leader="none"/>
        </w:tabs>
        <w:spacing w:before="0" w:after="0"/>
        <w:ind w:left="284" w:hanging="284"/>
        <w:contextualSpacing/>
        <w:jc w:val="both"/>
        <w:rPr>
          <w:rFonts w:ascii="Times New Roman" w:hAnsi="Times New Roman" w:eastAsia="Calibri" w:cs="Times New Roman"/>
          <w:color w:val="000000"/>
          <w:sz w:val="28"/>
          <w:szCs w:val="28"/>
          <w:lang w:eastAsia="ru-RU"/>
        </w:rPr>
      </w:pPr>
      <w:r>
        <w:rPr>
          <w:rFonts w:eastAsia="Calibri" w:cs="Times New Roman" w:ascii="Times New Roman" w:hAnsi="Times New Roman"/>
          <w:color w:val="000000"/>
          <w:sz w:val="28"/>
          <w:szCs w:val="28"/>
          <w:lang w:eastAsia="ru-RU"/>
        </w:rPr>
        <w:t>видання викладачами Інституту монографій, підручників і навчально-методичних посібників з грифом Міністерства освіти і науки України. </w:t>
      </w:r>
    </w:p>
    <w:p>
      <w:pPr>
        <w:pStyle w:val="Normal"/>
        <w:numPr>
          <w:ilvl w:val="0"/>
          <w:numId w:val="3"/>
        </w:numPr>
        <w:tabs>
          <w:tab w:val="left" w:pos="284" w:leader="none"/>
          <w:tab w:val="left" w:pos="426" w:leader="none"/>
          <w:tab w:val="left" w:pos="709" w:leader="none"/>
        </w:tabs>
        <w:spacing w:before="0" w:after="0"/>
        <w:ind w:firstLine="426"/>
        <w:jc w:val="both"/>
        <w:rPr>
          <w:rFonts w:ascii="Times New Roman" w:hAnsi="Times New Roman" w:eastAsia="Calibri" w:cs="Times New Roman"/>
          <w:color w:val="000000"/>
          <w:sz w:val="28"/>
          <w:szCs w:val="28"/>
          <w:lang w:eastAsia="ru-RU"/>
        </w:rPr>
      </w:pPr>
      <w:r>
        <w:rPr>
          <w:rFonts w:eastAsia="Calibri" w:cs="Times New Roman" w:ascii="Times New Roman" w:hAnsi="Times New Roman"/>
          <w:color w:val="000000"/>
          <w:sz w:val="28"/>
          <w:szCs w:val="28"/>
          <w:lang w:eastAsia="ru-RU"/>
        </w:rPr>
        <w:t>Наукові дослідження Інституту передбачають: </w:t>
      </w:r>
    </w:p>
    <w:p>
      <w:pPr>
        <w:pStyle w:val="Normal"/>
        <w:numPr>
          <w:ilvl w:val="0"/>
          <w:numId w:val="15"/>
        </w:numPr>
        <w:tabs>
          <w:tab w:val="left" w:pos="284" w:leader="none"/>
          <w:tab w:val="left" w:pos="426" w:leader="none"/>
          <w:tab w:val="left" w:pos="709" w:leader="none"/>
        </w:tabs>
        <w:spacing w:before="0" w:after="0"/>
        <w:ind w:left="709" w:hanging="425"/>
        <w:contextualSpacing/>
        <w:jc w:val="both"/>
        <w:rPr>
          <w:rFonts w:ascii="Times New Roman" w:hAnsi="Times New Roman" w:eastAsia="Calibri" w:cs="Times New Roman"/>
          <w:color w:val="000000"/>
          <w:sz w:val="28"/>
          <w:szCs w:val="28"/>
          <w:lang w:eastAsia="ru-RU"/>
        </w:rPr>
      </w:pPr>
      <w:r>
        <w:rPr>
          <w:rFonts w:eastAsia="Calibri" w:cs="Times New Roman" w:ascii="Times New Roman" w:hAnsi="Times New Roman"/>
          <w:color w:val="000000"/>
          <w:sz w:val="28"/>
          <w:szCs w:val="28"/>
          <w:lang w:eastAsia="ru-RU"/>
        </w:rPr>
        <w:t>зосередження науково-дослідних робіт кафедр у напрямах, пов'язаних із сучасними тенденціями розвитку дошкільної, шкільної та позашкільної освіти;</w:t>
      </w:r>
    </w:p>
    <w:p>
      <w:pPr>
        <w:pStyle w:val="Normal"/>
        <w:numPr>
          <w:ilvl w:val="0"/>
          <w:numId w:val="15"/>
        </w:numPr>
        <w:tabs>
          <w:tab w:val="left" w:pos="284" w:leader="none"/>
          <w:tab w:val="left" w:pos="426" w:leader="none"/>
          <w:tab w:val="left" w:pos="709" w:leader="none"/>
        </w:tabs>
        <w:spacing w:before="0" w:after="0"/>
        <w:ind w:left="709" w:hanging="425"/>
        <w:contextualSpacing/>
        <w:jc w:val="both"/>
        <w:rPr>
          <w:rFonts w:ascii="Times New Roman" w:hAnsi="Times New Roman" w:eastAsia="Calibri" w:cs="Times New Roman"/>
          <w:color w:val="000000"/>
          <w:sz w:val="28"/>
          <w:szCs w:val="28"/>
          <w:lang w:eastAsia="ru-RU"/>
        </w:rPr>
      </w:pPr>
      <w:r>
        <w:rPr>
          <w:rFonts w:eastAsia="Calibri" w:cs="Times New Roman" w:ascii="Times New Roman" w:hAnsi="Times New Roman"/>
          <w:color w:val="000000"/>
          <w:sz w:val="28"/>
          <w:szCs w:val="28"/>
          <w:lang w:eastAsia="ru-RU"/>
        </w:rPr>
        <w:t>впровадження результатів наукових досліджень працівників Інституту в навчальний процес закладів столиці; </w:t>
      </w:r>
    </w:p>
    <w:p>
      <w:pPr>
        <w:pStyle w:val="Normal"/>
        <w:numPr>
          <w:ilvl w:val="0"/>
          <w:numId w:val="15"/>
        </w:numPr>
        <w:tabs>
          <w:tab w:val="left" w:pos="284" w:leader="none"/>
          <w:tab w:val="left" w:pos="426" w:leader="none"/>
          <w:tab w:val="left" w:pos="709" w:leader="none"/>
        </w:tabs>
        <w:spacing w:before="0" w:after="0"/>
        <w:ind w:left="709" w:hanging="425"/>
        <w:contextualSpacing/>
        <w:jc w:val="both"/>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t>організація та проведення літніх шкіл щодо розробки наукових педагогічних проектів, актуальних для реалізації освітньої політики столиці;</w:t>
      </w:r>
    </w:p>
    <w:p>
      <w:pPr>
        <w:pStyle w:val="Normal"/>
        <w:numPr>
          <w:ilvl w:val="0"/>
          <w:numId w:val="15"/>
        </w:numPr>
        <w:tabs>
          <w:tab w:val="left" w:pos="284" w:leader="none"/>
          <w:tab w:val="left" w:pos="426" w:leader="none"/>
          <w:tab w:val="left" w:pos="709" w:leader="none"/>
        </w:tabs>
        <w:spacing w:before="0" w:after="0"/>
        <w:ind w:left="709" w:hanging="425"/>
        <w:contextualSpacing/>
        <w:jc w:val="both"/>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t xml:space="preserve">представлення наукових досягнень науково-педагогічних працівників Інституту на національних та міжнародних наукових конференціях; </w:t>
      </w:r>
    </w:p>
    <w:p>
      <w:pPr>
        <w:pStyle w:val="Normal"/>
        <w:numPr>
          <w:ilvl w:val="0"/>
          <w:numId w:val="15"/>
        </w:numPr>
        <w:tabs>
          <w:tab w:val="left" w:pos="284" w:leader="none"/>
          <w:tab w:val="left" w:pos="426" w:leader="none"/>
          <w:tab w:val="left" w:pos="709" w:leader="none"/>
        </w:tabs>
        <w:spacing w:before="0" w:after="0"/>
        <w:ind w:left="709" w:hanging="425"/>
        <w:contextualSpacing/>
        <w:jc w:val="both"/>
        <w:rPr>
          <w:rFonts w:ascii="Times New Roman" w:hAnsi="Times New Roman" w:eastAsia="Calibri" w:cs="Times New Roman"/>
          <w:sz w:val="28"/>
          <w:szCs w:val="28"/>
          <w:lang w:eastAsia="ru-RU"/>
        </w:rPr>
      </w:pPr>
      <w:r>
        <w:rPr>
          <w:rFonts w:eastAsia="Calibri" w:cs="Times New Roman" w:ascii="Times New Roman" w:hAnsi="Times New Roman"/>
          <w:sz w:val="28"/>
          <w:szCs w:val="28"/>
          <w:lang w:eastAsia="ru-RU"/>
        </w:rPr>
        <w:t>видання науково-методичного  електронного  журналу.</w:t>
      </w:r>
    </w:p>
    <w:p>
      <w:pPr>
        <w:sectPr>
          <w:headerReference w:type="default" r:id="rId41"/>
          <w:headerReference w:type="first" r:id="rId42"/>
          <w:type w:val="nextPage"/>
          <w:pgSz w:orient="landscape" w:w="16838" w:h="11906"/>
          <w:pgMar w:left="851" w:right="851" w:header="709" w:top="1134" w:footer="0" w:bottom="1134" w:gutter="0"/>
          <w:pgNumType w:fmt="decimal"/>
          <w:formProt w:val="false"/>
          <w:titlePg/>
          <w:textDirection w:val="lrTb"/>
          <w:docGrid w:type="default" w:linePitch="360" w:charSpace="4294965247"/>
        </w:sectPr>
        <w:pStyle w:val="Normal"/>
        <w:numPr>
          <w:ilvl w:val="0"/>
          <w:numId w:val="3"/>
        </w:numPr>
        <w:tabs>
          <w:tab w:val="left" w:pos="0" w:leader="none"/>
          <w:tab w:val="left" w:pos="284" w:leader="none"/>
          <w:tab w:val="left" w:pos="426" w:leader="none"/>
        </w:tabs>
        <w:spacing w:before="0" w:after="0"/>
        <w:ind w:firstLine="709"/>
        <w:contextualSpacing/>
        <w:jc w:val="both"/>
        <w:rPr>
          <w:rFonts w:ascii="Times New Roman" w:hAnsi="Times New Roman" w:eastAsia="Calibri" w:cs="Times New Roman"/>
          <w:color w:val="000000"/>
          <w:sz w:val="28"/>
          <w:szCs w:val="28"/>
          <w:lang w:eastAsia="ru-RU"/>
        </w:rPr>
      </w:pPr>
      <w:r>
        <w:rPr>
          <w:rFonts w:eastAsia="Calibri" w:cs="Times New Roman" w:ascii="Times New Roman" w:hAnsi="Times New Roman"/>
          <w:color w:val="000000"/>
          <w:sz w:val="28"/>
          <w:szCs w:val="28"/>
          <w:lang w:eastAsia="ru-RU"/>
        </w:rPr>
        <w:t>З метою підвищення ефективності навчання Інститут пропонує форми підвищення кваліфікації: денну (очну), очно-дистанційну, заочну та індивідуальну.</w:t>
      </w:r>
    </w:p>
    <w:p>
      <w:pPr>
        <w:pStyle w:val="2"/>
        <w:numPr>
          <w:ilvl w:val="0"/>
          <w:numId w:val="3"/>
        </w:numPr>
        <w:spacing w:before="120" w:after="120"/>
        <w:jc w:val="center"/>
        <w:rPr>
          <w:rFonts w:ascii="Times New Roman" w:hAnsi="Times New Roman" w:cs="Times New Roman"/>
          <w:b w:val="false"/>
          <w:b w:val="false"/>
          <w:color w:val="00000A"/>
          <w:sz w:val="28"/>
          <w:szCs w:val="28"/>
        </w:rPr>
      </w:pPr>
      <w:bookmarkStart w:id="35" w:name="_Toc431397884"/>
      <w:r>
        <w:rPr>
          <w:rStyle w:val="22"/>
          <w:rFonts w:cs="Times New Roman"/>
          <w:b w:val="false"/>
          <w:color w:val="00000A"/>
          <w:szCs w:val="28"/>
        </w:rPr>
        <w:t>Напрями діяльності, завдання та заходи</w:t>
      </w:r>
      <w:r>
        <w:rPr>
          <w:rFonts w:cs="Times New Roman" w:ascii="Times New Roman" w:hAnsi="Times New Roman"/>
          <w:b w:val="false"/>
          <w:color w:val="00000A"/>
          <w:sz w:val="28"/>
          <w:szCs w:val="28"/>
        </w:rPr>
        <w:t xml:space="preserve"> підпрограми</w:t>
      </w:r>
      <w:bookmarkEnd w:id="35"/>
      <w:r>
        <w:rPr>
          <w:rFonts w:cs="Times New Roman" w:ascii="Times New Roman" w:hAnsi="Times New Roman"/>
          <w:b w:val="false"/>
          <w:color w:val="00000A"/>
          <w:sz w:val="28"/>
          <w:szCs w:val="28"/>
        </w:rPr>
        <w:t xml:space="preserve"> «Методична, технічна підтримка закладів освіти»</w:t>
      </w:r>
    </w:p>
    <w:tbl>
      <w:tblPr>
        <w:tblW w:w="15202"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816"/>
        <w:gridCol w:w="35"/>
        <w:gridCol w:w="2233"/>
        <w:gridCol w:w="2"/>
        <w:gridCol w:w="3010"/>
        <w:gridCol w:w="1"/>
        <w:gridCol w:w="1592"/>
        <w:gridCol w:w="1"/>
        <w:gridCol w:w="1841"/>
        <w:gridCol w:w="2"/>
        <w:gridCol w:w="1699"/>
        <w:gridCol w:w="2"/>
        <w:gridCol w:w="2123"/>
        <w:gridCol w:w="2"/>
        <w:gridCol w:w="1841"/>
      </w:tblGrid>
      <w:tr>
        <w:trPr/>
        <w:tc>
          <w:tcPr>
            <w:tcW w:w="8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226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Назва напряму діяльності (пріоритетні завдання)</w:t>
            </w:r>
          </w:p>
        </w:tc>
        <w:tc>
          <w:tcPr>
            <w:tcW w:w="30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Заходи підпрограми</w:t>
            </w:r>
          </w:p>
        </w:tc>
        <w:tc>
          <w:tcPr>
            <w:tcW w:w="15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Терміни виконання заходу</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Виконавці</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Джерела фінансування</w:t>
            </w:r>
          </w:p>
        </w:tc>
        <w:tc>
          <w:tcPr>
            <w:tcW w:w="212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Орієнтовні обсяги фінансування (вартість), тис. гривень, у тому числі за роками:</w:t>
            </w:r>
          </w:p>
        </w:tc>
        <w:tc>
          <w:tcPr>
            <w:tcW w:w="18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Очікуваний результат</w:t>
            </w:r>
          </w:p>
        </w:tc>
      </w:tr>
      <w:tr>
        <w:trPr/>
        <w:tc>
          <w:tcPr>
            <w:tcW w:w="8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26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30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5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212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18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8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26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rPr>
            </w:pPr>
            <w:r>
              <w:rPr>
                <w:rFonts w:cs="Times New Roman" w:ascii="Times New Roman" w:hAnsi="Times New Roman"/>
              </w:rPr>
              <w:t>Формування позитивного іміджу столичної освіти серед громадськості</w:t>
            </w:r>
          </w:p>
          <w:p>
            <w:pPr>
              <w:pStyle w:val="Normal"/>
              <w:numPr>
                <w:ilvl w:val="0"/>
                <w:numId w:val="3"/>
              </w:numPr>
              <w:spacing w:lineRule="auto" w:line="240" w:before="0" w:after="0"/>
              <w:rPr>
                <w:rFonts w:ascii="Times New Roman" w:hAnsi="Times New Roman" w:cs="Times New Roman"/>
              </w:rPr>
            </w:pPr>
            <w:r>
              <w:rPr>
                <w:rFonts w:cs="Times New Roman" w:ascii="Times New Roman" w:hAnsi="Times New Roman"/>
              </w:rPr>
            </w:r>
          </w:p>
        </w:tc>
        <w:tc>
          <w:tcPr>
            <w:tcW w:w="30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rPr>
              <w:t xml:space="preserve">Проведення загальноміських заходів, спрямованих на поширення передового педагогічного досвіду та кращих досягнень учнівських  і педагогічних колективів </w:t>
            </w:r>
          </w:p>
        </w:tc>
        <w:tc>
          <w:tcPr>
            <w:tcW w:w="15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tc>
        <w:tc>
          <w:tcPr>
            <w:tcW w:w="212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Загальний фонд: 98 360,7 </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                     2016 р. – 30 541,7</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2017 р. –  33 001,6 2018 р. –  34 817,4 </w:t>
            </w:r>
          </w:p>
        </w:tc>
        <w:tc>
          <w:tcPr>
            <w:tcW w:w="18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Підтримка інноваційного розвитку столичної освіти громадськістю, сприяння особистісному самовираженню учнів та вчителів</w:t>
            </w:r>
          </w:p>
        </w:tc>
      </w:tr>
      <w:tr>
        <w:trPr/>
        <w:tc>
          <w:tcPr>
            <w:tcW w:w="8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268"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утримання навчальних закладів комунальної форми власності</w:t>
            </w:r>
          </w:p>
        </w:tc>
        <w:tc>
          <w:tcPr>
            <w:tcW w:w="301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Забезпечити належне утримання навчальних закладів комунальної форми власності:  оплата праці, енергоносіїв, поточних видатків</w:t>
            </w:r>
          </w:p>
        </w:tc>
        <w:tc>
          <w:tcPr>
            <w:tcW w:w="15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 м. Києва, власні надходження</w:t>
            </w:r>
          </w:p>
        </w:tc>
        <w:tc>
          <w:tcPr>
            <w:tcW w:w="212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 271 183,7</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м. Києва</w:t>
            </w:r>
            <w:r>
              <w:rPr/>
              <w:t xml:space="preserve"> </w:t>
            </w:r>
            <w:r>
              <w:rPr>
                <w:rFonts w:cs="Times New Roman" w:ascii="Times New Roman" w:hAnsi="Times New Roman"/>
                <w:sz w:val="24"/>
                <w:szCs w:val="24"/>
              </w:rPr>
              <w:t>Загальний фонд: 259 717,8</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                     2016 р. – 80 752,4 2017 р. –  87 081,8 2018 р. –  91 883,6</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Власні надходження: </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11 465,9</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                     2016 р. – 3 569,6 2017 р. –  3 842,0 2018 р. –  4 054,3</w:t>
            </w:r>
          </w:p>
        </w:tc>
        <w:tc>
          <w:tcPr>
            <w:tcW w:w="18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Збереження оптимальної мережі навчальних закладів комунальної форми власності відповідно до потреб міста Києва</w:t>
            </w:r>
          </w:p>
        </w:tc>
      </w:tr>
      <w:tr>
        <w:trPr/>
        <w:tc>
          <w:tcPr>
            <w:tcW w:w="851"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2235"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підручниками та навчально-методичними комплексами</w:t>
            </w:r>
          </w:p>
        </w:tc>
        <w:tc>
          <w:tcPr>
            <w:tcW w:w="301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Вивчити потребу та сформувати замовлення на забезпечення підручниками учнів та вчителів</w:t>
            </w:r>
          </w:p>
        </w:tc>
        <w:tc>
          <w:tcPr>
            <w:tcW w:w="15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Фінансування не потребує</w:t>
            </w:r>
          </w:p>
        </w:tc>
        <w:tc>
          <w:tcPr>
            <w:tcW w:w="212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bCs/>
                <w:sz w:val="28"/>
                <w:szCs w:val="28"/>
              </w:rPr>
            </w:pPr>
            <w:r>
              <w:rPr>
                <w:rFonts w:cs="Times New Roman" w:ascii="Times New Roman" w:hAnsi="Times New Roman"/>
                <w:bCs/>
                <w:sz w:val="28"/>
                <w:szCs w:val="28"/>
              </w:rPr>
            </w:r>
          </w:p>
        </w:tc>
        <w:tc>
          <w:tcPr>
            <w:tcW w:w="184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навчальних закладів підручниками відповідно до освітніх потреб</w:t>
            </w:r>
          </w:p>
        </w:tc>
      </w:tr>
      <w:tr>
        <w:trPr/>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35"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01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Організувати доставку підручників у навчальні заклади комунальної форми власності</w:t>
            </w:r>
          </w:p>
        </w:tc>
        <w:tc>
          <w:tcPr>
            <w:tcW w:w="15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 м. Києва</w:t>
            </w:r>
          </w:p>
        </w:tc>
        <w:tc>
          <w:tcPr>
            <w:tcW w:w="212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pPr>
            <w:r>
              <w:rPr>
                <w:rFonts w:cs="Times New Roman" w:ascii="Times New Roman" w:hAnsi="Times New Roman"/>
                <w:sz w:val="24"/>
                <w:szCs w:val="24"/>
              </w:rPr>
              <w:t>Усього</w:t>
            </w:r>
            <w:r>
              <w:rPr/>
              <w:t xml:space="preserve"> </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Загальний фонд:                    </w:t>
            </w:r>
          </w:p>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2 738,0 </w:t>
            </w:r>
          </w:p>
          <w:p>
            <w:pPr>
              <w:pStyle w:val="Normal"/>
              <w:numPr>
                <w:ilvl w:val="0"/>
                <w:numId w:val="3"/>
              </w:numPr>
              <w:spacing w:lineRule="auto" w:line="240" w:before="0" w:after="0"/>
              <w:jc w:val="center"/>
              <w:rPr>
                <w:rFonts w:ascii="Times New Roman" w:hAnsi="Times New Roman" w:cs="Times New Roman"/>
                <w:bCs/>
                <w:sz w:val="28"/>
                <w:szCs w:val="28"/>
              </w:rPr>
            </w:pPr>
            <w:r>
              <w:rPr>
                <w:rFonts w:cs="Times New Roman" w:ascii="Times New Roman" w:hAnsi="Times New Roman"/>
                <w:sz w:val="24"/>
                <w:szCs w:val="24"/>
              </w:rPr>
              <w:t>у тому числі:                     2016 р. – 850,0</w:t>
              <w:br/>
              <w:t>2017 р. – 918,0</w:t>
              <w:br/>
              <w:t>2018 р. – 970,0</w:t>
            </w:r>
          </w:p>
        </w:tc>
        <w:tc>
          <w:tcPr>
            <w:tcW w:w="184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35"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01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Провести структурну оптимізацію комунального підприємства «Центр науково-освітніх інновацій та моніторингу» в комунальне підприємство  «Освітній центр міста Києва»</w:t>
            </w:r>
          </w:p>
        </w:tc>
        <w:tc>
          <w:tcPr>
            <w:tcW w:w="15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Фінансування не потребує</w:t>
            </w:r>
          </w:p>
        </w:tc>
        <w:tc>
          <w:tcPr>
            <w:tcW w:w="212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t>Оптимізація  роботи комунальних підприємств міста Києва у сфері освіти</w:t>
            </w:r>
          </w:p>
        </w:tc>
      </w:tr>
      <w:tr>
        <w:trPr/>
        <w:tc>
          <w:tcPr>
            <w:tcW w:w="851"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35"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01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lang w:val="ru-RU"/>
              </w:rPr>
            </w:pPr>
            <w:bookmarkStart w:id="36" w:name="OLE_LINK2"/>
            <w:bookmarkStart w:id="37" w:name="OLE_LINK1"/>
            <w:bookmarkEnd w:id="36"/>
            <w:bookmarkEnd w:id="37"/>
            <w:r>
              <w:rPr>
                <w:rFonts w:cs="Times New Roman" w:ascii="Times New Roman" w:hAnsi="Times New Roman"/>
                <w:sz w:val="28"/>
                <w:szCs w:val="28"/>
              </w:rPr>
              <w:t xml:space="preserve">УСЬОГО: </w:t>
            </w:r>
          </w:p>
        </w:tc>
        <w:tc>
          <w:tcPr>
            <w:tcW w:w="15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12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372 282,4</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 xml:space="preserve">у т.ч.  </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Бюджет м. Києва  загальний фонд:  </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Усього:</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360 816,5</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2016р. – 112 144,1</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2017р. – 121</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001,4   2018р. – 127</w:t>
            </w:r>
            <w:r>
              <w:rPr>
                <w:rFonts w:cs="Times New Roman" w:ascii="Times New Roman" w:hAnsi="Times New Roman"/>
                <w:color w:val="000000"/>
                <w:sz w:val="24"/>
                <w:szCs w:val="24"/>
                <w:lang w:val="ru-RU"/>
              </w:rPr>
              <w:t xml:space="preserve"> </w:t>
            </w:r>
            <w:r>
              <w:rPr>
                <w:rFonts w:cs="Times New Roman" w:ascii="Times New Roman" w:hAnsi="Times New Roman"/>
                <w:color w:val="000000"/>
                <w:sz w:val="24"/>
                <w:szCs w:val="24"/>
              </w:rPr>
              <w:t xml:space="preserve">671,0 </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Normal"/>
              <w:numPr>
                <w:ilvl w:val="0"/>
                <w:numId w:val="3"/>
              </w:numPr>
              <w:spacing w:lineRule="auto" w:line="240" w:before="0" w:after="0"/>
              <w:rPr>
                <w:rFonts w:ascii="Times New Roman" w:hAnsi="Times New Roman" w:cs="Times New Roman"/>
                <w:color w:val="000000"/>
                <w:sz w:val="8"/>
                <w:szCs w:val="8"/>
              </w:rPr>
            </w:pPr>
            <w:r>
              <w:rPr>
                <w:rFonts w:cs="Times New Roman" w:ascii="Times New Roman" w:hAnsi="Times New Roman"/>
                <w:color w:val="000000"/>
                <w:sz w:val="8"/>
                <w:szCs w:val="8"/>
              </w:rPr>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 xml:space="preserve">Власні надходження </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Усього:11 465,9</w:t>
            </w:r>
          </w:p>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у тому числі:</w:t>
            </w:r>
          </w:p>
          <w:p>
            <w:pPr>
              <w:pStyle w:val="Normal"/>
              <w:numPr>
                <w:ilvl w:val="0"/>
                <w:numId w:val="3"/>
              </w:numPr>
              <w:spacing w:lineRule="auto" w:line="240" w:before="0" w:after="0"/>
              <w:jc w:val="center"/>
              <w:rPr>
                <w:rFonts w:ascii="Times New Roman" w:hAnsi="Times New Roman" w:cs="Times New Roman"/>
                <w:bCs/>
                <w:sz w:val="28"/>
                <w:szCs w:val="28"/>
                <w:lang w:val="en-US"/>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2016р. – 3 569,6  2017р.  – 3 842,0   2018р.  – 4 054,3</w:t>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85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3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301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8"/>
                <w:szCs w:val="28"/>
              </w:rPr>
            </w:pPr>
            <w:r>
              <w:rPr>
                <w:rFonts w:cs="Times New Roman" w:ascii="Times New Roman" w:hAnsi="Times New Roman"/>
                <w:sz w:val="28"/>
                <w:szCs w:val="28"/>
              </w:rPr>
            </w:r>
          </w:p>
        </w:tc>
        <w:tc>
          <w:tcPr>
            <w:tcW w:w="159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12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r>
          </w:p>
        </w:tc>
        <w:tc>
          <w:tcPr>
            <w:tcW w:w="184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numPr>
                <w:ilvl w:val="0"/>
                <w:numId w:val="3"/>
              </w:numPr>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bl>
    <w:p>
      <w:pPr>
        <w:pStyle w:val="Normal"/>
        <w:numPr>
          <w:ilvl w:val="0"/>
          <w:numId w:val="3"/>
        </w:numPr>
        <w:rPr>
          <w:rFonts w:ascii="Times New Roman" w:hAnsi="Times New Roman" w:cs="Times New Roman"/>
          <w:sz w:val="28"/>
          <w:szCs w:val="28"/>
        </w:rPr>
      </w:pPr>
      <w:r>
        <w:rPr>
          <w:rFonts w:cs="Times New Roman" w:ascii="Times New Roman" w:hAnsi="Times New Roman"/>
          <w:sz w:val="28"/>
          <w:szCs w:val="28"/>
        </w:rPr>
      </w:r>
      <w:r>
        <w:br w:type="page"/>
      </w:r>
    </w:p>
    <w:p>
      <w:pPr>
        <w:pStyle w:val="2"/>
        <w:numPr>
          <w:ilvl w:val="0"/>
          <w:numId w:val="3"/>
        </w:numPr>
        <w:shd w:val="clear" w:color="auto" w:fill="FFFFFF" w:themeFill="background1"/>
        <w:spacing w:before="120" w:after="120"/>
        <w:jc w:val="center"/>
        <w:rPr>
          <w:rFonts w:ascii="Times New Roman" w:hAnsi="Times New Roman" w:cs="Times New Roman"/>
          <w:b w:val="false"/>
          <w:b w:val="false"/>
          <w:color w:val="00000A"/>
          <w:sz w:val="28"/>
          <w:szCs w:val="28"/>
        </w:rPr>
      </w:pPr>
      <w:bookmarkStart w:id="38" w:name="_Toc431397885"/>
      <w:r>
        <w:rPr>
          <w:rStyle w:val="22"/>
          <w:rFonts w:cs="Times New Roman"/>
          <w:b w:val="false"/>
          <w:color w:val="00000A"/>
          <w:szCs w:val="28"/>
        </w:rPr>
        <w:t>Очікувані показники виконання підпрограми</w:t>
      </w:r>
      <w:bookmarkEnd w:id="38"/>
      <w:r>
        <w:rPr>
          <w:rFonts w:cs="Times New Roman" w:ascii="Times New Roman" w:hAnsi="Times New Roman"/>
          <w:b w:val="false"/>
          <w:color w:val="00000A"/>
          <w:sz w:val="28"/>
          <w:szCs w:val="28"/>
        </w:rPr>
        <w:t xml:space="preserve"> «Методична, технічна підтримка закладів освіти»</w:t>
      </w:r>
    </w:p>
    <w:tbl>
      <w:tblPr>
        <w:tblStyle w:val="a9"/>
        <w:tblW w:w="15298" w:type="dxa"/>
        <w:jc w:val="left"/>
        <w:tblInd w:w="0" w:type="dxa"/>
        <w:tblCellMar>
          <w:top w:w="0" w:type="dxa"/>
          <w:left w:w="108" w:type="dxa"/>
          <w:bottom w:w="0" w:type="dxa"/>
          <w:right w:w="108" w:type="dxa"/>
        </w:tblCellMar>
        <w:tblLook w:firstRow="1" w:noVBand="1" w:lastRow="0" w:firstColumn="1" w:lastColumn="0" w:noHBand="0" w:val="04a0"/>
      </w:tblPr>
      <w:tblGrid>
        <w:gridCol w:w="679"/>
        <w:gridCol w:w="4814"/>
        <w:gridCol w:w="1563"/>
        <w:gridCol w:w="1940"/>
        <w:gridCol w:w="2081"/>
        <w:gridCol w:w="2019"/>
        <w:gridCol w:w="2201"/>
      </w:tblGrid>
      <w:tr>
        <w:trPr>
          <w:trHeight w:val="510" w:hRule="atLeast"/>
        </w:trPr>
        <w:tc>
          <w:tcPr>
            <w:tcW w:w="679" w:type="dxa"/>
            <w:vMerge w:val="restart"/>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w:t>
            </w:r>
          </w:p>
        </w:tc>
        <w:tc>
          <w:tcPr>
            <w:tcW w:w="4814" w:type="dxa"/>
            <w:vMerge w:val="restart"/>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Обсяг коштів на виконання підпрограми</w:t>
            </w:r>
          </w:p>
        </w:tc>
        <w:tc>
          <w:tcPr>
            <w:tcW w:w="1563" w:type="dxa"/>
            <w:vMerge w:val="restart"/>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Одиниці вимірювання</w:t>
            </w:r>
          </w:p>
        </w:tc>
        <w:tc>
          <w:tcPr>
            <w:tcW w:w="6040" w:type="dxa"/>
            <w:gridSpan w:val="3"/>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Етапи виконання підпрограми за роками</w:t>
            </w:r>
          </w:p>
        </w:tc>
        <w:tc>
          <w:tcPr>
            <w:tcW w:w="2201" w:type="dxa"/>
            <w:vMerge w:val="restart"/>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Усього витрат на виконання підпрограми</w:t>
            </w:r>
          </w:p>
        </w:tc>
      </w:tr>
      <w:tr>
        <w:trPr>
          <w:trHeight w:val="400" w:hRule="atLeast"/>
        </w:trPr>
        <w:tc>
          <w:tcPr>
            <w:tcW w:w="679" w:type="dxa"/>
            <w:vMerge w:val="continue"/>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c>
          <w:tcPr>
            <w:tcW w:w="4814" w:type="dxa"/>
            <w:vMerge w:val="continue"/>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c>
          <w:tcPr>
            <w:tcW w:w="1563" w:type="dxa"/>
            <w:vMerge w:val="continue"/>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c>
          <w:tcPr>
            <w:tcW w:w="1940"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2016</w:t>
            </w:r>
          </w:p>
        </w:tc>
        <w:tc>
          <w:tcPr>
            <w:tcW w:w="2081"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2017</w:t>
            </w:r>
          </w:p>
        </w:tc>
        <w:tc>
          <w:tcPr>
            <w:tcW w:w="2019"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2018</w:t>
            </w:r>
          </w:p>
        </w:tc>
        <w:tc>
          <w:tcPr>
            <w:tcW w:w="2201" w:type="dxa"/>
            <w:vMerge w:val="continue"/>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r>
      <w:tr>
        <w:trPr>
          <w:trHeight w:val="504" w:hRule="atLeast"/>
        </w:trPr>
        <w:tc>
          <w:tcPr>
            <w:tcW w:w="15297" w:type="dxa"/>
            <w:gridSpan w:val="7"/>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Методична робота, інші освітні заклади</w:t>
            </w:r>
          </w:p>
        </w:tc>
      </w:tr>
      <w:tr>
        <w:trPr>
          <w:trHeight w:val="510" w:hRule="atLeast"/>
        </w:trPr>
        <w:tc>
          <w:tcPr>
            <w:tcW w:w="679"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c>
          <w:tcPr>
            <w:tcW w:w="4814"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Бюджет м. Києва</w:t>
            </w:r>
          </w:p>
        </w:tc>
        <w:tc>
          <w:tcPr>
            <w:tcW w:w="1563"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тис. грн.</w:t>
            </w:r>
          </w:p>
        </w:tc>
        <w:tc>
          <w:tcPr>
            <w:tcW w:w="1940"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115 713,7</w:t>
            </w:r>
          </w:p>
        </w:tc>
        <w:tc>
          <w:tcPr>
            <w:tcW w:w="2081"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124 843,4</w:t>
            </w:r>
          </w:p>
        </w:tc>
        <w:tc>
          <w:tcPr>
            <w:tcW w:w="2019"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131 725,3</w:t>
            </w:r>
          </w:p>
        </w:tc>
        <w:tc>
          <w:tcPr>
            <w:tcW w:w="2201"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372 282,4</w:t>
            </w:r>
          </w:p>
        </w:tc>
      </w:tr>
      <w:tr>
        <w:trPr>
          <w:trHeight w:val="420" w:hRule="atLeast"/>
        </w:trPr>
        <w:tc>
          <w:tcPr>
            <w:tcW w:w="15297" w:type="dxa"/>
            <w:gridSpan w:val="7"/>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asciiTheme="majorBidi" w:cstheme="majorBidi" w:eastAsiaTheme="majorEastAsia" w:hAnsiTheme="majorBidi"/>
                <w:bCs/>
                <w:i/>
                <w:i/>
                <w:sz w:val="24"/>
                <w:szCs w:val="24"/>
              </w:rPr>
            </w:pPr>
            <w:r>
              <w:rPr>
                <w:rFonts w:eastAsia="ＭＳ ゴシック" w:cs="Times New Roman" w:ascii="Times New Roman" w:hAnsi="Times New Roman" w:asciiTheme="majorBidi" w:cstheme="majorBidi" w:eastAsiaTheme="majorEastAsia" w:hAnsiTheme="majorBidi"/>
                <w:bCs/>
                <w:i/>
                <w:sz w:val="24"/>
                <w:szCs w:val="24"/>
                <w:lang w:eastAsia="uk-UA"/>
              </w:rPr>
              <w:t>Показник затрат</w:t>
            </w:r>
          </w:p>
        </w:tc>
      </w:tr>
      <w:tr>
        <w:trPr>
          <w:trHeight w:val="653" w:hRule="atLeast"/>
        </w:trPr>
        <w:tc>
          <w:tcPr>
            <w:tcW w:w="679"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1</w:t>
            </w:r>
          </w:p>
        </w:tc>
        <w:tc>
          <w:tcPr>
            <w:tcW w:w="4814"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Забезпечення належної методичної роботи в навчальних закладах комунальної форми власності</w:t>
            </w:r>
          </w:p>
        </w:tc>
        <w:tc>
          <w:tcPr>
            <w:tcW w:w="1563"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тис. грн.</w:t>
            </w:r>
          </w:p>
        </w:tc>
        <w:tc>
          <w:tcPr>
            <w:tcW w:w="1940"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115 713,7</w:t>
            </w:r>
          </w:p>
        </w:tc>
        <w:tc>
          <w:tcPr>
            <w:tcW w:w="2081"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124 843,4</w:t>
            </w:r>
          </w:p>
        </w:tc>
        <w:tc>
          <w:tcPr>
            <w:tcW w:w="2019"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131 725,3</w:t>
            </w:r>
          </w:p>
        </w:tc>
        <w:tc>
          <w:tcPr>
            <w:tcW w:w="2201"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372 282,4</w:t>
            </w:r>
          </w:p>
        </w:tc>
      </w:tr>
      <w:tr>
        <w:trPr>
          <w:trHeight w:val="423" w:hRule="atLeast"/>
        </w:trPr>
        <w:tc>
          <w:tcPr>
            <w:tcW w:w="679"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2</w:t>
            </w:r>
          </w:p>
        </w:tc>
        <w:tc>
          <w:tcPr>
            <w:tcW w:w="4814"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Кількість закладів</w:t>
            </w:r>
          </w:p>
        </w:tc>
        <w:tc>
          <w:tcPr>
            <w:tcW w:w="1563"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40"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53,0</w:t>
            </w:r>
          </w:p>
        </w:tc>
        <w:tc>
          <w:tcPr>
            <w:tcW w:w="2081"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53,0</w:t>
            </w:r>
          </w:p>
        </w:tc>
        <w:tc>
          <w:tcPr>
            <w:tcW w:w="2019"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53,0</w:t>
            </w:r>
          </w:p>
        </w:tc>
        <w:tc>
          <w:tcPr>
            <w:tcW w:w="2201"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795" w:hRule="atLeast"/>
        </w:trPr>
        <w:tc>
          <w:tcPr>
            <w:tcW w:w="679"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3</w:t>
            </w:r>
          </w:p>
        </w:tc>
        <w:tc>
          <w:tcPr>
            <w:tcW w:w="4814"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Середньорічна кількість штатних одиниць адмінперсоналу (за умовами оплати віднесених до педагогічного персоналу)</w:t>
            </w:r>
          </w:p>
        </w:tc>
        <w:tc>
          <w:tcPr>
            <w:tcW w:w="1563"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40"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422,59</w:t>
            </w:r>
          </w:p>
        </w:tc>
        <w:tc>
          <w:tcPr>
            <w:tcW w:w="2081"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422,59</w:t>
            </w:r>
          </w:p>
        </w:tc>
        <w:tc>
          <w:tcPr>
            <w:tcW w:w="2019"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422,59</w:t>
            </w:r>
          </w:p>
        </w:tc>
        <w:tc>
          <w:tcPr>
            <w:tcW w:w="2201"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600" w:hRule="atLeast"/>
        </w:trPr>
        <w:tc>
          <w:tcPr>
            <w:tcW w:w="679"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4</w:t>
            </w:r>
          </w:p>
        </w:tc>
        <w:tc>
          <w:tcPr>
            <w:tcW w:w="4814"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Середньорічна кількість штатних одиниць спеціалістів</w:t>
            </w:r>
          </w:p>
        </w:tc>
        <w:tc>
          <w:tcPr>
            <w:tcW w:w="1563"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40"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1011,34</w:t>
            </w:r>
          </w:p>
        </w:tc>
        <w:tc>
          <w:tcPr>
            <w:tcW w:w="2081"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1011,34</w:t>
            </w:r>
          </w:p>
        </w:tc>
        <w:tc>
          <w:tcPr>
            <w:tcW w:w="2019"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1011,34</w:t>
            </w:r>
          </w:p>
        </w:tc>
        <w:tc>
          <w:tcPr>
            <w:tcW w:w="2201"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600" w:hRule="atLeast"/>
        </w:trPr>
        <w:tc>
          <w:tcPr>
            <w:tcW w:w="679"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5</w:t>
            </w:r>
          </w:p>
        </w:tc>
        <w:tc>
          <w:tcPr>
            <w:tcW w:w="4814"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Середньорічна кількість штатних одиниць робітників</w:t>
            </w:r>
          </w:p>
        </w:tc>
        <w:tc>
          <w:tcPr>
            <w:tcW w:w="1563"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40"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196,66</w:t>
            </w:r>
          </w:p>
        </w:tc>
        <w:tc>
          <w:tcPr>
            <w:tcW w:w="2081"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196,66</w:t>
            </w:r>
          </w:p>
        </w:tc>
        <w:tc>
          <w:tcPr>
            <w:tcW w:w="2019"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196,66</w:t>
            </w:r>
          </w:p>
        </w:tc>
        <w:tc>
          <w:tcPr>
            <w:tcW w:w="2201"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600" w:hRule="atLeast"/>
        </w:trPr>
        <w:tc>
          <w:tcPr>
            <w:tcW w:w="679"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6</w:t>
            </w:r>
          </w:p>
        </w:tc>
        <w:tc>
          <w:tcPr>
            <w:tcW w:w="4814"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 xml:space="preserve">Усього середньорічна кількість ставок </w:t>
            </w:r>
          </w:p>
        </w:tc>
        <w:tc>
          <w:tcPr>
            <w:tcW w:w="1563"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40"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1 630,59</w:t>
            </w:r>
          </w:p>
        </w:tc>
        <w:tc>
          <w:tcPr>
            <w:tcW w:w="2081"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1 630,59</w:t>
            </w:r>
          </w:p>
        </w:tc>
        <w:tc>
          <w:tcPr>
            <w:tcW w:w="2019" w:type="dx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1 630,59</w:t>
            </w:r>
          </w:p>
        </w:tc>
        <w:tc>
          <w:tcPr>
            <w:tcW w:w="2201"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明朝" w:cs="Times New Roman" w:eastAsiaTheme="minorEastAsia"/>
                <w:sz w:val="24"/>
                <w:szCs w:val="24"/>
                <w:lang w:eastAsia="uk-UA"/>
              </w:rPr>
            </w:pPr>
            <w:r>
              <w:rPr>
                <w:rFonts w:eastAsia="ＭＳ 明朝" w:cs="Times New Roman" w:eastAsiaTheme="minorEastAsia" w:ascii="Times New Roman" w:hAnsi="Times New Roman"/>
                <w:sz w:val="24"/>
                <w:szCs w:val="24"/>
                <w:lang w:eastAsia="uk-UA"/>
              </w:rPr>
            </w:r>
          </w:p>
        </w:tc>
      </w:tr>
      <w:tr>
        <w:trPr>
          <w:trHeight w:val="510" w:hRule="atLeast"/>
        </w:trPr>
        <w:tc>
          <w:tcPr>
            <w:tcW w:w="15297" w:type="dxa"/>
            <w:gridSpan w:val="7"/>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asciiTheme="majorBidi" w:cstheme="majorBidi" w:eastAsiaTheme="majorEastAsia" w:hAnsiTheme="majorBidi"/>
                <w:bCs/>
                <w:i/>
                <w:i/>
                <w:sz w:val="24"/>
                <w:szCs w:val="24"/>
              </w:rPr>
            </w:pPr>
            <w:r>
              <w:rPr>
                <w:rFonts w:eastAsia="ＭＳ ゴシック" w:cs="Times New Roman" w:ascii="Times New Roman" w:hAnsi="Times New Roman" w:asciiTheme="majorBidi" w:cstheme="majorBidi" w:eastAsiaTheme="majorEastAsia" w:hAnsiTheme="majorBidi"/>
                <w:bCs/>
                <w:i/>
                <w:sz w:val="24"/>
                <w:szCs w:val="24"/>
                <w:lang w:eastAsia="uk-UA"/>
              </w:rPr>
              <w:t>Показники продукту</w:t>
            </w:r>
          </w:p>
        </w:tc>
      </w:tr>
      <w:tr>
        <w:trPr>
          <w:trHeight w:val="510" w:hRule="atLeast"/>
        </w:trPr>
        <w:tc>
          <w:tcPr>
            <w:tcW w:w="679"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1</w:t>
            </w:r>
          </w:p>
        </w:tc>
        <w:tc>
          <w:tcPr>
            <w:tcW w:w="4814"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Кількість освітніх закладів, що обслуговуються</w:t>
            </w:r>
          </w:p>
        </w:tc>
        <w:tc>
          <w:tcPr>
            <w:tcW w:w="1563"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40"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ゴシック" w:cs="Times New Roman" w:asciiTheme="majorBidi" w:cstheme="majorBidi" w:eastAsiaTheme="majorEastAsia" w:hAnsiTheme="majorBidi"/>
                <w:bCs/>
                <w:sz w:val="24"/>
                <w:szCs w:val="24"/>
              </w:rPr>
            </w:pPr>
            <w:r>
              <w:rPr>
                <w:rFonts w:eastAsia="ＭＳ 明朝" w:cs="Times New Roman" w:ascii="Times New Roman" w:hAnsi="Times New Roman" w:asciiTheme="majorBidi" w:cstheme="majorBidi" w:hAnsiTheme="majorBidi"/>
                <w:sz w:val="24"/>
                <w:szCs w:val="24"/>
                <w:lang w:eastAsia="uk-UA"/>
              </w:rPr>
              <w:t>1 000</w:t>
            </w:r>
          </w:p>
        </w:tc>
        <w:tc>
          <w:tcPr>
            <w:tcW w:w="2081"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ゴシック" w:cs="Times New Roman" w:asciiTheme="majorBidi" w:cstheme="majorBidi" w:eastAsiaTheme="majorEastAsia" w:hAnsiTheme="majorBidi"/>
                <w:bCs/>
                <w:sz w:val="24"/>
                <w:szCs w:val="24"/>
              </w:rPr>
            </w:pPr>
            <w:r>
              <w:rPr>
                <w:rFonts w:eastAsia="ＭＳ 明朝" w:cs="Times New Roman" w:ascii="Times New Roman" w:hAnsi="Times New Roman" w:asciiTheme="majorBidi" w:cstheme="majorBidi" w:hAnsiTheme="majorBidi"/>
                <w:sz w:val="24"/>
                <w:szCs w:val="24"/>
                <w:lang w:eastAsia="uk-UA"/>
              </w:rPr>
              <w:t>1 006</w:t>
            </w:r>
          </w:p>
        </w:tc>
        <w:tc>
          <w:tcPr>
            <w:tcW w:w="2019" w:type="dx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ゴシック" w:cs="Times New Roman" w:asciiTheme="majorBidi" w:cstheme="majorBidi" w:eastAsiaTheme="majorEastAsia" w:hAnsiTheme="majorBidi"/>
                <w:bCs/>
                <w:sz w:val="24"/>
                <w:szCs w:val="24"/>
              </w:rPr>
            </w:pPr>
            <w:r>
              <w:rPr>
                <w:rFonts w:eastAsia="ＭＳ 明朝" w:cs="Times New Roman" w:ascii="Times New Roman" w:hAnsi="Times New Roman" w:asciiTheme="majorBidi" w:cstheme="majorBidi" w:hAnsiTheme="majorBidi"/>
                <w:sz w:val="24"/>
                <w:szCs w:val="24"/>
                <w:lang w:eastAsia="uk-UA"/>
              </w:rPr>
              <w:t>1 013</w:t>
            </w:r>
          </w:p>
        </w:tc>
        <w:tc>
          <w:tcPr>
            <w:tcW w:w="2201" w:type="dx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r>
      <w:tr>
        <w:trPr>
          <w:trHeight w:val="324" w:hRule="atLeast"/>
        </w:trPr>
        <w:tc>
          <w:tcPr>
            <w:tcW w:w="679" w:type="dxa"/>
            <w:tcBorders>
              <w:bottom w:val="single" w:sz="4" w:space="0" w:color="00000A"/>
              <w:insideH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2</w:t>
            </w:r>
          </w:p>
        </w:tc>
        <w:tc>
          <w:tcPr>
            <w:tcW w:w="4814" w:type="dxa"/>
            <w:tcBorders>
              <w:bottom w:val="single" w:sz="4" w:space="0" w:color="00000A"/>
              <w:insideH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Кількість заходів</w:t>
            </w:r>
          </w:p>
        </w:tc>
        <w:tc>
          <w:tcPr>
            <w:tcW w:w="1563" w:type="dxa"/>
            <w:tcBorders>
              <w:bottom w:val="single" w:sz="4" w:space="0" w:color="00000A"/>
              <w:insideH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ゴシック" w:cs="Times New Roman" w:ascii="Times New Roman" w:hAnsi="Times New Roman" w:eastAsiaTheme="majorEastAsia"/>
                <w:bCs/>
                <w:sz w:val="24"/>
                <w:szCs w:val="24"/>
                <w:lang w:eastAsia="uk-UA"/>
              </w:rPr>
              <w:t>од.</w:t>
            </w:r>
          </w:p>
        </w:tc>
        <w:tc>
          <w:tcPr>
            <w:tcW w:w="1940" w:type="dxa"/>
            <w:tcBorders>
              <w:bottom w:val="single" w:sz="4" w:space="0" w:color="00000A"/>
              <w:insideH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ゴシック" w:cs="Times New Roman" w:asciiTheme="majorBidi" w:cstheme="majorBidi" w:eastAsiaTheme="majorEastAsia" w:hAnsiTheme="majorBidi"/>
                <w:bCs/>
                <w:sz w:val="24"/>
                <w:szCs w:val="24"/>
              </w:rPr>
            </w:pPr>
            <w:r>
              <w:rPr>
                <w:rFonts w:eastAsia="ＭＳ 明朝" w:cs="Times New Roman" w:ascii="Times New Roman" w:hAnsi="Times New Roman" w:asciiTheme="majorBidi" w:cstheme="majorBidi" w:hAnsiTheme="majorBidi"/>
                <w:sz w:val="24"/>
                <w:szCs w:val="24"/>
                <w:lang w:eastAsia="uk-UA"/>
              </w:rPr>
              <w:t>6 402</w:t>
            </w:r>
          </w:p>
        </w:tc>
        <w:tc>
          <w:tcPr>
            <w:tcW w:w="2081" w:type="dxa"/>
            <w:tcBorders>
              <w:bottom w:val="single" w:sz="4" w:space="0" w:color="00000A"/>
              <w:insideH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ゴシック" w:cs="Times New Roman" w:asciiTheme="majorBidi" w:cstheme="majorBidi" w:eastAsiaTheme="majorEastAsia" w:hAnsiTheme="majorBidi"/>
                <w:bCs/>
                <w:sz w:val="24"/>
                <w:szCs w:val="24"/>
              </w:rPr>
            </w:pPr>
            <w:r>
              <w:rPr>
                <w:rFonts w:eastAsia="ＭＳ 明朝" w:cs="Times New Roman" w:ascii="Times New Roman" w:hAnsi="Times New Roman" w:asciiTheme="majorBidi" w:cstheme="majorBidi" w:hAnsiTheme="majorBidi"/>
                <w:sz w:val="24"/>
                <w:szCs w:val="24"/>
                <w:lang w:eastAsia="uk-UA"/>
              </w:rPr>
              <w:t>6 402</w:t>
            </w:r>
          </w:p>
        </w:tc>
        <w:tc>
          <w:tcPr>
            <w:tcW w:w="2019" w:type="dxa"/>
            <w:tcBorders>
              <w:bottom w:val="single" w:sz="4" w:space="0" w:color="00000A"/>
              <w:insideH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ゴシック" w:cs="Times New Roman" w:asciiTheme="majorBidi" w:cstheme="majorBidi" w:eastAsiaTheme="majorEastAsia" w:hAnsiTheme="majorBidi"/>
                <w:bCs/>
                <w:sz w:val="24"/>
                <w:szCs w:val="24"/>
              </w:rPr>
            </w:pPr>
            <w:r>
              <w:rPr>
                <w:rFonts w:eastAsia="ＭＳ 明朝" w:cs="Times New Roman" w:ascii="Times New Roman" w:hAnsi="Times New Roman" w:asciiTheme="majorBidi" w:cstheme="majorBidi" w:hAnsiTheme="majorBidi"/>
                <w:sz w:val="24"/>
                <w:szCs w:val="24"/>
                <w:lang w:eastAsia="uk-UA"/>
              </w:rPr>
              <w:t>6 402</w:t>
            </w:r>
          </w:p>
        </w:tc>
        <w:tc>
          <w:tcPr>
            <w:tcW w:w="2201" w:type="dxa"/>
            <w:tcBorders>
              <w:bottom w:val="single" w:sz="4" w:space="0" w:color="00000A"/>
              <w:insideH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r>
      <w:tr>
        <w:trPr>
          <w:trHeight w:val="132" w:hRule="atLeast"/>
        </w:trPr>
        <w:tc>
          <w:tcPr>
            <w:tcW w:w="15297" w:type="dxa"/>
            <w:gridSpan w:val="7"/>
            <w:tcBorders>
              <w:top w:val="single" w:sz="4" w:space="0" w:color="00000A"/>
              <w:bottom w:val="single" w:sz="4" w:space="0" w:color="00000A"/>
              <w:insideH w:val="single" w:sz="4" w:space="0" w:color="00000A"/>
            </w:tcBorders>
            <w:shd w:fill="auto" w:val="clear"/>
            <w:tcMar>
              <w:left w:w="108" w:type="dxa"/>
            </w:tcMar>
            <w:vAlign w:val="center"/>
          </w:tcPr>
          <w:p>
            <w:pPr>
              <w:pStyle w:val="Normal"/>
              <w:numPr>
                <w:ilvl w:val="0"/>
                <w:numId w:val="3"/>
              </w:numPr>
              <w:spacing w:lineRule="auto" w:line="240" w:before="0" w:after="0"/>
              <w:jc w:val="center"/>
              <w:rPr>
                <w:rFonts w:ascii="Times New Roman" w:hAnsi="Times New Roman" w:eastAsia="ＭＳ ゴシック" w:cs="Times New Roman" w:asciiTheme="majorBidi" w:cstheme="majorBidi" w:eastAsiaTheme="majorEastAsia" w:hAnsiTheme="majorBidi"/>
                <w:bCs/>
                <w:i/>
                <w:i/>
                <w:iCs/>
                <w:sz w:val="24"/>
                <w:szCs w:val="24"/>
              </w:rPr>
            </w:pPr>
            <w:r>
              <w:rPr>
                <w:rFonts w:eastAsia="ＭＳ ゴシック" w:cs="Times New Roman" w:ascii="Times New Roman" w:hAnsi="Times New Roman" w:asciiTheme="majorBidi" w:cstheme="majorBidi" w:eastAsiaTheme="majorEastAsia" w:hAnsiTheme="majorBidi"/>
                <w:bCs/>
                <w:i/>
                <w:iCs/>
                <w:sz w:val="24"/>
                <w:szCs w:val="24"/>
                <w:lang w:eastAsia="uk-UA"/>
              </w:rPr>
              <w:t>Показники ефективності</w:t>
            </w:r>
          </w:p>
          <w:p>
            <w:pPr>
              <w:pStyle w:val="Normal"/>
              <w:numPr>
                <w:ilvl w:val="0"/>
                <w:numId w:val="3"/>
              </w:numPr>
              <w:spacing w:lineRule="auto" w:line="240" w:before="0" w:after="0"/>
              <w:jc w:val="center"/>
              <w:rPr>
                <w:rFonts w:ascii="Times New Roman" w:hAnsi="Times New Roman" w:eastAsia="ＭＳ ゴシック" w:cs="Times New Roman" w:asciiTheme="majorBidi" w:cstheme="majorBidi" w:eastAsiaTheme="majorEastAsia" w:hAnsiTheme="majorBidi"/>
                <w:bCs/>
                <w:i/>
                <w:i/>
                <w:iCs/>
                <w:sz w:val="24"/>
                <w:szCs w:val="24"/>
                <w:lang w:eastAsia="uk-UA"/>
              </w:rPr>
            </w:pPr>
            <w:r>
              <w:rPr>
                <w:rFonts w:eastAsia="ＭＳ ゴシック" w:cs="Times New Roman" w:cstheme="majorBidi" w:eastAsiaTheme="majorEastAsia" w:ascii="Times New Roman" w:hAnsi="Times New Roman"/>
                <w:bCs/>
                <w:i/>
                <w:iCs/>
                <w:sz w:val="24"/>
                <w:szCs w:val="24"/>
                <w:lang w:eastAsia="uk-UA"/>
              </w:rPr>
            </w:r>
          </w:p>
        </w:tc>
      </w:tr>
      <w:tr>
        <w:trPr>
          <w:trHeight w:val="132" w:hRule="atLeast"/>
        </w:trPr>
        <w:tc>
          <w:tcPr>
            <w:tcW w:w="679" w:type="dxa"/>
            <w:tcBorders>
              <w:top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明朝" w:cs="Times New Roman" w:eastAsiaTheme="minorEastAsia" w:ascii="Times New Roman" w:hAnsi="Times New Roman"/>
                <w:sz w:val="24"/>
                <w:szCs w:val="24"/>
                <w:lang w:eastAsia="uk-UA"/>
              </w:rPr>
              <w:t>1</w:t>
            </w:r>
          </w:p>
        </w:tc>
        <w:tc>
          <w:tcPr>
            <w:tcW w:w="4814" w:type="dxa"/>
            <w:tcBorders>
              <w:top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sz w:val="24"/>
                <w:szCs w:val="24"/>
              </w:rPr>
            </w:pPr>
            <w:r>
              <w:rPr>
                <w:rFonts w:cs="Times New Roman" w:ascii="Times New Roman" w:hAnsi="Times New Roman"/>
                <w:sz w:val="24"/>
                <w:szCs w:val="24"/>
                <w:lang w:eastAsia="uk-UA"/>
              </w:rPr>
              <w:t>витрати на 1 захід</w:t>
            </w:r>
          </w:p>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lang w:eastAsia="uk-UA"/>
              </w:rPr>
            </w:pPr>
            <w:r>
              <w:rPr>
                <w:rFonts w:eastAsia="ＭＳ ゴシック" w:cs="Times New Roman" w:eastAsiaTheme="majorEastAsia" w:ascii="Times New Roman" w:hAnsi="Times New Roman"/>
                <w:bCs/>
                <w:sz w:val="24"/>
                <w:szCs w:val="24"/>
                <w:lang w:eastAsia="uk-UA"/>
              </w:rPr>
            </w:r>
          </w:p>
        </w:tc>
        <w:tc>
          <w:tcPr>
            <w:tcW w:w="1563" w:type="dxa"/>
            <w:tcBorders>
              <w:top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ゴシック" w:cs="Times New Roman" w:eastAsiaTheme="majorEastAsia"/>
                <w:bCs/>
                <w:sz w:val="24"/>
                <w:szCs w:val="24"/>
              </w:rPr>
            </w:pPr>
            <w:r>
              <w:rPr>
                <w:rFonts w:eastAsia="ＭＳ 明朝" w:cs="Times New Roman" w:eastAsiaTheme="minorEastAsia" w:ascii="Times New Roman" w:hAnsi="Times New Roman"/>
                <w:sz w:val="24"/>
                <w:szCs w:val="24"/>
                <w:lang w:eastAsia="uk-UA"/>
              </w:rPr>
              <w:t>грн.</w:t>
            </w:r>
          </w:p>
        </w:tc>
        <w:tc>
          <w:tcPr>
            <w:tcW w:w="1940" w:type="dxa"/>
            <w:tcBorders>
              <w:top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18 074,62</w:t>
            </w:r>
          </w:p>
        </w:tc>
        <w:tc>
          <w:tcPr>
            <w:tcW w:w="2081" w:type="dxa"/>
            <w:tcBorders>
              <w:top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19 500,69</w:t>
            </w:r>
          </w:p>
        </w:tc>
        <w:tc>
          <w:tcPr>
            <w:tcW w:w="2019" w:type="dxa"/>
            <w:tcBorders>
              <w:top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cs="Times New Roman" w:asciiTheme="majorBidi" w:cstheme="majorBidi" w:hAnsiTheme="majorBidi"/>
                <w:sz w:val="24"/>
                <w:szCs w:val="24"/>
              </w:rPr>
            </w:pPr>
            <w:r>
              <w:rPr>
                <w:rFonts w:eastAsia="ＭＳ 明朝" w:cs="Times New Roman" w:ascii="Times New Roman" w:hAnsi="Times New Roman" w:asciiTheme="majorBidi" w:cstheme="majorBidi" w:hAnsiTheme="majorBidi"/>
                <w:sz w:val="24"/>
                <w:szCs w:val="24"/>
                <w:lang w:eastAsia="uk-UA"/>
              </w:rPr>
              <w:t>20 575,65</w:t>
            </w:r>
          </w:p>
        </w:tc>
        <w:tc>
          <w:tcPr>
            <w:tcW w:w="2201" w:type="dxa"/>
            <w:tcBorders>
              <w:top w:val="single" w:sz="4" w:space="0" w:color="00000A"/>
            </w:tcBorders>
            <w:shd w:fill="auto" w:val="clear"/>
            <w:tcMar>
              <w:left w:w="108" w:type="dxa"/>
            </w:tcMar>
          </w:tcPr>
          <w:p>
            <w:pPr>
              <w:pStyle w:val="Normal"/>
              <w:numPr>
                <w:ilvl w:val="0"/>
                <w:numId w:val="3"/>
              </w:numPr>
              <w:spacing w:lineRule="auto" w:line="240" w:before="0" w:after="0"/>
              <w:jc w:val="center"/>
              <w:rPr>
                <w:rFonts w:ascii="Times New Roman" w:hAnsi="Times New Roman" w:eastAsia="ＭＳ 明朝" w:cs="Times New Roman" w:eastAsiaTheme="minorEastAsia"/>
                <w:bCs/>
                <w:sz w:val="24"/>
                <w:szCs w:val="24"/>
                <w:lang w:eastAsia="uk-UA"/>
              </w:rPr>
            </w:pPr>
            <w:r>
              <w:rPr>
                <w:rFonts w:eastAsia="ＭＳ 明朝" w:cs="Times New Roman" w:eastAsiaTheme="minorEastAsia" w:ascii="Times New Roman" w:hAnsi="Times New Roman"/>
                <w:bCs/>
                <w:sz w:val="24"/>
                <w:szCs w:val="24"/>
                <w:lang w:eastAsia="uk-UA"/>
              </w:rPr>
            </w:r>
          </w:p>
        </w:tc>
      </w:tr>
    </w:tbl>
    <w:p>
      <w:pPr>
        <w:pStyle w:val="1"/>
        <w:numPr>
          <w:ilvl w:val="0"/>
          <w:numId w:val="3"/>
        </w:numPr>
        <w:spacing w:before="120" w:after="120"/>
        <w:jc w:val="center"/>
        <w:rPr>
          <w:rFonts w:ascii="Times New Roman" w:hAnsi="Times New Roman" w:cs="Times New Roman"/>
          <w:color w:val="00000A"/>
        </w:rPr>
      </w:pPr>
      <w:bookmarkStart w:id="39" w:name="_Toc431397888"/>
      <w:r>
        <w:rPr>
          <w:rFonts w:cs="Times New Roman" w:ascii="Times New Roman" w:hAnsi="Times New Roman"/>
          <w:color w:val="00000A"/>
        </w:rPr>
        <w:t>Підпрограма «Будівництво, реконструкція та капітальний ремонт закладів освіти»</w:t>
      </w:r>
    </w:p>
    <w:p>
      <w:pPr>
        <w:pStyle w:val="Normal"/>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Глобалізація економічних і технологічних процесів нашого тисячоліття призводить до стрімкого зростання впливу технічних факторів на психоемоційний стан дітей. У цих процесах особлива роль відводиться питанням створення сприятливих умов для безпечного та комфортного перебування школярів у навчальному закладі. </w:t>
      </w:r>
    </w:p>
    <w:p>
      <w:pPr>
        <w:pStyle w:val="Normal"/>
        <w:ind w:firstLine="600"/>
        <w:jc w:val="both"/>
        <w:rPr>
          <w:rFonts w:ascii="Times New Roman" w:hAnsi="Times New Roman" w:eastAsia="Times New Roman" w:cs="Times New Roman"/>
          <w:bCs/>
          <w:sz w:val="28"/>
          <w:szCs w:val="28"/>
          <w:lang w:eastAsia="ru-RU"/>
        </w:rPr>
      </w:pPr>
      <w:r>
        <w:rPr>
          <w:rFonts w:eastAsia="Times New Roman" w:cs="Times New Roman" w:ascii="Times New Roman" w:hAnsi="Times New Roman"/>
          <w:color w:val="000000"/>
          <w:sz w:val="28"/>
          <w:szCs w:val="28"/>
          <w:lang w:eastAsia="ru-RU"/>
        </w:rPr>
        <w:t xml:space="preserve">Аналіз матеріально-технічної бази закладів освіти засвідчив, що серед шкільних будівель є такі, які мають значний термін експлуатації: </w:t>
      </w:r>
      <w:r>
        <w:rPr>
          <w:rFonts w:eastAsia="Times New Roman" w:cs="Times New Roman" w:ascii="Times New Roman" w:hAnsi="Times New Roman"/>
          <w:bCs/>
          <w:sz w:val="28"/>
          <w:szCs w:val="28"/>
          <w:lang w:eastAsia="ru-RU"/>
        </w:rPr>
        <w:t xml:space="preserve">5 шкіл –  понад сто років, 3 школи – понад 90 років,  50 шкіл – понад 70 років. </w:t>
      </w:r>
    </w:p>
    <w:p>
      <w:pPr>
        <w:pStyle w:val="Normal"/>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Основний період розвитку мережі загальноосвітніх навчальних закладів столиці та відповідно побудови їх приміщень припадає на 60-90 роки минулого століття, що становить майже половину функціонуючих нині загальноосвітніх навчальних закладів.</w:t>
      </w:r>
    </w:p>
    <w:p>
      <w:pPr>
        <w:pStyle w:val="Normal"/>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color w:val="000000"/>
          <w:sz w:val="28"/>
          <w:szCs w:val="28"/>
          <w:lang w:eastAsia="ru-RU"/>
        </w:rPr>
        <w:t xml:space="preserve">Покращення технічного стану приміщень має бути забезпечене шляхом своєчасного проведення капітального і поточних ремонтів та облаштування навчальних закладів у відповідності до </w:t>
      </w:r>
      <w:r>
        <w:rPr>
          <w:rFonts w:eastAsia="Times New Roman" w:cs="Times New Roman" w:ascii="Times New Roman" w:hAnsi="Times New Roman"/>
          <w:bCs/>
          <w:sz w:val="28"/>
          <w:szCs w:val="28"/>
          <w:lang w:eastAsia="ru-RU"/>
        </w:rPr>
        <w:t>Державних санітарних правил і норм</w:t>
      </w:r>
      <w:r>
        <w:rPr>
          <w:rFonts w:eastAsia="Times New Roman" w:cs="Times New Roman" w:ascii="Times New Roman" w:hAnsi="Times New Roman"/>
          <w:b/>
          <w:bCs/>
          <w:sz w:val="28"/>
          <w:szCs w:val="28"/>
          <w:lang w:eastAsia="ru-RU"/>
        </w:rPr>
        <w:t xml:space="preserve"> </w:t>
      </w:r>
      <w:r>
        <w:rPr>
          <w:rFonts w:eastAsia="Times New Roman" w:cs="Times New Roman" w:ascii="Times New Roman" w:hAnsi="Times New Roman"/>
          <w:sz w:val="28"/>
          <w:szCs w:val="28"/>
          <w:lang w:eastAsia="ru-RU"/>
        </w:rPr>
        <w:t>(ДСанПіН 5.5.2.008-01) «Державних санітарних правил і норм влаштування, утримання загальноосвітніх навчальних закладів та організації навчально-виховного процесу».</w:t>
      </w:r>
    </w:p>
    <w:p>
      <w:pPr>
        <w:pStyle w:val="Normal"/>
        <w:spacing w:before="480" w:after="12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З метою дотримання санітарних норм необхідно врахувати заходи з енергоефективності при виконанні будівельних робіт, реконструкції та капітальних ремонтах закладів освіти.</w:t>
      </w:r>
    </w:p>
    <w:p>
      <w:pPr>
        <w:pStyle w:val="Normal"/>
        <w:spacing w:before="480" w:after="12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Заходи з комплексної термомодернізації закладів бюджетної сфери передбачені Комплексною цільовою програмою підвищення енергоефективності та розвитку житлово-комунальної інфраструктури для міста Києва на 2016-2020 роки. Реалізація цих заходів у закладах освіти, включених до програми, дасть змогу мінімізувати бюджетні витрати міста завдяки ефекту, який заплановано досягти суттєвою економією енергетичних ресурсів. </w:t>
      </w:r>
    </w:p>
    <w:p>
      <w:pPr>
        <w:sectPr>
          <w:headerReference w:type="default" r:id="rId43"/>
          <w:headerReference w:type="first" r:id="rId44"/>
          <w:type w:val="nextPage"/>
          <w:pgSz w:orient="landscape" w:w="16838" w:h="11906"/>
          <w:pgMar w:left="851" w:right="851" w:header="709" w:top="1134" w:footer="0" w:bottom="1134" w:gutter="0"/>
          <w:pgNumType w:fmt="decimal"/>
          <w:formProt w:val="false"/>
          <w:titlePg/>
          <w:textDirection w:val="lrTb"/>
          <w:docGrid w:type="default" w:linePitch="360" w:charSpace="4294965247"/>
        </w:sectPr>
        <w:pStyle w:val="Normal"/>
        <w:spacing w:before="480" w:after="120"/>
        <w:ind w:firstLine="567"/>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 xml:space="preserve">Показники економії теплової енергії від впровадження енергозберігаючих </w:t>
      </w:r>
      <w:bookmarkStart w:id="40" w:name="_GoBack"/>
      <w:bookmarkEnd w:id="40"/>
      <w:r>
        <w:rPr>
          <w:rFonts w:eastAsia="Times New Roman" w:cs="Times New Roman" w:ascii="Times New Roman" w:hAnsi="Times New Roman"/>
          <w:sz w:val="28"/>
          <w:szCs w:val="28"/>
          <w:lang w:eastAsia="ru-RU"/>
        </w:rPr>
        <w:t>заходів у закладах освіти значною мірою залежать від ефективної експлуатації встановленого обладнання. Належне технічне обслуговування, вчасне проведення ремонтних робіт та ефективна експлуатація модульних індивідуальних теплових пунктів та вузлів обліку теплової енергії має важливе значення для забезпечення ефективного енерговикористання.</w:t>
      </w:r>
    </w:p>
    <w:p>
      <w:pPr>
        <w:pStyle w:val="1"/>
        <w:spacing w:before="120" w:after="120"/>
        <w:rPr>
          <w:rFonts w:ascii="Times New Roman" w:hAnsi="Times New Roman" w:cs="Times New Roman"/>
          <w:b w:val="false"/>
          <w:b w:val="false"/>
          <w:color w:val="00000A"/>
        </w:rPr>
      </w:pPr>
      <w:r>
        <w:rPr>
          <w:rFonts w:cs="Times New Roman" w:ascii="Times New Roman" w:hAnsi="Times New Roman"/>
          <w:b w:val="false"/>
          <w:color w:val="00000A"/>
        </w:rPr>
      </w:r>
    </w:p>
    <w:p>
      <w:pPr>
        <w:pStyle w:val="1"/>
        <w:spacing w:before="120" w:after="120"/>
        <w:jc w:val="center"/>
        <w:rPr>
          <w:rFonts w:ascii="Times New Roman" w:hAnsi="Times New Roman" w:cs="Times New Roman"/>
          <w:b w:val="false"/>
          <w:b w:val="false"/>
        </w:rPr>
      </w:pPr>
      <w:bookmarkStart w:id="41" w:name="_Toc431397888"/>
      <w:bookmarkEnd w:id="41"/>
      <w:r>
        <w:rPr>
          <w:rFonts w:cs="Times New Roman" w:ascii="Times New Roman" w:hAnsi="Times New Roman"/>
          <w:b w:val="false"/>
          <w:color w:val="00000A"/>
        </w:rPr>
        <w:t>Напрями діяльності, завдання та заходи підпрограми «Будівництво, реконструкція та капітальний ремонт закладів освіти»</w:t>
      </w:r>
    </w:p>
    <w:tbl>
      <w:tblPr>
        <w:tblW w:w="15451"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817"/>
        <w:gridCol w:w="2268"/>
        <w:gridCol w:w="2835"/>
        <w:gridCol w:w="1593"/>
        <w:gridCol w:w="1844"/>
        <w:gridCol w:w="1701"/>
        <w:gridCol w:w="2268"/>
        <w:gridCol w:w="2123"/>
      </w:tblGrid>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Назва напряму діяльності (пріоритетні завдання)</w:t>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Заходи підпрограми</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Терміни виконання заходу</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Виконавці</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Джерела фінансування</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Орієнтовні обсяги фінансування (вартість), тис. гривень, у тому числі за роками:</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Очікуваний результат</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30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2364"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bCs/>
                <w:sz w:val="24"/>
                <w:szCs w:val="24"/>
              </w:rPr>
              <w:t>Будівництво, реконструкція</w:t>
            </w:r>
            <w:r>
              <w:rPr>
                <w:rFonts w:cs="Times New Roman" w:ascii="Times New Roman" w:hAnsi="Times New Roman"/>
                <w:sz w:val="24"/>
                <w:szCs w:val="24"/>
              </w:rPr>
              <w:t xml:space="preserve"> навчальних закладів  міста Києва</w:t>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
                <w:bCs/>
                <w:iCs/>
                <w:color w:val="000000"/>
                <w:sz w:val="24"/>
                <w:szCs w:val="24"/>
                <w:lang w:eastAsia="uk-UA"/>
              </w:rPr>
              <w:t>Голосіївський район</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Разом по району:</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bCs/>
                <w:sz w:val="24"/>
                <w:szCs w:val="24"/>
              </w:rPr>
              <w:t>164 103,1</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Досягнення  комфортних умов перебування дітей та персоналу в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Будівництво другого пускового комплексу розширення ЗНЗ № 151 та будівництво котельні на вул. Лісничій, 3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(с. Чапаєвка)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Голосіївська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25 110,1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(бюджет розвитку):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фінансування):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20 110,1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9 000,0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11 110,1</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Будівництво ЗНЗ № 110 на вул. Козацькій, 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Голосіївська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54 473,0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29 473,0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24 473,0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фінансування):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25 000,0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Будівництво прибудови гімназії № 59 на вул. Великій  Китаївській, 85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Голосіївська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16 970,0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3 000,0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фінансування):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13970,0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6 000,0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2018- 7 970,0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ДНЗ № 658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на вул. 40-річчя Жовтня, 94/96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Голосіївська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 xml:space="preserve">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21 850,0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21 850,0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6 850,0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дошкільного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Будівництво дошкільного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на просп. Науки, 63-А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утримання та експлуатації житлового фонду спеціального призначення "Спецжитло</w:t>
            </w:r>
          </w:p>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фонд"</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 xml:space="preserve">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34 700,0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34 700,0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дошкільних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Будівництво дошкільного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на вул. Вільямса, 10</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Голосіївська районна в місті Києві державна адміністрація, </w:t>
              <w:br/>
              <w:t>Департамент будівництва та житлового забезпечення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 xml:space="preserve">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11 000,0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1 000,0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фінансування):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5 000,0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дошкільних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eastAsia="Times New Roman" w:cs="Times New Roman"/>
                <w:b/>
                <w:b/>
                <w:bCs/>
                <w:iCs/>
                <w:color w:val="000000"/>
                <w:sz w:val="24"/>
                <w:szCs w:val="24"/>
                <w:lang w:eastAsia="uk-UA"/>
              </w:rPr>
            </w:pPr>
            <w:r>
              <w:rPr>
                <w:rFonts w:eastAsia="Times New Roman" w:cs="Times New Roman" w:ascii="Times New Roman" w:hAnsi="Times New Roman"/>
                <w:b/>
                <w:bCs/>
                <w:iCs/>
                <w:color w:val="000000"/>
                <w:sz w:val="24"/>
                <w:szCs w:val="24"/>
                <w:lang w:eastAsia="uk-UA"/>
              </w:rPr>
              <w:t>Дарницький район</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Разом по району:</w:t>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589 035,4</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Досягнення  комфортних умов перебування дітей та персоналу в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Реконструкція будівлі з облаштуванням території середньої загальноосвітньої школи I-III ступенів № 289 на вул. Славгородській, 14 </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Дарницька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 xml:space="preserve">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12 800,0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2 800,0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2 800,0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5 000,0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Реконструкція гімназії </w:t>
              <w:br/>
              <w:t>№ 315 на вул. Драгоманова, 27-А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Дарницька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11 250,0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1 000,0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10 250,0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5 250,0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5 000,0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дошкільного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652 на вул. Волго-Донській, 21-А (вул. Бориспільській, 28/1)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Дарницька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26 065,2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26 065,2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8 000,0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10 065,2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8 000,0</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Будівництво дошкільного навчального закладу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на ж/м Осокорки,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10 м-н, діл. 36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питань будівництва житлових будинків "Житлоінвестбуд - УКБ"</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 xml:space="preserve">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63 800,0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63800,0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3 800,0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30 000,0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30 000,0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дошкільних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Будівництво загальноосвітнього навчального закладу  з басейном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на ж/м Осокорки,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10 м-н,  діл. 65, 66 </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питань будівництва житлових будинків "Житлоінвестбуд - УКБ"</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 xml:space="preserve">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115 000,0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15 000,0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100 000,0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50 000,0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50 000,0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Будівництво загальноосвітнього навчального закладу  з басейном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на ж/м Позняки,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8 м-н, діл. 40</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питань будівництва житлових будинків "Житлоінвестбуд - УКБ"</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(бюджет розвитку):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120000,0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35 000,0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35 000,0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50 000,0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Будівництво загальноосвітнього навчального закладу  з басейном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на ж/м Позняки,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4 м-н, діл. 33, 35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питань будівництва житлових будинків "Житлоінвестбуд - УКБ"</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164 620,7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(бюджет розвитку): 44 300,0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44 300,0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120 320,7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60 000,0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60 320,7</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Будівництво ліцею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на діл. №  13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у 6-му мікрорайоні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ж/м  Осокорки-Північні </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2016-2017</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утримання та експлуатації житлового фонду спеціального призначення "Спецжитло</w:t>
            </w:r>
          </w:p>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фонд"</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75 499,5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75 499,5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73 499,5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
                <w:bCs/>
                <w:iCs/>
                <w:color w:val="000000"/>
                <w:sz w:val="24"/>
                <w:szCs w:val="24"/>
                <w:lang w:eastAsia="uk-UA"/>
              </w:rPr>
              <w:t>Деснянський район</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Разом по району:</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bCs/>
                <w:sz w:val="24"/>
                <w:szCs w:val="24"/>
              </w:rPr>
              <w:t>136 211,3</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Досягнення  комфортних умов перебування дітей та персоналу в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Будівництво прибудови до ЗНЗ № 320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Центру дитячої та юнацької творчості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на вул. Будищанській, 8</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Деснянська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 xml:space="preserve">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36 654,6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10 000,0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26 654,6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16 654,6</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Покращення умов навчання дітей та педагогічного колективу, збільшення потужності навчального закладу </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з добудовою ЗНЗ № 23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на вул. Путивльській, 35  (с. Биківня)</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Деснянська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44 224,2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15 000,0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29 224,2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14 224,2</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Будівництво дошкільного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на вул. Радунській, ж/м Вигурівщина-Троєщина, 24 м-н, діл. 29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2017-2018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питань будівництва житлових будинків "Житлоінвестбуд - УКБ"</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 xml:space="preserve">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55332,5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55 332,5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40 332,5</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дошкільних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
                <w:bCs/>
                <w:iCs/>
                <w:color w:val="000000"/>
                <w:sz w:val="24"/>
                <w:szCs w:val="24"/>
                <w:lang w:eastAsia="uk-UA"/>
              </w:rPr>
              <w:t>Дніпровський район</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Разом по району:</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bCs/>
                <w:sz w:val="24"/>
                <w:szCs w:val="24"/>
              </w:rPr>
              <w:t>210 400,0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Досягнення  комфортних умов перебування дітей та персоналу в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Реконструкція з прибудовою будівлі середньої загальноосвітньої школи № 103 на вул. Алма-Атинській, 89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Дніпровська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 xml:space="preserve">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79 419,6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69 346,2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2017 – 24636,4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34 709,8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10 073,4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2017-10 073,4</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Реконструкція з прибудовою до середньої загальноосвітньої школи № 42 на вул. Хорольській, 19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2017-2018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питань будівництва житлових будинків "Житлоінвестбуд - УКБ"</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 xml:space="preserve">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100980,4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(бюджет розвитку): 100 980,4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85 980,4</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Будівництво надбудови мансардного поверху над навчально-адміністративним корпусом  Київського університету імені Бориса Грінченка на просп. Павла Тичини, 17</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2016-2017</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питань будівництва житлових будинків "Житлоінвестбуд - УКБ"</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30 000,0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студентів,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
                <w:bCs/>
                <w:iCs/>
                <w:color w:val="000000"/>
                <w:sz w:val="24"/>
                <w:szCs w:val="24"/>
                <w:lang w:eastAsia="uk-UA"/>
              </w:rPr>
              <w:t>Оболонський район</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Разом по району:</w:t>
            </w:r>
          </w:p>
          <w:p>
            <w:pPr>
              <w:pStyle w:val="Normal"/>
              <w:tabs>
                <w:tab w:val="left" w:pos="513" w:leader="none"/>
                <w:tab w:val="center" w:pos="1026" w:leader="none"/>
              </w:tabs>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 xml:space="preserve">      </w:t>
            </w:r>
            <w:r>
              <w:rPr>
                <w:rFonts w:cs="Times New Roman" w:ascii="Times New Roman" w:hAnsi="Times New Roman"/>
                <w:b/>
                <w:bCs/>
                <w:sz w:val="24"/>
                <w:szCs w:val="24"/>
              </w:rPr>
              <w:t>128 105,8</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Досягнення  комфортних умов перебування дітей та персоналу в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будівлі спеціалізованої школи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211 на вул. Лайоша Гавро, 24-А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2 600,0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2 600,0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2 600,0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w:t>
            </w:r>
          </w:p>
        </w:tc>
      </w:tr>
      <w:tr>
        <w:trPr>
          <w:trHeight w:val="1281"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фасаду спеціалізованої школи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239 на просп. Оболонському, 16-Д</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3 300,0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3 300,0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3 300,0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дошкільного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533 на просп. Оболонському, 15-В</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6 785,2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6 782,5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6 782,5</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дошкільного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дошкільного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585 на вул. Маршала Малиновського, 1-Б</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2 832,8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2 832,8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2 832,8</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дошкільного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фасаду загальноосвітнього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214 на просп. Оболонському, 9-А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3 480,6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3 480,6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3 480,6</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фасаду загальноосвітнього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 xml:space="preserve">225 на просп. Оболонському, 9-Б </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2 498,8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2 498,8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2 498,8</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дошкільного навчального закладу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 xml:space="preserve">321 на вул. Автозаводській,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13-А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2016-2017</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4 700,0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4  700,0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2017- 4 200,0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дошкільного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дошкільного навчального закладу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 xml:space="preserve">436 на вул. Автозаводській,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17-А </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2016-2017</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4 700,0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4 700,0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2017- 4 200,0</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 збільшення потужності дошкільного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з утепленням фасаду спеціалізованої школи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16 на вул. Вишгородській, 42/1</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2016-2017</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4 800,0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4 800,0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2017- 4 600,0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педагогічного колективу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дошкільного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260 на просп. Оболонському, 16-Б</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2016-2017</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6 500,0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6 500,0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4 500,0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дошкільного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міжшкільного стадіону загальноосвітніх навчальних закладів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 xml:space="preserve">214 на просп. Оболонському, 9-А та № 225 на просп. Оболонському, 9-Б з облаштуванням бігових і велосипедних доріжок та благоустрій території </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 спеціальний фонд  54 844,9</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922,4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922,4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53 922,5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–20 000,0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33 922,5</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проведення оздоровчо-фізкультурної роботи в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гімназії-інтернату № 299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на вул. Макіївській, 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2016-2017</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17 150,3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17 150,3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- 7 150,3</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дошкільного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234 на вул. Боровського, 2/10</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2016-2017</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7 700,0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7 700,0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800,0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2017-6 900,0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дошкільного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дошкільного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193 на просп. Оболонському, 16-г</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Оболонська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6 215,9</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6 215,9</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6 215,9</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дошкільного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
                <w:bCs/>
                <w:iCs/>
                <w:color w:val="000000"/>
                <w:sz w:val="24"/>
                <w:szCs w:val="24"/>
                <w:lang w:eastAsia="uk-UA"/>
              </w:rPr>
              <w:t>Печерський район</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Разом по району:</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bCs/>
                <w:sz w:val="24"/>
                <w:szCs w:val="24"/>
              </w:rPr>
              <w:t>50 000,0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Досягнення  комфортних умов перебування дітей та персоналу в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Реконструкція з добудовою будівлі Києво-Печерського ліцею № 171 "Лідер" на вул. Лейпцизькій, 11-А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Печерська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50 000,0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35 000,0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2018- 15 000,0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b/>
                <w:b/>
                <w:sz w:val="24"/>
                <w:szCs w:val="24"/>
              </w:rPr>
            </w:pPr>
            <w:r>
              <w:rPr>
                <w:rFonts w:cs="Times New Roman" w:ascii="Times New Roman" w:hAnsi="Times New Roman"/>
                <w:b/>
                <w:sz w:val="24"/>
                <w:szCs w:val="24"/>
              </w:rPr>
              <w:t>Подільський район</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Разом по району:</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bCs/>
                <w:sz w:val="24"/>
                <w:szCs w:val="24"/>
              </w:rPr>
              <w:t>270 098,4</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Досягнення  комфортних умов перебування дітей та персоналу в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будівлі спеціалізованої школи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114 на вул. Фрунзе, 87/89</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Подільська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52 934,1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27 317,4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–14 000,0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3317,4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25 616,7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25 616,7</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дошкільного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151 на вул. Маршала Гречка, 10-А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Подільська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17 000,0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17 000,0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–6 000,0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6 000,0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Реконструкція з прибудовою до середньої загальноосвітньої школи № 2 на вул. Копилівській, 36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Подільська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38 756,6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38 756,6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556,6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–13 200,0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2018 -  25 000,0    </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Реконструкція з прибудовою до середньої загальноосвітньої школи № 19 на вул. Межигірській, 16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Подільська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59 731,7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31 744,7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230,0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–31 514,7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27 987,0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27 987,0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Реконструкція з прибудовою до середньої загальноосвітньої школи № 242 на просп. Правди, 64-Г</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Подільська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28 240,6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740 ,6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740,6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27 500,0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–2 500,0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25 000,0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навчального закладу</w:t>
            </w:r>
          </w:p>
        </w:tc>
      </w:tr>
      <w:tr>
        <w:trPr>
          <w:trHeight w:val="1763"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Реставрація та реконструкція з прибудовою до Ліцею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 xml:space="preserve">100 "Поділ" на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вул. Покровській, 4/6</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Cs/>
                <w:sz w:val="24"/>
                <w:szCs w:val="24"/>
              </w:rPr>
              <w:t>2017-2018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питань будівництва житлових будинків "Житлоінвестбуд - УКБ"</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73 435,4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73 435,4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–40 000,0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33 435,4</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
                <w:bCs/>
                <w:iCs/>
                <w:color w:val="000000"/>
                <w:sz w:val="24"/>
                <w:szCs w:val="24"/>
                <w:lang w:eastAsia="uk-UA"/>
              </w:rPr>
              <w:t>Святошинський район</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Разом по району:</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bCs/>
                <w:sz w:val="24"/>
                <w:szCs w:val="24"/>
              </w:rPr>
              <w:t>111 956,2</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Досягнення  комфортних умов перебування дітей та персоналу в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Реконструкція та розширення середньої загальноосвітньої школи № 162 на вул. Рахманінова, 47</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Святошинська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25 856,2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25 856,2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5 856,2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10 000,0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Реконструкція</w:t>
            </w:r>
            <w:r>
              <w:rPr>
                <w:rFonts w:eastAsia="Times New Roman" w:cs="Arial" w:ascii="Arial" w:hAnsi="Arial"/>
                <w:color w:val="000000"/>
                <w:sz w:val="24"/>
                <w:szCs w:val="24"/>
                <w:lang w:eastAsia="uk-UA"/>
              </w:rPr>
              <w:t xml:space="preserve"> </w:t>
            </w:r>
            <w:r>
              <w:rPr>
                <w:rFonts w:eastAsia="Times New Roman" w:cs="Times New Roman" w:ascii="Times New Roman" w:hAnsi="Times New Roman"/>
                <w:color w:val="000000"/>
                <w:sz w:val="24"/>
                <w:szCs w:val="24"/>
                <w:lang w:eastAsia="uk-UA"/>
              </w:rPr>
              <w:t>та розширення гімназії східних мов № 1 на вул. Львівській, 25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Святошинська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2018 - 10 000,0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Реконструкція та будівництво прибудови до середньої загальноосвітньої школи № 140 на вул. Львівській, 47/8 </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утримання та експлуатації житлового фонду спеціального призначення "Спецжитло</w:t>
            </w:r>
          </w:p>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фонд"</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36 100,0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36 100,0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36 100,0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Будівництво дошкільного навчального закладу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на вул. Бахмацькій, 35</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Святошинська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20 000,0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7 000,0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12 000,0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дошкільних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
                <w:bCs/>
                <w:iCs/>
                <w:color w:val="000000"/>
                <w:sz w:val="24"/>
                <w:szCs w:val="24"/>
                <w:lang w:eastAsia="uk-UA"/>
              </w:rPr>
              <w:t>Солом</w:t>
            </w:r>
            <w:r>
              <w:rPr>
                <w:rFonts w:eastAsia="Times New Roman" w:cs="Times New Roman" w:ascii="Times New Roman" w:hAnsi="Times New Roman"/>
                <w:b/>
                <w:bCs/>
                <w:iCs/>
                <w:color w:val="000000"/>
                <w:sz w:val="24"/>
                <w:szCs w:val="24"/>
                <w:lang w:val="en-US" w:eastAsia="uk-UA" w:bidi="he-IL"/>
              </w:rPr>
              <w:t>’</w:t>
            </w:r>
            <w:r>
              <w:rPr>
                <w:rFonts w:eastAsia="Times New Roman" w:cs="Times New Roman" w:ascii="Times New Roman" w:hAnsi="Times New Roman"/>
                <w:b/>
                <w:bCs/>
                <w:iCs/>
                <w:color w:val="000000"/>
                <w:sz w:val="24"/>
                <w:szCs w:val="24"/>
                <w:lang w:eastAsia="uk-UA"/>
              </w:rPr>
              <w:t>янський район</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Разом по району:</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b/>
                <w:bCs/>
                <w:sz w:val="24"/>
                <w:szCs w:val="24"/>
              </w:rPr>
              <w:t>100 301,4</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Досягнення  комфортних умов перебування дітей та персоналу в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Реконструкція з добудовою середньої загальноосвітньої школи № 22 на просп. Відрадному, 36-В</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Солом’янська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12 000,0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2 000,0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8 000,0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 збільшення потужності навчального закладу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Будівництво</w:t>
            </w:r>
            <w:r>
              <w:rPr>
                <w:rFonts w:eastAsia="Times New Roman" w:cs="Arial" w:ascii="Arial" w:hAnsi="Arial"/>
                <w:color w:val="000000"/>
                <w:sz w:val="24"/>
                <w:szCs w:val="24"/>
                <w:lang w:eastAsia="uk-UA"/>
              </w:rPr>
              <w:t xml:space="preserve"> </w:t>
            </w:r>
            <w:r>
              <w:rPr>
                <w:rFonts w:eastAsia="Times New Roman" w:cs="Times New Roman" w:ascii="Times New Roman" w:hAnsi="Times New Roman"/>
                <w:color w:val="000000"/>
                <w:sz w:val="24"/>
                <w:szCs w:val="24"/>
                <w:lang w:eastAsia="uk-UA"/>
              </w:rPr>
              <w:t>середньої загальноосвітньої школи на розі вул. Лебедєва-Кумача і вул. Землячки (вул. Тетяни Яблонської)</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Солом’янська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88 301,4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88 301,4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7 000,0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40 000,0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41 301,4</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b/>
                <w:bCs/>
                <w:iCs/>
                <w:color w:val="000000"/>
                <w:sz w:val="24"/>
                <w:szCs w:val="24"/>
                <w:lang w:eastAsia="uk-UA"/>
              </w:rPr>
              <w:t>Шевченківський район</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t>Разом по району:</w:t>
            </w:r>
          </w:p>
          <w:p>
            <w:pPr>
              <w:pStyle w:val="Normal"/>
              <w:spacing w:lineRule="auto" w:line="240" w:before="0" w:after="0"/>
              <w:jc w:val="center"/>
              <w:rPr>
                <w:rFonts w:ascii="Times New Roman" w:hAnsi="Times New Roman" w:cs="Times New Roman"/>
                <w:b/>
                <w:b/>
                <w:bCs/>
                <w:sz w:val="24"/>
                <w:szCs w:val="24"/>
              </w:rPr>
            </w:pPr>
            <w:r>
              <w:rPr>
                <w:rFonts w:cs="Times New Roman" w:ascii="Times New Roman" w:hAnsi="Times New Roman"/>
                <w:b/>
                <w:bCs/>
                <w:sz w:val="24"/>
                <w:szCs w:val="24"/>
              </w:rPr>
              <w:t>139 944,6</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Досягнення  комфортних умов перебування дітей та персоналу в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Реконструкція спеціалізованої школи </w:t>
            </w:r>
          </w:p>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 xml:space="preserve">№ </w:t>
            </w:r>
            <w:r>
              <w:rPr>
                <w:rFonts w:eastAsia="Times New Roman" w:cs="Times New Roman" w:ascii="Times New Roman" w:hAnsi="Times New Roman"/>
                <w:color w:val="000000"/>
                <w:sz w:val="24"/>
                <w:szCs w:val="24"/>
                <w:lang w:eastAsia="uk-UA"/>
              </w:rPr>
              <w:t>24 на вул. О. Теліги, 15-А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Шевченківська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41 500,0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1 500,0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1 500,0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20 000,0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20 000,0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Реконструкція з прибудовою, надбудовою та будівництвом центру позашкільної освіти середньої загальноосвітньої школи № 175  на вул. Щербакова, 58-А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Шевченківська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16 674,2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16 674,2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1 200,0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5 474,2</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Досягнення  комфортних умов перебування дітей та персоналу в навчальних закладах, збільшення потужності навчальних закладів</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Реконструкція нежилої будівлі на вул. Дегтярівській, 43-А для відновлення діяльності дошкільного навчального закладу</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ДБЖЗ,</w:t>
              <w:br/>
              <w:t>Шевченківська районна в місті Києві державна адміністрація</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34 600,0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15 600,0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5 600,0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10 000,0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19 000,0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19 000,0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дошкільних навчальних закладах</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Реставрація Київського міського будинку вчителя на вул. Володимирській, 57</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2016-2017</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eastAsia="Times New Roman" w:cs="Times New Roman" w:ascii="Times New Roman" w:hAnsi="Times New Roman"/>
                <w:color w:val="000000"/>
                <w:sz w:val="24"/>
                <w:szCs w:val="24"/>
                <w:lang w:eastAsia="uk-UA"/>
              </w:rPr>
              <w:t>Департамент будівництва та житлового забезпечення,</w:t>
              <w:br/>
              <w:t>КП з питань будівництва житлових будинків "Житлоінвестбуд - УКБ"</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Усього 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47 170,4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  47 170,4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w:t>
            </w:r>
            <w:r>
              <w:rPr>
                <w:rFonts w:cs="Times New Roman" w:ascii="Times New Roman" w:hAnsi="Times New Roman"/>
                <w:sz w:val="24"/>
                <w:szCs w:val="24"/>
                <w:lang w:val="en-US"/>
              </w:rPr>
              <w:t>6</w:t>
            </w:r>
            <w:r>
              <w:rPr>
                <w:rFonts w:cs="Times New Roman" w:ascii="Times New Roman" w:hAnsi="Times New Roman"/>
                <w:sz w:val="24"/>
                <w:szCs w:val="24"/>
              </w:rPr>
              <w:t xml:space="preserve"> – 34 000,0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w:t>
            </w:r>
            <w:r>
              <w:rPr>
                <w:rFonts w:cs="Times New Roman" w:ascii="Times New Roman" w:hAnsi="Times New Roman"/>
                <w:sz w:val="24"/>
                <w:szCs w:val="24"/>
                <w:lang w:val="en-US"/>
              </w:rPr>
              <w:t xml:space="preserve">7 </w:t>
            </w:r>
            <w:r>
              <w:rPr>
                <w:rFonts w:cs="Times New Roman" w:ascii="Times New Roman" w:hAnsi="Times New Roman"/>
                <w:sz w:val="24"/>
                <w:szCs w:val="24"/>
              </w:rPr>
              <w:t>-  13 170,4</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Збереження будівлі як історичної пам’ятки, покращення умов роботи персоналу, активізація роботи Київського міського будинку вчителя </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Всього, будівництво, реконструкція навчальних закладів  міста Києва</w:t>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Бюджет</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м. Києва</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 xml:space="preserve">Усього спеціальний фонд </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1 900 156,2</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(бюджет розвитку):  1 237 091,6</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у тому числі:</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2016 – 384 016,4</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2017 – 415 121,8</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2018 – 437 953,4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(інші джерела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663 064,6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 тому числі:</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2017 – 320 810,4</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2018 – 342 254,2</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c>
          <w:tcPr>
            <w:tcW w:w="8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Розвиток матеріально-технічної бази навчальних закладів комунальної форми власності</w:t>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Капітальний ремонт об'єктів освіти, підпорядкованих Департаменту освіти і науки, молоді та спорту</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Департамент освіти і науки, молоді та спорту, Департамент культури, Департамент охорони здоров</w:t>
            </w:r>
            <w:r>
              <w:rPr>
                <w:rFonts w:cs="Times New Roman" w:ascii="Times New Roman" w:hAnsi="Times New Roman"/>
                <w:bCs/>
                <w:sz w:val="24"/>
                <w:szCs w:val="24"/>
                <w:lang w:val="ru-RU" w:bidi="he-IL"/>
              </w:rPr>
              <w:t>’</w:t>
            </w:r>
            <w:r>
              <w:rPr>
                <w:rFonts w:cs="Times New Roman" w:ascii="Times New Roman" w:hAnsi="Times New Roman"/>
                <w:bCs/>
                <w:sz w:val="24"/>
                <w:szCs w:val="24"/>
                <w:lang w:bidi="he-IL"/>
              </w:rPr>
              <w:t>я</w:t>
            </w:r>
            <w:r>
              <w:rPr>
                <w:rFonts w:cs="Times New Roman" w:ascii="Times New Roman" w:hAnsi="Times New Roman"/>
                <w:bCs/>
                <w:sz w:val="24"/>
                <w:szCs w:val="24"/>
              </w:rPr>
              <w:t xml:space="preserve"> </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Бюджет</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м. Києва</w:t>
            </w:r>
          </w:p>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Усього</w:t>
            </w:r>
            <w:r>
              <w:rPr>
                <w:bCs/>
              </w:rPr>
              <w:t xml:space="preserve"> </w:t>
            </w:r>
            <w:r>
              <w:rPr>
                <w:rFonts w:cs="Times New Roman" w:ascii="Times New Roman" w:hAnsi="Times New Roman"/>
                <w:bCs/>
                <w:sz w:val="24"/>
                <w:szCs w:val="24"/>
              </w:rPr>
              <w:t>спеціальний фонд 120 800,0</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В тому числі</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 xml:space="preserve">(бюджет розвитку): </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у тому числі:</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33 571,1</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2016 – 10 421,1</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2017 – 11 265,2</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2018 – 11 884,8</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(інші джерела фінансування)</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Всього:</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87 228,9</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2016 – 20 378,9</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2017 – 28 734,8</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2018 – 38 115,2</w:t>
            </w:r>
          </w:p>
        </w:tc>
        <w:tc>
          <w:tcPr>
            <w:tcW w:w="212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b/>
                <w:b/>
                <w:bCs/>
                <w:sz w:val="24"/>
                <w:szCs w:val="24"/>
              </w:rPr>
            </w:pPr>
            <w:r>
              <w:rPr>
                <w:rFonts w:cs="Times New Roman" w:ascii="Times New Roman" w:hAnsi="Times New Roman"/>
                <w:sz w:val="24"/>
                <w:szCs w:val="24"/>
              </w:rPr>
              <w:t>Дотримання санітарно-гігієнічних норм,  упровадження нових технологій приготування їжі,  збереження здоров’я дітей, заміна існуючого  та фізично зношеного технологічного обладнання на енергоефективне</w:t>
            </w:r>
          </w:p>
        </w:tc>
      </w:tr>
      <w:tr>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Капітальний ремонт об'єктів освіти, підпорядкованих районним у місті Києві державним адміністраціям</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 1 157 013,6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271 903,4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84 403,9</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91 240,6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96 258,9</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Інші джерела фінансування</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Всього:</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885 110,2</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2016 – 285 228,9</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2017 – 312 090,5</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2018 – 287 790,8</w:t>
            </w:r>
          </w:p>
        </w:tc>
        <w:tc>
          <w:tcPr>
            <w:tcW w:w="212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r>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color w:val="000000"/>
                <w:sz w:val="24"/>
                <w:szCs w:val="24"/>
              </w:rPr>
            </w:pPr>
            <w:r>
              <w:rPr>
                <w:rFonts w:cs="Times New Roman" w:ascii="Times New Roman" w:hAnsi="Times New Roman"/>
                <w:color w:val="000000"/>
                <w:sz w:val="24"/>
                <w:szCs w:val="24"/>
              </w:rPr>
              <w:t>Заміна вікон у навчальних закладах</w:t>
            </w:r>
          </w:p>
          <w:p>
            <w:pPr>
              <w:pStyle w:val="Normal"/>
              <w:spacing w:lineRule="auto" w:line="240" w:before="0" w:after="0"/>
              <w:rPr>
                <w:rFonts w:ascii="Times New Roman" w:hAnsi="Times New Roman" w:cs="Times New Roman"/>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м. Києва</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Департамент освіти і науки, молоді та спорту</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 134 938,3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(бюджет розвитку):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41 887,4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45 280,2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47 770,7</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Покращення умов навчання дітей та роботи педагогічного колективу</w:t>
            </w:r>
          </w:p>
        </w:tc>
      </w:tr>
      <w:tr>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color w:val="000000"/>
                <w:sz w:val="24"/>
                <w:szCs w:val="24"/>
              </w:rPr>
              <w:t>Капітальний ремонт харчоблоків із заміною обладнання у  навчальних закладах</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Департамент освіти і науки, молоді та спорту</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 xml:space="preserve">спеціальний фонд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20 427,5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2016 – 6 341,1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6 854,7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7 231,7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Дотримання санітарно-гігієнічних норм,  упровадження нових технологій приготування їжі,  збереження здоров’я дітей, заміна існуючого  та фізично зношеного технологічного обладнання на енергоефективне</w:t>
            </w:r>
          </w:p>
        </w:tc>
      </w:tr>
      <w:tr>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color w:val="000000"/>
                <w:sz w:val="24"/>
                <w:szCs w:val="24"/>
              </w:rPr>
              <w:t>Капітальний ремонт спортивних залів із заміною спортивного  обладнання</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Департамент освіти і науки, молоді та спорту</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 219 590,5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(бюджет розвитку):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68 165,0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73 686,4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77 739,1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Покращення фізкультурно-оздоровчої роботи в навчальних закладах, зміцнення здоров’я учнів</w:t>
            </w:r>
          </w:p>
        </w:tc>
      </w:tr>
      <w:tr>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bottom"/>
          </w:tcPr>
          <w:p>
            <w:pPr>
              <w:pStyle w:val="Normal"/>
              <w:spacing w:lineRule="auto" w:line="240" w:before="0" w:after="0"/>
              <w:rPr>
                <w:rFonts w:ascii="Times New Roman" w:hAnsi="Times New Roman" w:cs="Times New Roman"/>
                <w:sz w:val="24"/>
                <w:szCs w:val="24"/>
              </w:rPr>
            </w:pPr>
            <w:r>
              <w:rPr>
                <w:rFonts w:cs="Times New Roman" w:ascii="Times New Roman" w:hAnsi="Times New Roman"/>
                <w:color w:val="000000"/>
                <w:sz w:val="24"/>
                <w:szCs w:val="24"/>
              </w:rPr>
              <w:t>Відновлення дошкільних навчальних закладів</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Департамент освіти і науки, молоді та спорту</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w:t>
            </w:r>
            <w:r>
              <w:rPr/>
              <w:t xml:space="preserve"> </w:t>
            </w:r>
            <w:r>
              <w:rPr>
                <w:rFonts w:cs="Times New Roman" w:ascii="Times New Roman" w:hAnsi="Times New Roman"/>
                <w:sz w:val="24"/>
                <w:szCs w:val="24"/>
              </w:rPr>
              <w:t>спеціальний фонд 93 805,3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29 118,9</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31 477,6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33 208,8</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потреб населення місцями у дошкільних навчальних закладах</w:t>
            </w:r>
          </w:p>
        </w:tc>
      </w:tr>
      <w:tr>
        <w:trPr>
          <w:trHeight w:val="576" w:hRule="atLeast"/>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83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Разом:</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м. Києва</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спеціальний фонд</w:t>
            </w:r>
          </w:p>
          <w:p>
            <w:pPr>
              <w:pStyle w:val="Normal"/>
              <w:spacing w:lineRule="auto" w:line="240" w:before="0" w:after="0"/>
              <w:rPr>
                <w:rFonts w:ascii="Times New Roman" w:hAnsi="Times New Roman" w:cs="Times New Roman"/>
                <w:sz w:val="24"/>
                <w:szCs w:val="24"/>
              </w:rPr>
            </w:pPr>
            <w:r>
              <w:rPr/>
              <w:t xml:space="preserve"> </w:t>
            </w:r>
            <w:r>
              <w:rPr>
                <w:rFonts w:cs="Times New Roman" w:ascii="Times New Roman" w:hAnsi="Times New Roman"/>
                <w:sz w:val="24"/>
                <w:szCs w:val="24"/>
              </w:rPr>
              <w:t>3 646 731,4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eastAsia="Times New Roman" w:cs="Times New Roman"/>
                <w:bCs/>
                <w:sz w:val="24"/>
                <w:szCs w:val="24"/>
                <w:lang w:eastAsia="uk-UA"/>
              </w:rPr>
            </w:pPr>
            <w:r>
              <w:rPr>
                <w:rFonts w:eastAsia="Times New Roman" w:cs="Times New Roman" w:ascii="Times New Roman" w:hAnsi="Times New Roman"/>
                <w:bCs/>
                <w:sz w:val="24"/>
                <w:szCs w:val="24"/>
                <w:lang w:eastAsia="uk-UA"/>
              </w:rPr>
              <w:t>2 674 392,3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eastAsia="Times New Roman" w:cs="Times New Roman"/>
                <w:bCs/>
                <w:sz w:val="24"/>
                <w:szCs w:val="24"/>
                <w:lang w:eastAsia="uk-UA"/>
              </w:rPr>
            </w:pPr>
            <w:r>
              <w:rPr>
                <w:rFonts w:cs="Times New Roman" w:ascii="Times New Roman" w:hAnsi="Times New Roman"/>
                <w:sz w:val="24"/>
                <w:szCs w:val="24"/>
              </w:rPr>
              <w:t>2016 – 624 353,8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2017 – </w:t>
            </w:r>
            <w:r>
              <w:rPr>
                <w:rFonts w:eastAsia="Times New Roman" w:cs="Times New Roman" w:ascii="Times New Roman" w:hAnsi="Times New Roman"/>
                <w:bCs/>
                <w:sz w:val="24"/>
                <w:szCs w:val="24"/>
                <w:lang w:eastAsia="uk-UA"/>
              </w:rPr>
              <w:t>995 736,9</w:t>
            </w:r>
          </w:p>
          <w:p>
            <w:pPr>
              <w:pStyle w:val="Normal"/>
              <w:spacing w:lineRule="auto" w:line="240" w:before="0" w:after="0"/>
              <w:rPr>
                <w:rFonts w:ascii="Times New Roman" w:hAnsi="Times New Roman" w:eastAsia="Times New Roman" w:cs="Times New Roman"/>
                <w:bCs/>
                <w:sz w:val="24"/>
                <w:szCs w:val="24"/>
                <w:lang w:eastAsia="uk-UA"/>
              </w:rPr>
            </w:pPr>
            <w:r>
              <w:rPr>
                <w:rFonts w:cs="Times New Roman" w:ascii="Times New Roman" w:hAnsi="Times New Roman"/>
                <w:sz w:val="24"/>
                <w:szCs w:val="24"/>
              </w:rPr>
              <w:t xml:space="preserve">2018 – </w:t>
            </w:r>
            <w:r>
              <w:rPr>
                <w:rFonts w:eastAsia="Times New Roman" w:cs="Times New Roman" w:ascii="Times New Roman" w:hAnsi="Times New Roman"/>
                <w:bCs/>
                <w:sz w:val="24"/>
                <w:szCs w:val="24"/>
                <w:lang w:eastAsia="uk-UA"/>
              </w:rPr>
              <w:t>1 054 301,6</w:t>
            </w:r>
          </w:p>
          <w:p>
            <w:pPr>
              <w:pStyle w:val="Normal"/>
              <w:spacing w:lineRule="auto" w:line="240" w:before="0" w:after="0"/>
              <w:rPr>
                <w:rFonts w:ascii="Times New Roman" w:hAnsi="Times New Roman" w:eastAsia="Times New Roman" w:cs="Times New Roman"/>
                <w:bCs/>
                <w:sz w:val="24"/>
                <w:szCs w:val="24"/>
                <w:lang w:eastAsia="uk-UA"/>
              </w:rPr>
            </w:pPr>
            <w:r>
              <w:rPr>
                <w:rFonts w:eastAsia="Times New Roman" w:cs="Times New Roman" w:ascii="Times New Roman" w:hAnsi="Times New Roman"/>
                <w:bCs/>
                <w:sz w:val="24"/>
                <w:szCs w:val="24"/>
                <w:lang w:eastAsia="uk-UA"/>
              </w:rPr>
              <w:t>Інші джерела 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972 339,1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305 607,8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340 825,3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325 906,0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c>
      </w:tr>
    </w:tbl>
    <w:p>
      <w:pPr>
        <w:pStyle w:val="Normal"/>
        <w:rPr>
          <w:rFonts w:ascii="Times New Roman" w:hAnsi="Times New Roman" w:cs="Times New Roman"/>
          <w:sz w:val="28"/>
          <w:szCs w:val="28"/>
        </w:rPr>
      </w:pPr>
      <w:r>
        <w:rPr>
          <w:rFonts w:cs="Times New Roman" w:ascii="Times New Roman" w:hAnsi="Times New Roman"/>
          <w:sz w:val="28"/>
          <w:szCs w:val="28"/>
        </w:rPr>
      </w:r>
    </w:p>
    <w:tbl>
      <w:tblPr>
        <w:tblW w:w="15183" w:type="dxa"/>
        <w:jc w:val="left"/>
        <w:tblInd w:w="93" w:type="dxa"/>
        <w:tblBorders/>
        <w:tblCellMar>
          <w:top w:w="0" w:type="dxa"/>
          <w:left w:w="108" w:type="dxa"/>
          <w:bottom w:w="0" w:type="dxa"/>
          <w:right w:w="108" w:type="dxa"/>
        </w:tblCellMar>
        <w:tblLook w:firstRow="1" w:noVBand="1" w:lastRow="0" w:firstColumn="1" w:lastColumn="0" w:noHBand="0" w:val="04a0"/>
      </w:tblPr>
      <w:tblGrid>
        <w:gridCol w:w="660"/>
        <w:gridCol w:w="6160"/>
        <w:gridCol w:w="1562"/>
        <w:gridCol w:w="1701"/>
        <w:gridCol w:w="1688"/>
        <w:gridCol w:w="1675"/>
        <w:gridCol w:w="1"/>
        <w:gridCol w:w="1735"/>
      </w:tblGrid>
      <w:tr>
        <w:trPr>
          <w:trHeight w:val="531" w:hRule="atLeast"/>
        </w:trPr>
        <w:tc>
          <w:tcPr>
            <w:tcW w:w="15182" w:type="dxa"/>
            <w:gridSpan w:val="8"/>
            <w:tcBorders/>
            <w:shd w:color="000000" w:fill="FFFFFF" w:val="clear"/>
            <w:vAlign w:val="center"/>
          </w:tcPr>
          <w:p>
            <w:pPr>
              <w:pStyle w:val="1"/>
              <w:spacing w:before="120" w:after="120"/>
              <w:jc w:val="center"/>
              <w:rPr>
                <w:rFonts w:ascii="Times New Roman" w:hAnsi="Times New Roman" w:eastAsia="Times New Roman" w:cs="Times New Roman"/>
                <w:b w:val="false"/>
                <w:b w:val="false"/>
                <w:color w:val="00000A"/>
                <w:lang w:eastAsia="uk-UA"/>
              </w:rPr>
            </w:pPr>
            <w:r>
              <w:rPr>
                <w:rFonts w:eastAsia="Times New Roman" w:cs="Times New Roman" w:ascii="Times New Roman" w:hAnsi="Times New Roman"/>
                <w:b w:val="false"/>
                <w:color w:val="00000A"/>
                <w:lang w:eastAsia="uk-UA"/>
              </w:rPr>
              <w:t>Очікувані результативні показники виконання підпрограми</w:t>
            </w:r>
          </w:p>
          <w:p>
            <w:pPr>
              <w:pStyle w:val="1"/>
              <w:spacing w:before="120" w:after="120"/>
              <w:jc w:val="center"/>
              <w:rPr>
                <w:rFonts w:ascii="Times New Roman" w:hAnsi="Times New Roman" w:cs="Times New Roman"/>
                <w:b w:val="false"/>
                <w:b w:val="false"/>
              </w:rPr>
            </w:pPr>
            <w:r>
              <w:rPr>
                <w:rFonts w:eastAsia="Times New Roman" w:cs="Times New Roman" w:ascii="Times New Roman" w:hAnsi="Times New Roman"/>
                <w:bCs w:val="false"/>
                <w:lang w:eastAsia="uk-UA"/>
              </w:rPr>
              <w:t xml:space="preserve"> </w:t>
            </w:r>
            <w:r>
              <w:rPr>
                <w:rFonts w:cs="Times New Roman" w:ascii="Times New Roman" w:hAnsi="Times New Roman"/>
                <w:b w:val="false"/>
                <w:color w:val="00000A"/>
              </w:rPr>
              <w:t>«Будівництво, реконструкція та капітальний ремонт закладів освіти»</w:t>
            </w:r>
          </w:p>
          <w:p>
            <w:pPr>
              <w:pStyle w:val="Normal"/>
              <w:spacing w:lineRule="auto" w:line="240" w:before="0" w:after="0"/>
              <w:jc w:val="center"/>
              <w:rPr>
                <w:rFonts w:ascii="Times New Roman" w:hAnsi="Times New Roman" w:eastAsia="Times New Roman" w:cs="Times New Roman"/>
                <w:bCs/>
                <w:sz w:val="28"/>
                <w:szCs w:val="28"/>
                <w:lang w:eastAsia="uk-UA"/>
              </w:rPr>
            </w:pPr>
            <w:r>
              <w:rPr>
                <w:rFonts w:eastAsia="Times New Roman" w:cs="Times New Roman" w:ascii="Times New Roman" w:hAnsi="Times New Roman"/>
                <w:bCs/>
                <w:sz w:val="28"/>
                <w:szCs w:val="28"/>
                <w:lang w:eastAsia="uk-UA"/>
              </w:rPr>
            </w:r>
          </w:p>
        </w:tc>
      </w:tr>
      <w:tr>
        <w:trPr>
          <w:trHeight w:val="439" w:hRule="atLeast"/>
        </w:trPr>
        <w:tc>
          <w:tcPr>
            <w:tcW w:w="660" w:type="dxa"/>
            <w:vMerge w:val="restart"/>
            <w:tcBorders>
              <w:top w:val="single" w:sz="8"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w:t>
            </w:r>
          </w:p>
        </w:tc>
        <w:tc>
          <w:tcPr>
            <w:tcW w:w="6160" w:type="dxa"/>
            <w:vMerge w:val="restart"/>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Обсяг коштів на виконання підпрограми</w:t>
            </w:r>
          </w:p>
        </w:tc>
        <w:tc>
          <w:tcPr>
            <w:tcW w:w="1562" w:type="dxa"/>
            <w:vMerge w:val="restart"/>
            <w:tcBorders>
              <w:top w:val="single" w:sz="8" w:space="0" w:color="00000A"/>
              <w:left w:val="single" w:sz="4" w:space="0" w:color="00000A"/>
              <w:bottom w:val="single" w:sz="4" w:space="0" w:color="000001"/>
              <w:right w:val="single" w:sz="4" w:space="0" w:color="00000A"/>
              <w:insideH w:val="single" w:sz="4" w:space="0" w:color="000001"/>
              <w:insideV w:val="single" w:sz="4" w:space="0" w:color="00000A"/>
            </w:tcBorders>
            <w:shd w:color="000000" w:fill="FFFFFF" w:val="clear"/>
            <w:tcMar>
              <w:left w:w="103"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Одиниці вимірювання</w:t>
            </w:r>
          </w:p>
        </w:tc>
        <w:tc>
          <w:tcPr>
            <w:tcW w:w="5064" w:type="dxa"/>
            <w:gridSpan w:val="3"/>
            <w:tcBorders>
              <w:top w:val="single" w:sz="8" w:space="0" w:color="00000A"/>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Етапи виконання підпрограми за роками</w:t>
            </w:r>
          </w:p>
        </w:tc>
        <w:tc>
          <w:tcPr>
            <w:tcW w:w="1736" w:type="dxa"/>
            <w:gridSpan w:val="2"/>
            <w:vMerge w:val="restart"/>
            <w:tcBorders>
              <w:top w:val="single" w:sz="8" w:space="0" w:color="00000A"/>
              <w:right w:val="single" w:sz="8" w:space="0" w:color="00000A"/>
              <w:insideV w:val="single" w:sz="8"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Усього витрат на виконання підпрограми</w:t>
            </w:r>
          </w:p>
        </w:tc>
      </w:tr>
      <w:tr>
        <w:trPr>
          <w:trHeight w:val="347" w:hRule="atLeast"/>
        </w:trPr>
        <w:tc>
          <w:tcPr>
            <w:tcW w:w="660" w:type="dxa"/>
            <w:vMerge w:val="continue"/>
            <w:tcBorders>
              <w:top w:val="single" w:sz="8" w:space="0" w:color="00000A"/>
              <w:left w:val="single" w:sz="8" w:space="0" w:color="00000A"/>
              <w:bottom w:val="single" w:sz="4" w:space="0" w:color="00000A"/>
              <w:right w:val="single" w:sz="4" w:space="0" w:color="00000A"/>
              <w:insideH w:val="single" w:sz="4" w:space="0" w:color="00000A"/>
              <w:insideV w:val="single" w:sz="4" w:space="0" w:color="00000A"/>
            </w:tcBorders>
            <w:shd w:fill="auto"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tc>
        <w:tc>
          <w:tcPr>
            <w:tcW w:w="6160" w:type="dxa"/>
            <w:vMerge w:val="continue"/>
            <w:tcBorders>
              <w:top w:val="single" w:sz="8"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tc>
        <w:tc>
          <w:tcPr>
            <w:tcW w:w="1562" w:type="dxa"/>
            <w:vMerge w:val="continue"/>
            <w:tcBorders>
              <w:top w:val="single" w:sz="8"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3"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2016</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2017</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2018</w:t>
            </w:r>
          </w:p>
        </w:tc>
        <w:tc>
          <w:tcPr>
            <w:tcW w:w="1735" w:type="dxa"/>
            <w:vMerge w:val="continue"/>
            <w:tcBorders>
              <w:bottom w:val="single" w:sz="4" w:space="0" w:color="00000A"/>
              <w:right w:val="single" w:sz="8" w:space="0" w:color="00000A"/>
              <w:insideH w:val="single" w:sz="4" w:space="0" w:color="00000A"/>
              <w:insideV w:val="single" w:sz="8"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tc>
      </w:tr>
      <w:tr>
        <w:trPr>
          <w:trHeight w:val="460" w:hRule="atLeast"/>
        </w:trPr>
        <w:tc>
          <w:tcPr>
            <w:tcW w:w="15182" w:type="dxa"/>
            <w:gridSpan w:val="8"/>
            <w:tcBorders>
              <w:top w:val="single" w:sz="8" w:space="0" w:color="00000A"/>
              <w:left w:val="single" w:sz="8" w:space="0" w:color="00000A"/>
              <w:bottom w:val="single" w:sz="8" w:space="0" w:color="00000A"/>
              <w:right w:val="single" w:sz="8" w:space="0" w:color="000001"/>
              <w:insideH w:val="single" w:sz="8" w:space="0" w:color="00000A"/>
              <w:insideV w:val="single" w:sz="8" w:space="0" w:color="000001"/>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bCs/>
                <w:sz w:val="24"/>
                <w:szCs w:val="24"/>
                <w:lang w:eastAsia="uk-UA"/>
              </w:rPr>
            </w:pPr>
            <w:r>
              <w:rPr>
                <w:rFonts w:eastAsia="Times New Roman" w:cs="Times New Roman" w:ascii="Times New Roman" w:hAnsi="Times New Roman"/>
                <w:bCs/>
                <w:sz w:val="24"/>
                <w:szCs w:val="24"/>
                <w:lang w:eastAsia="uk-UA"/>
              </w:rPr>
              <w:t>Сучасні умови для навчання та виховання</w:t>
            </w:r>
          </w:p>
        </w:tc>
      </w:tr>
      <w:tr>
        <w:trPr>
          <w:trHeight w:val="397" w:hRule="atLeast"/>
        </w:trPr>
        <w:tc>
          <w:tcPr>
            <w:tcW w:w="660" w:type="dxa"/>
            <w:tcBorders>
              <w:left w:val="single" w:sz="8" w:space="0" w:color="00000A"/>
              <w:right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r>
          </w:p>
        </w:tc>
        <w:tc>
          <w:tcPr>
            <w:tcW w:w="6160" w:type="dxa"/>
            <w:tcBorders>
              <w:right w:val="single" w:sz="4" w:space="0" w:color="00000A"/>
              <w:insideV w:val="single" w:sz="4"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bCs/>
                <w:sz w:val="24"/>
                <w:szCs w:val="24"/>
                <w:lang w:eastAsia="uk-UA"/>
              </w:rPr>
            </w:pPr>
            <w:r>
              <w:rPr>
                <w:rFonts w:eastAsia="Times New Roman" w:cs="Times New Roman" w:ascii="Times New Roman" w:hAnsi="Times New Roman"/>
                <w:bCs/>
                <w:sz w:val="24"/>
                <w:szCs w:val="24"/>
                <w:lang w:eastAsia="uk-UA"/>
              </w:rPr>
              <w:t>Бюджет м. Києва</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тис. грн.</w:t>
            </w:r>
          </w:p>
        </w:tc>
        <w:tc>
          <w:tcPr>
            <w:tcW w:w="1701" w:type="dxa"/>
            <w:tcBorders>
              <w:right w:val="single" w:sz="4" w:space="0" w:color="00000A"/>
              <w:insideV w:val="single" w:sz="4" w:space="0" w:color="00000A"/>
            </w:tcBorders>
            <w:shd w:color="000000" w:fill="FFFFFF" w:val="clear"/>
          </w:tcPr>
          <w:p>
            <w:pPr>
              <w:pStyle w:val="Normal"/>
              <w:spacing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929 961,6</w:t>
            </w:r>
          </w:p>
        </w:tc>
        <w:tc>
          <w:tcPr>
            <w:tcW w:w="1688" w:type="dxa"/>
            <w:tcBorders>
              <w:right w:val="single" w:sz="4" w:space="0" w:color="00000A"/>
              <w:insideV w:val="single" w:sz="4" w:space="0" w:color="00000A"/>
            </w:tcBorders>
            <w:shd w:color="000000" w:fill="FFFFFF" w:val="clear"/>
          </w:tcPr>
          <w:p>
            <w:pPr>
              <w:pStyle w:val="Normal"/>
              <w:spacing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1 336 562,2</w:t>
            </w:r>
          </w:p>
        </w:tc>
        <w:tc>
          <w:tcPr>
            <w:tcW w:w="1676" w:type="dxa"/>
            <w:gridSpan w:val="2"/>
            <w:tcBorders>
              <w:right w:val="single" w:sz="4" w:space="0" w:color="00000A"/>
              <w:insideV w:val="single" w:sz="4" w:space="0" w:color="00000A"/>
            </w:tcBorders>
            <w:shd w:color="000000" w:fill="FFFFFF" w:val="clear"/>
          </w:tcPr>
          <w:p>
            <w:pPr>
              <w:pStyle w:val="Normal"/>
              <w:spacing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1 380 207,6</w:t>
            </w:r>
          </w:p>
        </w:tc>
        <w:tc>
          <w:tcPr>
            <w:tcW w:w="1735" w:type="dxa"/>
            <w:tcBorders>
              <w:right w:val="single" w:sz="4" w:space="0" w:color="00000A"/>
              <w:insideV w:val="single" w:sz="4" w:space="0" w:color="00000A"/>
            </w:tcBorders>
            <w:shd w:color="000000" w:fill="FFFFFF" w:val="clear"/>
          </w:tcPr>
          <w:p>
            <w:pPr>
              <w:pStyle w:val="Normal"/>
              <w:spacing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3 646 731,4</w:t>
            </w:r>
          </w:p>
        </w:tc>
      </w:tr>
      <w:tr>
        <w:trPr>
          <w:trHeight w:val="420" w:hRule="atLeast"/>
        </w:trPr>
        <w:tc>
          <w:tcPr>
            <w:tcW w:w="15182" w:type="dxa"/>
            <w:gridSpan w:val="8"/>
            <w:tcBorders>
              <w:top w:val="single" w:sz="8" w:space="0" w:color="00000A"/>
              <w:left w:val="single" w:sz="8" w:space="0" w:color="00000A"/>
              <w:bottom w:val="single" w:sz="4" w:space="0" w:color="00000A"/>
              <w:right w:val="single" w:sz="8" w:space="0" w:color="000001"/>
              <w:insideH w:val="single" w:sz="4" w:space="0" w:color="00000A"/>
              <w:insideV w:val="single" w:sz="8" w:space="0" w:color="000001"/>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eastAsia="Times New Roman" w:cs="Times New Roman" w:ascii="Times New Roman" w:hAnsi="Times New Roman" w:asciiTheme="majorBidi" w:cstheme="majorBidi" w:hAnsiTheme="majorBidi"/>
                <w:bCs/>
                <w:sz w:val="24"/>
                <w:szCs w:val="24"/>
                <w:lang w:eastAsia="uk-UA"/>
              </w:rPr>
              <w:t>Показники затрат</w:t>
            </w:r>
          </w:p>
        </w:tc>
      </w:tr>
      <w:tr>
        <w:trPr>
          <w:trHeight w:val="497"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1</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Обсяг видатків на будівництво (реконструкцію) навчальних закладів</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тис. грн.</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384 016,4</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735 932,2</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780 207,6</w:t>
            </w:r>
          </w:p>
        </w:tc>
        <w:tc>
          <w:tcPr>
            <w:tcW w:w="1735" w:type="dxa"/>
            <w:tcBorders>
              <w:bottom w:val="single" w:sz="4" w:space="0" w:color="00000A"/>
              <w:right w:val="single" w:sz="8" w:space="0" w:color="00000A"/>
              <w:insideH w:val="single" w:sz="4" w:space="0" w:color="00000A"/>
              <w:insideV w:val="single" w:sz="8" w:space="0" w:color="00000A"/>
            </w:tcBorders>
            <w:shd w:color="auto" w:fill="auto"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eastAsia="Times New Roman" w:cs="Times New Roman" w:cstheme="majorBidi" w:ascii="Times New Roman" w:hAnsi="Times New Roman"/>
                <w:bCs/>
                <w:sz w:val="24"/>
                <w:szCs w:val="24"/>
                <w:lang w:eastAsia="uk-UA"/>
              </w:rPr>
            </w:r>
          </w:p>
        </w:tc>
      </w:tr>
      <w:tr>
        <w:trPr>
          <w:trHeight w:val="655"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обсяг видатків на проведення капітального ремонту навчальних закладів</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тис. грн.</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400 432,8</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443 331,1</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434 049,7</w:t>
            </w:r>
          </w:p>
        </w:tc>
        <w:tc>
          <w:tcPr>
            <w:tcW w:w="1735" w:type="dxa"/>
            <w:tcBorders>
              <w:bottom w:val="single" w:sz="4" w:space="0" w:color="00000A"/>
              <w:right w:val="single" w:sz="8" w:space="0" w:color="00000A"/>
              <w:insideH w:val="single" w:sz="4" w:space="0" w:color="00000A"/>
              <w:insideV w:val="single" w:sz="8" w:space="0" w:color="00000A"/>
            </w:tcBorders>
            <w:shd w:color="auto" w:fill="auto"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eastAsia="Times New Roman" w:cs="Times New Roman" w:cstheme="majorBidi" w:ascii="Times New Roman" w:hAnsi="Times New Roman"/>
                <w:bCs/>
                <w:sz w:val="24"/>
                <w:szCs w:val="24"/>
                <w:lang w:eastAsia="uk-UA"/>
              </w:rPr>
            </w:r>
          </w:p>
        </w:tc>
      </w:tr>
      <w:tr>
        <w:trPr>
          <w:trHeight w:val="610"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3</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обсяг видатків на заміну вікон у навчальних закладах м. Києва</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тис. грн.</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41 887,4</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45 280,2</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47 770,7</w:t>
            </w:r>
          </w:p>
        </w:tc>
        <w:tc>
          <w:tcPr>
            <w:tcW w:w="1735"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eastAsia="Times New Roman" w:cs="Times New Roman" w:cstheme="majorBidi" w:ascii="Times New Roman" w:hAnsi="Times New Roman"/>
                <w:bCs/>
                <w:sz w:val="24"/>
                <w:szCs w:val="24"/>
                <w:lang w:eastAsia="uk-UA"/>
              </w:rPr>
            </w:r>
          </w:p>
        </w:tc>
      </w:tr>
      <w:tr>
        <w:trPr>
          <w:trHeight w:val="664"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4</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обсяг видатків на проведення капітального ремонту приміщень (харчоблоків ) із заміною обладнання</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тис. грн.</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6 341,1</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6 854,7</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7 231,7</w:t>
            </w:r>
          </w:p>
        </w:tc>
        <w:tc>
          <w:tcPr>
            <w:tcW w:w="1735"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eastAsia="Times New Roman" w:cs="Times New Roman" w:cstheme="majorBidi" w:ascii="Times New Roman" w:hAnsi="Times New Roman"/>
                <w:bCs/>
                <w:sz w:val="24"/>
                <w:szCs w:val="24"/>
                <w:lang w:eastAsia="uk-UA"/>
              </w:rPr>
            </w:r>
          </w:p>
        </w:tc>
      </w:tr>
      <w:tr>
        <w:trPr>
          <w:trHeight w:val="325" w:hRule="atLeast"/>
        </w:trPr>
        <w:tc>
          <w:tcPr>
            <w:tcW w:w="660"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5</w:t>
            </w:r>
          </w:p>
        </w:tc>
        <w:tc>
          <w:tcPr>
            <w:tcW w:w="6160"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обсяг видатків на проведення капітального ремонту спортзалів із заміною обладнання</w:t>
            </w:r>
          </w:p>
        </w:tc>
        <w:tc>
          <w:tcPr>
            <w:tcW w:w="1562"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тис. грн.</w:t>
            </w:r>
          </w:p>
        </w:tc>
        <w:tc>
          <w:tcPr>
            <w:tcW w:w="1701"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68 165,0</w:t>
            </w:r>
          </w:p>
        </w:tc>
        <w:tc>
          <w:tcPr>
            <w:tcW w:w="1688"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73 686,4</w:t>
            </w:r>
          </w:p>
        </w:tc>
        <w:tc>
          <w:tcPr>
            <w:tcW w:w="1676"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77 739,1</w:t>
            </w:r>
          </w:p>
        </w:tc>
        <w:tc>
          <w:tcPr>
            <w:tcW w:w="1735" w:type="dxa"/>
            <w:tcBorders>
              <w:top w:val="single" w:sz="4" w:space="0" w:color="00000A"/>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eastAsia="Times New Roman" w:cs="Times New Roman" w:cstheme="majorBidi" w:ascii="Times New Roman" w:hAnsi="Times New Roman"/>
                <w:bCs/>
                <w:sz w:val="24"/>
                <w:szCs w:val="24"/>
                <w:lang w:eastAsia="uk-UA"/>
              </w:rPr>
            </w:r>
          </w:p>
        </w:tc>
      </w:tr>
      <w:tr>
        <w:trPr>
          <w:trHeight w:val="214" w:hRule="atLeast"/>
        </w:trPr>
        <w:tc>
          <w:tcPr>
            <w:tcW w:w="660"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6</w:t>
            </w:r>
          </w:p>
        </w:tc>
        <w:tc>
          <w:tcPr>
            <w:tcW w:w="6160"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обсяг видатків на відновлення дошкільних навчальних закладів</w:t>
            </w:r>
          </w:p>
        </w:tc>
        <w:tc>
          <w:tcPr>
            <w:tcW w:w="1562"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тис. грн.</w:t>
            </w:r>
          </w:p>
        </w:tc>
        <w:tc>
          <w:tcPr>
            <w:tcW w:w="1701"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29 118,9</w:t>
            </w:r>
          </w:p>
        </w:tc>
        <w:tc>
          <w:tcPr>
            <w:tcW w:w="1688"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31 477,6</w:t>
            </w:r>
          </w:p>
        </w:tc>
        <w:tc>
          <w:tcPr>
            <w:tcW w:w="1676"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cs="Times New Roman" w:ascii="Times New Roman" w:hAnsi="Times New Roman" w:asciiTheme="majorBidi" w:cstheme="majorBidi" w:hAnsiTheme="majorBidi"/>
                <w:sz w:val="24"/>
                <w:szCs w:val="24"/>
              </w:rPr>
              <w:t>33 208,8</w:t>
            </w:r>
          </w:p>
        </w:tc>
        <w:tc>
          <w:tcPr>
            <w:tcW w:w="1735" w:type="dxa"/>
            <w:tcBorders>
              <w:top w:val="single" w:sz="4" w:space="0" w:color="00000A"/>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eastAsia="Times New Roman" w:cs="Times New Roman" w:cstheme="majorBidi" w:ascii="Times New Roman" w:hAnsi="Times New Roman"/>
                <w:bCs/>
                <w:sz w:val="24"/>
                <w:szCs w:val="24"/>
                <w:lang w:eastAsia="uk-UA"/>
              </w:rPr>
            </w:r>
          </w:p>
        </w:tc>
      </w:tr>
      <w:tr>
        <w:trPr>
          <w:trHeight w:val="384" w:hRule="atLeast"/>
        </w:trPr>
        <w:tc>
          <w:tcPr>
            <w:tcW w:w="15182" w:type="dxa"/>
            <w:gridSpan w:val="8"/>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000000" w:fill="FFFFFF" w:val="clear"/>
            <w:tcMar>
              <w:left w:w="103" w:type="dxa"/>
            </w:tcMar>
            <w:vAlign w:val="center"/>
          </w:tcPr>
          <w:p>
            <w:pPr>
              <w:pStyle w:val="Normal"/>
              <w:spacing w:lineRule="auto" w:line="240" w:before="0" w:after="0"/>
              <w:jc w:val="center"/>
              <w:rPr>
                <w:rFonts w:ascii="Times New Roman" w:hAnsi="Times New Roman" w:eastAsia="Times New Roman" w:cs="Times New Roman" w:asciiTheme="majorBidi" w:cstheme="majorBidi" w:hAnsiTheme="majorBidi"/>
                <w:bCs/>
                <w:i/>
                <w:i/>
                <w:iCs/>
                <w:sz w:val="24"/>
                <w:szCs w:val="24"/>
                <w:lang w:eastAsia="uk-UA"/>
              </w:rPr>
            </w:pPr>
            <w:r>
              <w:rPr>
                <w:rFonts w:eastAsia="Times New Roman" w:cs="Times New Roman" w:ascii="Times New Roman" w:hAnsi="Times New Roman" w:asciiTheme="majorBidi" w:cstheme="majorBidi" w:hAnsiTheme="majorBidi"/>
                <w:bCs/>
                <w:i/>
                <w:iCs/>
                <w:sz w:val="24"/>
                <w:szCs w:val="24"/>
                <w:lang w:eastAsia="uk-UA"/>
              </w:rPr>
              <w:t>Показники продукту</w:t>
            </w:r>
          </w:p>
        </w:tc>
      </w:tr>
      <w:tr>
        <w:trPr>
          <w:trHeight w:val="568"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1</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 xml:space="preserve">Кількість закладів в яких здійснюється будівництво (реконструкцію) </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од.</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51</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51</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51</w:t>
            </w:r>
          </w:p>
        </w:tc>
        <w:tc>
          <w:tcPr>
            <w:tcW w:w="1735"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r>
        <w:trPr>
          <w:trHeight w:val="572"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2</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кількість закладів в яких проводиться капітальний ремонт навчальних закладів</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од.</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420</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454</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479</w:t>
            </w:r>
          </w:p>
        </w:tc>
        <w:tc>
          <w:tcPr>
            <w:tcW w:w="1735"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r>
        <w:trPr>
          <w:trHeight w:val="559"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3</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кількість закладів в яких проводиться заміна вікон у навчальних закладах м. Києва</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од.</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146</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169</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186</w:t>
            </w:r>
          </w:p>
        </w:tc>
        <w:tc>
          <w:tcPr>
            <w:tcW w:w="1735"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r>
        <w:trPr>
          <w:trHeight w:val="651"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4</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кількість закладів в яких здійснюється капітальний ремонт приміщень (харчоблоків ) із заміною обладнання</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од.</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59</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59</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59</w:t>
            </w:r>
          </w:p>
        </w:tc>
        <w:tc>
          <w:tcPr>
            <w:tcW w:w="1735"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r>
        <w:trPr>
          <w:trHeight w:val="525" w:hRule="atLeast"/>
        </w:trPr>
        <w:tc>
          <w:tcPr>
            <w:tcW w:w="660"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5</w:t>
            </w:r>
          </w:p>
        </w:tc>
        <w:tc>
          <w:tcPr>
            <w:tcW w:w="6160"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кількість закладів в яких здійснюється капітальний ремонт спортзалів із заміною обладнання</w:t>
            </w:r>
          </w:p>
        </w:tc>
        <w:tc>
          <w:tcPr>
            <w:tcW w:w="1562"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од.</w:t>
            </w:r>
          </w:p>
        </w:tc>
        <w:tc>
          <w:tcPr>
            <w:tcW w:w="1701"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66</w:t>
            </w:r>
          </w:p>
        </w:tc>
        <w:tc>
          <w:tcPr>
            <w:tcW w:w="1688"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59</w:t>
            </w:r>
          </w:p>
        </w:tc>
        <w:tc>
          <w:tcPr>
            <w:tcW w:w="1676"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53</w:t>
            </w:r>
          </w:p>
        </w:tc>
        <w:tc>
          <w:tcPr>
            <w:tcW w:w="1735" w:type="dxa"/>
            <w:tcBorders>
              <w:top w:val="single" w:sz="4" w:space="0" w:color="00000A"/>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r>
        <w:trPr>
          <w:trHeight w:val="467" w:hRule="atLeast"/>
        </w:trPr>
        <w:tc>
          <w:tcPr>
            <w:tcW w:w="660"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sz w:val="24"/>
                <w:szCs w:val="24"/>
                <w:lang w:eastAsia="uk-UA"/>
              </w:rPr>
            </w:pPr>
            <w:r>
              <w:rPr>
                <w:rFonts w:eastAsia="Times New Roman" w:cs="Times New Roman" w:ascii="Times New Roman" w:hAnsi="Times New Roman"/>
                <w:sz w:val="24"/>
                <w:szCs w:val="24"/>
                <w:lang w:eastAsia="uk-UA"/>
              </w:rPr>
              <w:t>6</w:t>
            </w:r>
          </w:p>
        </w:tc>
        <w:tc>
          <w:tcPr>
            <w:tcW w:w="6160"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кількість відновленних дошкільних навчальних закладів</w:t>
            </w:r>
          </w:p>
        </w:tc>
        <w:tc>
          <w:tcPr>
            <w:tcW w:w="1562"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од.</w:t>
            </w:r>
          </w:p>
        </w:tc>
        <w:tc>
          <w:tcPr>
            <w:tcW w:w="1701"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27</w:t>
            </w:r>
          </w:p>
        </w:tc>
        <w:tc>
          <w:tcPr>
            <w:tcW w:w="1688"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28</w:t>
            </w:r>
          </w:p>
        </w:tc>
        <w:tc>
          <w:tcPr>
            <w:tcW w:w="1676"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28</w:t>
            </w:r>
          </w:p>
        </w:tc>
        <w:tc>
          <w:tcPr>
            <w:tcW w:w="1735" w:type="dxa"/>
            <w:tcBorders>
              <w:top w:val="single" w:sz="4" w:space="0" w:color="00000A"/>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r>
        <w:trPr>
          <w:trHeight w:val="510" w:hRule="atLeast"/>
        </w:trPr>
        <w:tc>
          <w:tcPr>
            <w:tcW w:w="15182" w:type="dxa"/>
            <w:gridSpan w:val="8"/>
            <w:tcBorders>
              <w:top w:val="single" w:sz="4" w:space="0" w:color="00000A"/>
              <w:left w:val="single" w:sz="8" w:space="0" w:color="00000A"/>
              <w:bottom w:val="single" w:sz="4" w:space="0" w:color="00000A"/>
              <w:right w:val="single" w:sz="8" w:space="0" w:color="000001"/>
              <w:insideH w:val="single" w:sz="4" w:space="0" w:color="00000A"/>
              <w:insideV w:val="single" w:sz="8" w:space="0" w:color="000001"/>
            </w:tcBorders>
            <w:shd w:color="000000" w:fill="FFFFFF" w:val="clear"/>
            <w:tcMar>
              <w:left w:w="98" w:type="dxa"/>
            </w:tcMar>
            <w:vAlign w:val="center"/>
          </w:tcPr>
          <w:p>
            <w:pPr>
              <w:pStyle w:val="Normal"/>
              <w:spacing w:lineRule="auto" w:line="240" w:before="0" w:after="0"/>
              <w:jc w:val="center"/>
              <w:rPr>
                <w:rFonts w:ascii="Times New Roman" w:hAnsi="Times New Roman" w:eastAsia="Times New Roman" w:cs="Times New Roman" w:asciiTheme="majorBidi" w:cstheme="majorBidi" w:hAnsiTheme="majorBidi"/>
                <w:bCs/>
                <w:sz w:val="24"/>
                <w:szCs w:val="24"/>
                <w:lang w:eastAsia="uk-UA"/>
              </w:rPr>
            </w:pPr>
            <w:r>
              <w:rPr>
                <w:rFonts w:eastAsia="Times New Roman" w:cs="Times New Roman" w:ascii="Times New Roman" w:hAnsi="Times New Roman" w:asciiTheme="majorBidi" w:cstheme="majorBidi" w:hAnsiTheme="majorBidi"/>
                <w:bCs/>
                <w:sz w:val="24"/>
                <w:szCs w:val="24"/>
                <w:lang w:eastAsia="uk-UA"/>
              </w:rPr>
              <w:t>Показники ефективності</w:t>
            </w:r>
          </w:p>
        </w:tc>
      </w:tr>
      <w:tr>
        <w:trPr>
          <w:trHeight w:val="463"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 xml:space="preserve">Витрати на  будівництво (реконструкцію) </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тис. грн</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7 529,7</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14 430,0</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15 298,2</w:t>
            </w:r>
          </w:p>
        </w:tc>
        <w:tc>
          <w:tcPr>
            <w:tcW w:w="1735"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r>
        <w:trPr>
          <w:trHeight w:val="855"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2</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витрати на капітальний ремонт навчальних закладів</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тис. грн</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953,4</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976,5</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906,2</w:t>
            </w:r>
          </w:p>
        </w:tc>
        <w:tc>
          <w:tcPr>
            <w:tcW w:w="1735"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r>
        <w:trPr>
          <w:trHeight w:val="720"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3</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витрати на заміну вікон навчальних закладів</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тис. грн</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286,9</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267,9</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256,8</w:t>
            </w:r>
          </w:p>
        </w:tc>
        <w:tc>
          <w:tcPr>
            <w:tcW w:w="1735"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r>
        <w:trPr>
          <w:trHeight w:val="288" w:hRule="atLeast"/>
        </w:trPr>
        <w:tc>
          <w:tcPr>
            <w:tcW w:w="660" w:type="dxa"/>
            <w:tcBorders>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4</w:t>
            </w:r>
          </w:p>
        </w:tc>
        <w:tc>
          <w:tcPr>
            <w:tcW w:w="6160"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витрати на  капітальний ремонт приміщень (харчоблоків) із заміною обладнання</w:t>
            </w:r>
          </w:p>
        </w:tc>
        <w:tc>
          <w:tcPr>
            <w:tcW w:w="1562"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тис. грн</w:t>
            </w:r>
          </w:p>
        </w:tc>
        <w:tc>
          <w:tcPr>
            <w:tcW w:w="1701"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107,5</w:t>
            </w:r>
          </w:p>
        </w:tc>
        <w:tc>
          <w:tcPr>
            <w:tcW w:w="1688" w:type="dxa"/>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116,2</w:t>
            </w:r>
          </w:p>
        </w:tc>
        <w:tc>
          <w:tcPr>
            <w:tcW w:w="1676" w:type="dxa"/>
            <w:gridSpan w:val="2"/>
            <w:tcBorders>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122,6</w:t>
            </w:r>
          </w:p>
        </w:tc>
        <w:tc>
          <w:tcPr>
            <w:tcW w:w="1735" w:type="dxa"/>
            <w:tcBorders>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r>
        <w:trPr>
          <w:trHeight w:val="300" w:hRule="atLeast"/>
        </w:trPr>
        <w:tc>
          <w:tcPr>
            <w:tcW w:w="660"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5</w:t>
            </w:r>
          </w:p>
        </w:tc>
        <w:tc>
          <w:tcPr>
            <w:tcW w:w="6160"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витрати на капітальний ремонт спортзалів із заміною обладнання</w:t>
            </w:r>
          </w:p>
        </w:tc>
        <w:tc>
          <w:tcPr>
            <w:tcW w:w="1562"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тис. грн</w:t>
            </w:r>
          </w:p>
        </w:tc>
        <w:tc>
          <w:tcPr>
            <w:tcW w:w="1701"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1 032,8</w:t>
            </w:r>
          </w:p>
        </w:tc>
        <w:tc>
          <w:tcPr>
            <w:tcW w:w="1688"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1 248,9</w:t>
            </w:r>
          </w:p>
        </w:tc>
        <w:tc>
          <w:tcPr>
            <w:tcW w:w="1676"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1 466,8</w:t>
            </w:r>
          </w:p>
        </w:tc>
        <w:tc>
          <w:tcPr>
            <w:tcW w:w="1735" w:type="dxa"/>
            <w:tcBorders>
              <w:top w:val="single" w:sz="4" w:space="0" w:color="00000A"/>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r>
        <w:trPr/>
        <w:tc>
          <w:tcPr>
            <w:tcW w:w="660" w:type="dxa"/>
            <w:tcBorders>
              <w:top w:val="single" w:sz="4" w:space="0" w:color="00000A"/>
              <w:left w:val="single" w:sz="8" w:space="0" w:color="00000A"/>
              <w:bottom w:val="single" w:sz="4" w:space="0" w:color="00000A"/>
              <w:right w:val="single" w:sz="4" w:space="0" w:color="00000A"/>
              <w:insideH w:val="single" w:sz="4" w:space="0" w:color="00000A"/>
              <w:insideV w:val="single" w:sz="4" w:space="0" w:color="00000A"/>
            </w:tcBorders>
            <w:shd w:color="000000" w:fill="FFFFFF" w:val="clear"/>
            <w:tcMar>
              <w:left w:w="98" w:type="dxa"/>
            </w:tcM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6</w:t>
            </w:r>
          </w:p>
        </w:tc>
        <w:tc>
          <w:tcPr>
            <w:tcW w:w="6160"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витрати на  відновленних дошкільних навчальних закладів</w:t>
            </w:r>
          </w:p>
        </w:tc>
        <w:tc>
          <w:tcPr>
            <w:tcW w:w="1562"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тис. грн</w:t>
            </w:r>
          </w:p>
        </w:tc>
        <w:tc>
          <w:tcPr>
            <w:tcW w:w="1701"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1 078,5</w:t>
            </w:r>
          </w:p>
        </w:tc>
        <w:tc>
          <w:tcPr>
            <w:tcW w:w="1688" w:type="dxa"/>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1 124,2</w:t>
            </w:r>
          </w:p>
        </w:tc>
        <w:tc>
          <w:tcPr>
            <w:tcW w:w="1676"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cs="Times New Roman" w:ascii="Times New Roman" w:hAnsi="Times New Roman" w:asciiTheme="majorBidi" w:cstheme="majorBidi" w:hAnsiTheme="majorBidi"/>
                <w:sz w:val="24"/>
                <w:szCs w:val="24"/>
              </w:rPr>
              <w:t>1 186,0</w:t>
            </w:r>
          </w:p>
        </w:tc>
        <w:tc>
          <w:tcPr>
            <w:tcW w:w="1735" w:type="dxa"/>
            <w:tcBorders>
              <w:top w:val="single" w:sz="4" w:space="0" w:color="00000A"/>
              <w:bottom w:val="single" w:sz="4" w:space="0" w:color="00000A"/>
              <w:right w:val="single" w:sz="8" w:space="0" w:color="00000A"/>
              <w:insideH w:val="single" w:sz="4" w:space="0" w:color="00000A"/>
              <w:insideV w:val="single" w:sz="8" w:space="0" w:color="00000A"/>
            </w:tcBorders>
            <w:shd w:color="000000" w:fill="FFFFFF" w:val="clear"/>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rPr>
            </w:pPr>
            <w:r>
              <w:rPr>
                <w:rFonts w:eastAsia="Times New Roman" w:cs="Times New Roman" w:cstheme="majorBidi" w:ascii="Times New Roman" w:hAnsi="Times New Roman"/>
                <w:sz w:val="24"/>
                <w:szCs w:val="24"/>
                <w:lang w:eastAsia="uk-UA"/>
              </w:rPr>
            </w:r>
          </w:p>
        </w:tc>
      </w:tr>
    </w:tbl>
    <w:p>
      <w:pPr>
        <w:sectPr>
          <w:headerReference w:type="default" r:id="rId45"/>
          <w:headerReference w:type="first" r:id="rId46"/>
          <w:type w:val="nextPage"/>
          <w:pgSz w:orient="landscape" w:w="16838" w:h="11906"/>
          <w:pgMar w:left="851" w:right="851" w:header="709" w:top="1134" w:footer="0" w:bottom="1134" w:gutter="0"/>
          <w:pgNumType w:fmt="decimal"/>
          <w:formProt w:val="false"/>
          <w:titlePg/>
          <w:textDirection w:val="lrTb"/>
          <w:docGrid w:type="default" w:linePitch="360" w:charSpace="4294965247"/>
        </w:sect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1"/>
        <w:spacing w:before="120" w:after="120"/>
        <w:jc w:val="center"/>
        <w:rPr>
          <w:rFonts w:ascii="Times New Roman" w:hAnsi="Times New Roman" w:cs="Times New Roman"/>
          <w:color w:val="00000A"/>
        </w:rPr>
      </w:pPr>
      <w:r>
        <w:rPr>
          <w:rFonts w:cs="Times New Roman" w:ascii="Times New Roman" w:hAnsi="Times New Roman"/>
          <w:color w:val="00000A"/>
        </w:rPr>
        <w:t>Підпрограма «Оновлення матеріально-технічної бази закладів освіти»</w:t>
      </w:r>
    </w:p>
    <w:p>
      <w:pPr>
        <w:pStyle w:val="Normal"/>
        <w:spacing w:lineRule="auto" w:line="240" w:before="480" w:after="120"/>
        <w:ind w:firstLine="567"/>
        <w:jc w:val="both"/>
        <w:rPr>
          <w:rStyle w:val="Rvts0"/>
          <w:rFonts w:ascii="Times New Roman" w:hAnsi="Times New Roman" w:cs="Times New Roman"/>
          <w:sz w:val="28"/>
          <w:szCs w:val="28"/>
        </w:rPr>
      </w:pPr>
      <w:r>
        <w:rPr>
          <w:rFonts w:cs="Times New Roman" w:ascii="Times New Roman" w:hAnsi="Times New Roman"/>
          <w:sz w:val="28"/>
          <w:szCs w:val="28"/>
        </w:rPr>
      </w:r>
    </w:p>
    <w:p>
      <w:pPr>
        <w:pStyle w:val="Normal"/>
        <w:spacing w:before="480" w:after="120"/>
        <w:ind w:firstLine="567"/>
        <w:jc w:val="both"/>
        <w:rPr>
          <w:rStyle w:val="Rvts0"/>
          <w:rFonts w:ascii="Times New Roman" w:hAnsi="Times New Roman" w:cs="Times New Roman"/>
          <w:sz w:val="28"/>
          <w:szCs w:val="28"/>
        </w:rPr>
      </w:pPr>
      <w:r>
        <w:rPr>
          <w:rStyle w:val="Rvts0"/>
          <w:rFonts w:cs="Times New Roman" w:ascii="Times New Roman" w:hAnsi="Times New Roman"/>
          <w:sz w:val="28"/>
          <w:szCs w:val="28"/>
        </w:rPr>
        <w:t xml:space="preserve">Реформування національної системи освіти з урахуванням кардинальних змін у всіх сферах суспільного життя вимагає нового підходу в організації сучасного освітнього простору і зосередження зусиль та ресурсів для забезпечення нової якості освіти. </w:t>
      </w:r>
    </w:p>
    <w:p>
      <w:pPr>
        <w:pStyle w:val="Normal"/>
        <w:spacing w:before="480" w:after="120"/>
        <w:ind w:firstLine="567"/>
        <w:jc w:val="both"/>
        <w:rPr>
          <w:rFonts w:ascii="Times New Roman" w:hAnsi="Times New Roman" w:eastAsia="TimesNewRoman" w:cs="Times New Roman"/>
          <w:sz w:val="28"/>
          <w:szCs w:val="28"/>
          <w14:numSpacing w14:val="proportional"/>
        </w:rPr>
      </w:pPr>
      <w:r>
        <w:rPr>
          <w:rFonts w:eastAsia="TimesNewRoman" w:cs="Times New Roman" w:ascii="Times New Roman" w:hAnsi="Times New Roman"/>
          <w:sz w:val="28"/>
          <w:szCs w:val="28"/>
          <w14:numSpacing w14:val="proportional"/>
        </w:rPr>
        <w:t xml:space="preserve">Стан матеріально-технічного забезпечення навчальних закладів є вагомим чинником інноваційної організації навчально-виховного процесу, якості надання освітніх послуг та економічної ефективності функціонування закладів  освіти; дає можливість на належному </w:t>
      </w:r>
      <w:r>
        <w:rPr>
          <w:rFonts w:cs="Times New Roman" w:ascii="Times New Roman" w:hAnsi="Times New Roman"/>
          <w:sz w:val="28"/>
          <w:szCs w:val="28"/>
        </w:rPr>
        <w:t>рівні реалізовувати теоретичну та практичну складову навчання, ефективно впроваджувати профільне навчання.</w:t>
      </w:r>
    </w:p>
    <w:p>
      <w:pPr>
        <w:pStyle w:val="Normal"/>
        <w:spacing w:before="480" w:after="120"/>
        <w:ind w:firstLine="567"/>
        <w:jc w:val="both"/>
        <w:rPr>
          <w:rFonts w:ascii="Times New Roman" w:hAnsi="Times New Roman" w:cs="Times New Roman"/>
          <w:sz w:val="28"/>
          <w:szCs w:val="28"/>
        </w:rPr>
      </w:pPr>
      <w:r>
        <w:rPr>
          <w:rFonts w:cs="Times New Roman" w:ascii="Times New Roman" w:hAnsi="Times New Roman"/>
          <w:sz w:val="28"/>
          <w:szCs w:val="28"/>
        </w:rPr>
        <w:t xml:space="preserve">Аналіз стану матеріально-технічного забезпечення  навчальних закладів міста Києва засвідчує, що матеріально-технічна база закладів освіти потребує модернізації та  інноваційних підходів у відповідності до сучасних вимог  щодо надання освітніх послуг. </w:t>
      </w:r>
    </w:p>
    <w:p>
      <w:pPr>
        <w:pStyle w:val="Normal"/>
        <w:spacing w:before="480" w:after="120"/>
        <w:ind w:firstLine="567"/>
        <w:jc w:val="both"/>
        <w:rPr>
          <w:rFonts w:ascii="Times New Roman" w:hAnsi="Times New Roman" w:cs="Times New Roman"/>
          <w:sz w:val="28"/>
          <w:szCs w:val="28"/>
        </w:rPr>
      </w:pPr>
      <w:r>
        <w:rPr>
          <w:rFonts w:cs="Times New Roman" w:ascii="Times New Roman" w:hAnsi="Times New Roman"/>
          <w:sz w:val="28"/>
          <w:szCs w:val="28"/>
        </w:rPr>
        <w:t>Мета підпрограми полягає у створенні умов для всебічного розвитку, навчання та виховання учнів у відповідності з сучасними санітарно-гігієнічними, технічними та освітніми стандартам.</w:t>
      </w:r>
    </w:p>
    <w:p>
      <w:pPr>
        <w:sectPr>
          <w:headerReference w:type="default" r:id="rId47"/>
          <w:type w:val="nextPage"/>
          <w:pgSz w:w="11906" w:h="16838"/>
          <w:pgMar w:left="1134" w:right="1134" w:header="709" w:top="851" w:footer="0" w:bottom="851" w:gutter="0"/>
          <w:pgNumType w:fmt="decimal"/>
          <w:formProt w:val="false"/>
          <w:textDirection w:val="lrTb"/>
          <w:docGrid w:type="default" w:linePitch="360" w:charSpace="4294965247"/>
        </w:sectPr>
        <w:pStyle w:val="Normal"/>
        <w:spacing w:before="480" w:after="120"/>
        <w:ind w:firstLine="567"/>
        <w:jc w:val="both"/>
        <w:rPr>
          <w:rFonts w:ascii="Times New Roman" w:hAnsi="Times New Roman" w:cs="Times New Roman"/>
          <w:sz w:val="28"/>
          <w:szCs w:val="28"/>
        </w:rPr>
      </w:pPr>
      <w:r>
        <w:rPr>
          <w:rFonts w:cs="Times New Roman" w:ascii="Times New Roman" w:hAnsi="Times New Roman"/>
          <w:sz w:val="28"/>
          <w:szCs w:val="28"/>
        </w:rPr>
        <w:t xml:space="preserve">Реалізація зазначеної підпрограми дасть змогу </w:t>
      </w:r>
      <w:r>
        <w:rPr>
          <w:rStyle w:val="Strong"/>
          <w:rFonts w:cs="Times New Roman" w:ascii="Times New Roman" w:hAnsi="Times New Roman"/>
          <w:b w:val="false"/>
          <w:sz w:val="28"/>
          <w:szCs w:val="28"/>
        </w:rPr>
        <w:t xml:space="preserve">забезпечити системний та цілеспрямований розвиток матеріально-технічної бази навчальних закладів як на короткострокову, так і на довгострокову перспективу. Упродовж трьох років передбачається здійснення низки практичних </w:t>
      </w:r>
      <w:r>
        <w:rPr>
          <w:rFonts w:cs="Times New Roman" w:ascii="Times New Roman" w:hAnsi="Times New Roman"/>
          <w:sz w:val="28"/>
          <w:szCs w:val="28"/>
        </w:rPr>
        <w:t xml:space="preserve">заходів, які суттєвим чином вплинуть на модернізацію матеріально-технічної бази, що сприятиме підвищенню якості, впровадженню інноваційної складової, реалізації доступності та </w:t>
      </w:r>
      <w:r>
        <w:rPr>
          <w:rStyle w:val="Rvts0"/>
          <w:rFonts w:cs="Times New Roman" w:ascii="Times New Roman" w:hAnsi="Times New Roman"/>
          <w:sz w:val="28"/>
          <w:szCs w:val="28"/>
        </w:rPr>
        <w:t xml:space="preserve">конкурентоспроможності </w:t>
      </w:r>
      <w:r>
        <w:rPr>
          <w:rFonts w:cs="Times New Roman" w:ascii="Times New Roman" w:hAnsi="Times New Roman"/>
          <w:sz w:val="28"/>
          <w:szCs w:val="28"/>
        </w:rPr>
        <w:t>освіти столиці.</w:t>
      </w:r>
    </w:p>
    <w:p>
      <w:pPr>
        <w:pStyle w:val="1"/>
        <w:spacing w:before="120" w:after="120"/>
        <w:jc w:val="center"/>
        <w:rPr>
          <w:rFonts w:ascii="Times New Roman" w:hAnsi="Times New Roman" w:cs="Times New Roman"/>
          <w:b w:val="false"/>
          <w:b w:val="false"/>
          <w:color w:val="00000A"/>
        </w:rPr>
      </w:pPr>
      <w:r>
        <w:rPr>
          <w:rStyle w:val="22"/>
          <w:rFonts w:cs="Times New Roman"/>
          <w:b w:val="false"/>
          <w:color w:val="00000A"/>
        </w:rPr>
        <w:t>Напрями діяльності, завдання та заходи</w:t>
      </w:r>
      <w:r>
        <w:rPr>
          <w:rFonts w:cs="Times New Roman" w:ascii="Times New Roman" w:hAnsi="Times New Roman"/>
          <w:b w:val="false"/>
          <w:color w:val="00000A"/>
        </w:rPr>
        <w:t xml:space="preserve"> підпрограми</w:t>
      </w:r>
      <w:r>
        <w:rPr>
          <w:rFonts w:ascii="Times New Roman" w:hAnsi="Times New Roman" w:asciiTheme="majorBidi" w:hAnsiTheme="majorBidi"/>
        </w:rPr>
        <w:t xml:space="preserve"> </w:t>
      </w:r>
      <w:r>
        <w:rPr>
          <w:rFonts w:cs="Times New Roman" w:ascii="Times New Roman" w:hAnsi="Times New Roman"/>
          <w:b w:val="false"/>
          <w:color w:val="00000A"/>
        </w:rPr>
        <w:t xml:space="preserve"> «Оновлення матеріально-технічної бази закладів освіти»</w:t>
      </w:r>
    </w:p>
    <w:tbl>
      <w:tblPr>
        <w:tblW w:w="15451" w:type="dxa"/>
        <w:jc w:val="lef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firstRow="1" w:noVBand="1" w:lastRow="0" w:firstColumn="1" w:lastColumn="0" w:noHBand="0" w:val="04a0"/>
      </w:tblPr>
      <w:tblGrid>
        <w:gridCol w:w="817"/>
        <w:gridCol w:w="2268"/>
        <w:gridCol w:w="2727"/>
        <w:gridCol w:w="108"/>
        <w:gridCol w:w="1593"/>
        <w:gridCol w:w="1844"/>
        <w:gridCol w:w="1701"/>
        <w:gridCol w:w="2268"/>
        <w:gridCol w:w="2123"/>
      </w:tblGrid>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Назва напряму діяльності (пріоритетні завдання)</w:t>
            </w:r>
          </w:p>
        </w:tc>
        <w:tc>
          <w:tcPr>
            <w:tcW w:w="283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Заходи підпрограми</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Терміни виконання заходу</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Виконавці</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Джерела фінансування</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Орієнтовні обсяги фінансування (вартість), тис. гривень, у тому числі за роками:</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Очікуваний результат</w:t>
            </w:r>
          </w:p>
        </w:tc>
      </w:tr>
      <w:tr>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83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5</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6</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7</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8</w:t>
            </w:r>
          </w:p>
        </w:tc>
      </w:tr>
      <w:tr>
        <w:trPr/>
        <w:tc>
          <w:tcPr>
            <w:tcW w:w="30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12364" w:type="dxa"/>
            <w:gridSpan w:val="7"/>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r>
      <w:tr>
        <w:trPr>
          <w:trHeight w:val="684"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1</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Зміцнення матеріально-технічної бази дошкільних навчальних закладів</w:t>
            </w:r>
          </w:p>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tc>
        <w:tc>
          <w:tcPr>
            <w:tcW w:w="2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Поновити обладнання спортивних майданчиків у дошкільних навчальних закладах</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Департамент освіти і науки, молоді та спорту, районні в місті Києві державні адміністрації, управління освіти</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Бюджет </w:t>
            </w:r>
          </w:p>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Усього </w:t>
            </w:r>
          </w:p>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спеціальний фонд (інші джерела фінансування): </w:t>
            </w:r>
          </w:p>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 </w:t>
            </w:r>
            <w:r>
              <w:rPr>
                <w:rFonts w:cs="Times New Roman" w:ascii="Times New Roman" w:hAnsi="Times New Roman" w:asciiTheme="majorBidi" w:cstheme="majorBidi" w:hAnsiTheme="majorBidi"/>
                <w:sz w:val="24"/>
                <w:szCs w:val="24"/>
              </w:rPr>
              <w:t>54 700,0</w:t>
            </w:r>
          </w:p>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у тому числі: </w:t>
            </w:r>
          </w:p>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2016 р. -  16 700,0                                </w:t>
            </w:r>
          </w:p>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2017 р. -  18 000,0 </w:t>
            </w:r>
          </w:p>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2018 р. – 20 000,0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Безпечне перебування дітей та персоналу в приміщеннях ДНЗ, забезпечення умов для проведення занять з фізичної культури та активних форм дозвілля в ДНЗ</w:t>
            </w:r>
          </w:p>
        </w:tc>
      </w:tr>
      <w:tr>
        <w:trPr>
          <w:trHeight w:val="2571"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t>Забезпечення високоякісної загальноосвітньої профільної та професійної підготовки учнів</w:t>
            </w:r>
          </w:p>
          <w:p>
            <w:pPr>
              <w:pStyle w:val="Normal"/>
              <w:spacing w:lineRule="auto" w:line="240" w:before="0" w:after="0"/>
              <w:rPr>
                <w:rFonts w:ascii="Times New Roman" w:hAnsi="Times New Roman" w:cs="Times New Roman"/>
                <w:bCs/>
                <w:sz w:val="24"/>
                <w:szCs w:val="24"/>
              </w:rPr>
            </w:pPr>
            <w:r>
              <w:rPr>
                <w:rFonts w:cs="Times New Roman" w:ascii="Times New Roman" w:hAnsi="Times New Roman"/>
                <w:bCs/>
                <w:sz w:val="24"/>
                <w:szCs w:val="24"/>
              </w:rPr>
            </w:r>
          </w:p>
        </w:tc>
        <w:tc>
          <w:tcPr>
            <w:tcW w:w="2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Вирішити питання щодо забезпечення електронною книгою  учнів 5-х класів</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rFonts w:ascii="Times New Roman" w:hAnsi="Times New Roman" w:cs="Times New Roman"/>
                <w:sz w:val="24"/>
                <w:szCs w:val="24"/>
              </w:rPr>
            </w:pPr>
            <w:r>
              <w:rPr>
                <w:rFonts w:cs="Times New Roman" w:ascii="Times New Roman" w:hAnsi="Times New Roman"/>
                <w:sz w:val="24"/>
                <w:szCs w:val="24"/>
              </w:rPr>
              <w:t>Районні в місті Києві державні адміністрації, Департамент освіти і науки, молоді та спорту</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asciiTheme="majorBidi" w:cstheme="majorBidi" w:hAnsiTheme="majorBidi"/>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rFonts w:ascii="Times New Roman" w:hAnsi="Times New Roman" w:cs="Times New Roman"/>
                <w:sz w:val="24"/>
                <w:szCs w:val="24"/>
              </w:rPr>
            </w:pPr>
            <w:r>
              <w:rPr>
                <w:rFonts w:cs="Times New Roman" w:ascii="Times New Roman" w:hAnsi="Times New Roman"/>
                <w:sz w:val="24"/>
                <w:szCs w:val="24"/>
              </w:rPr>
              <w:t>Спеціальний фонд  (інші джерела фінансування)</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усього: 190 267,5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 – 63 422,5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2017 – 63 422,5</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2018 – 63 422,5</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Забезпечення електронними підручниками 25369 учнів – 5-х класів</w:t>
            </w:r>
          </w:p>
        </w:tc>
      </w:tr>
      <w:tr>
        <w:trPr>
          <w:trHeight w:val="780"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3</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Зміцнення матеріально-технічної бази загальноосвітніх навчальних закладів з інклюзивними та спеціальними класами</w:t>
            </w:r>
          </w:p>
        </w:tc>
        <w:tc>
          <w:tcPr>
            <w:tcW w:w="2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Забезпечити спеціальним транспортом загальноосвітні навчальні заклади, у яких навчаються діти з порушеннями опорно-рухового апарату</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 районні в місті Києві державні адміністрації, управління освіти</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asciiTheme="majorBidi" w:cstheme="majorBidi" w:hAnsiTheme="majorBidi"/>
                <w:sz w:val="24"/>
                <w:szCs w:val="24"/>
              </w:rPr>
            </w:pPr>
            <w:r>
              <w:rPr>
                <w:rFonts w:cs="Times New Roman" w:ascii="Times New Roman" w:hAnsi="Times New Roman" w:asciiTheme="majorBidi" w:cstheme="majorBidi" w:hAnsiTheme="majorBidi"/>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asciiTheme="majorBidi" w:cstheme="majorBidi" w:hAnsiTheme="majorBidi"/>
                <w:sz w:val="24"/>
                <w:szCs w:val="24"/>
              </w:rPr>
              <w:t>м. Києва, спеціальний фонд</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pPr>
            <w:r>
              <w:rPr>
                <w:rFonts w:cs="Times New Roman" w:ascii="Times New Roman" w:hAnsi="Times New Roman"/>
                <w:sz w:val="24"/>
                <w:szCs w:val="24"/>
              </w:rPr>
              <w:t>Усього</w:t>
            </w:r>
            <w:r>
              <w:rPr/>
              <w:t xml:space="preserve">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спеціальний фонд (інші джерела фінансування):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1 550,0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у тому числі: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2017 р. -  750,0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2018 р. – 800,0 </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Створення комфортних та безпечних умов для навчання  дітей з особливими освітніми потребами</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4167" w:hRule="atLeast"/>
        </w:trPr>
        <w:tc>
          <w:tcPr>
            <w:tcW w:w="8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4</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bCs/>
                <w:sz w:val="24"/>
                <w:szCs w:val="24"/>
              </w:rPr>
            </w:pPr>
            <w:r>
              <w:rPr>
                <w:rFonts w:cs="Times New Roman" w:ascii="Times New Roman" w:hAnsi="Times New Roman"/>
                <w:bCs/>
                <w:sz w:val="24"/>
                <w:szCs w:val="24"/>
              </w:rPr>
              <w:t>Удосконалення та утримання на належному рівні</w:t>
            </w:r>
            <w:r>
              <w:rPr>
                <w:rFonts w:cs="Times New Roman" w:ascii="Times New Roman" w:hAnsi="Times New Roman"/>
                <w:sz w:val="24"/>
                <w:szCs w:val="24"/>
              </w:rPr>
              <w:t xml:space="preserve"> матеріально-технічної бази освітньої інфраструктури</w:t>
            </w:r>
          </w:p>
        </w:tc>
        <w:tc>
          <w:tcPr>
            <w:tcW w:w="2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Забезпечити навчальні заклади, що підпорядковані Департаменту освіти і науки, молоді та спорту, технікою,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обладнанням, меблями, інвентарем,  іншими предметами довгострокового користування </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Департамент освіти і науки, молоді та спорту</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Бюджет</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(бюджет розвитку), власні надходження</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 спеціальний фонд 10 108,8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(бюджет розвитку):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7 870,0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2 450,1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2 648,6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2 771,3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Власні надходження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2 238,8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695,0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751,2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792,6</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Створення належних та безпечних умов для організації навчально-виховного процесу та підвищення якості надання освітніх послуг</w:t>
            </w:r>
          </w:p>
        </w:tc>
      </w:tr>
      <w:tr>
        <w:trPr>
          <w:trHeight w:val="6114" w:hRule="atLeast"/>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Забезпечити професійно-технічні  навчальні заклади, що підпорядковуються Департаменту освіти і науки, молоді та спорту, технікою,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обладнанням, меблями, інвентарем,  іншими предметами довгострокового користування</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2016-2018</w:t>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освіти і науки, молоді та спорту, професійно-технічні навчальні заклади</w:t>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 (бюджет розвитку), власні надходження, інші джерела фінансування</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 спеціальний фонд 30 226,9</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39,3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12,2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13,2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13,9</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 xml:space="preserve">Власні надходження </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7 803,8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2 371,4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2 618,0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2 814,4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Інші джерела 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22 383,8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6 801,7</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7 509,3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8 072,8</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Створення належних та безпечних умов для організації навчально-виховного процесу та підвищення якості освітніх послуг</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r>
        <w:trPr>
          <w:trHeight w:val="828" w:hRule="atLeast"/>
        </w:trPr>
        <w:tc>
          <w:tcPr>
            <w:tcW w:w="8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Розвивати та модернізувати матеріально-технічну та навчальну базу вищих мистецьких навчальних закладів</w:t>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культури</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 (бюджет розвитку), інші джерела фінансування</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 спеціальний фонд 35 620,0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140,4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43,5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47,1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2018 - 49,8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Інші джерела 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35 479,6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5 596,5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5 392,9</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24 490,2</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Створення належних та безпечних умов для організації навчально-виховного процесу та підвищення якості освітніх послуг</w:t>
            </w:r>
          </w:p>
        </w:tc>
      </w:tr>
      <w:tr>
        <w:trPr>
          <w:trHeight w:val="2544" w:hRule="atLeast"/>
        </w:trPr>
        <w:tc>
          <w:tcPr>
            <w:tcW w:w="817" w:type="dxa"/>
            <w:vMerge w:val="restart"/>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 xml:space="preserve">Забезпечити медичні коледжі обладнанням та підручниками </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охорони здоров</w:t>
            </w:r>
            <w:r>
              <w:rPr>
                <w:rFonts w:eastAsia="Times New Roman" w:cs="Times New Roman" w:ascii="Times New Roman" w:hAnsi="Times New Roman"/>
                <w:color w:val="000000"/>
                <w:sz w:val="24"/>
                <w:szCs w:val="24"/>
                <w:lang w:val="en-US" w:eastAsia="uk-UA"/>
              </w:rPr>
              <w:t>’</w:t>
            </w:r>
            <w:r>
              <w:rPr>
                <w:rFonts w:eastAsia="Times New Roman" w:cs="Times New Roman" w:ascii="Times New Roman" w:hAnsi="Times New Roman"/>
                <w:color w:val="000000"/>
                <w:sz w:val="24"/>
                <w:szCs w:val="24"/>
                <w:lang w:eastAsia="uk-UA"/>
              </w:rPr>
              <w:t>я</w:t>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спеціальний фонд (інші джерела фінансування)</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 спеціальний фонд 2 107,3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(інші джерела 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628,0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707,1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772,2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Створення належних та безпечних умов для організації навчально-виховного процесу та підвищення якості освітніх послуг</w:t>
            </w:r>
          </w:p>
        </w:tc>
      </w:tr>
      <w:tr>
        <w:trPr>
          <w:trHeight w:val="3984" w:hRule="atLeast"/>
        </w:trPr>
        <w:tc>
          <w:tcPr>
            <w:tcW w:w="817"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Забезпечити  технікою, обладнанням, меблями, інвентарем,  іншими предметами довгострокового користування навчальні заклади районних в місті Києві державних адміністрацій</w:t>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t>2016-2018</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t>Департамент освіти і науки, молоді та спорту, районні в місті Києві державні адміністрації</w:t>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 xml:space="preserve">Бюджет </w:t>
            </w:r>
          </w:p>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t>м. Києва, спеціальний фонд (бюджет розвитку), інші джерела фінансування</w:t>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 спеціальний фонд 309 275,8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117 535,5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36 485,2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39 440,5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41 609,8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Інші джерела 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191 740,3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50 143,4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80 402,6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61 194,3</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Створення належних та безпечних умов для організації навчально-виховного процесу та підвищення якості освітніх послуг</w:t>
            </w:r>
          </w:p>
        </w:tc>
      </w:tr>
      <w:tr>
        <w:trPr>
          <w:trHeight w:val="3455" w:hRule="atLeast"/>
        </w:trPr>
        <w:tc>
          <w:tcPr>
            <w:tcW w:w="8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72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eastAsia="Times New Roman" w:cs="Times New Roman"/>
                <w:color w:val="000000"/>
                <w:sz w:val="28"/>
                <w:szCs w:val="28"/>
                <w:lang w:eastAsia="uk-UA"/>
              </w:rPr>
            </w:pPr>
            <w:r>
              <w:rPr>
                <w:rFonts w:eastAsia="Times New Roman" w:cs="Times New Roman" w:ascii="Times New Roman" w:hAnsi="Times New Roman"/>
                <w:color w:val="000000"/>
                <w:sz w:val="28"/>
                <w:szCs w:val="28"/>
                <w:lang w:eastAsia="uk-UA"/>
              </w:rPr>
              <w:t>Усього:</w:t>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p>
            <w:pPr>
              <w:pStyle w:val="Normal"/>
              <w:spacing w:lineRule="auto" w:line="240" w:before="0" w:after="0"/>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1701"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rFonts w:ascii="Times New Roman" w:hAnsi="Times New Roman" w:eastAsia="Times New Roman" w:cs="Times New Roman"/>
                <w:color w:val="000000"/>
                <w:sz w:val="24"/>
                <w:szCs w:val="24"/>
                <w:lang w:eastAsia="uk-UA"/>
              </w:rPr>
            </w:pPr>
            <w:r>
              <w:rPr>
                <w:rFonts w:eastAsia="Times New Roman" w:cs="Times New Roman" w:ascii="Times New Roman" w:hAnsi="Times New Roman"/>
                <w:color w:val="000000"/>
                <w:sz w:val="24"/>
                <w:szCs w:val="24"/>
                <w:lang w:eastAsia="uk-UA"/>
              </w:rPr>
            </w:r>
          </w:p>
        </w:tc>
        <w:tc>
          <w:tcPr>
            <w:tcW w:w="170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jc w:val="center"/>
              <w:rPr>
                <w:rFonts w:ascii="Times New Roman" w:hAnsi="Times New Roman" w:cs="Times New Roman"/>
                <w:sz w:val="24"/>
                <w:szCs w:val="24"/>
              </w:rPr>
            </w:pPr>
            <w:r>
              <w:rPr>
                <w:rFonts w:cs="Times New Roman" w:ascii="Times New Roman" w:hAnsi="Times New Roman"/>
                <w:sz w:val="24"/>
                <w:szCs w:val="24"/>
              </w:rPr>
            </w:r>
          </w:p>
        </w:tc>
        <w:tc>
          <w:tcPr>
            <w:tcW w:w="226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Усього спеціальний фонд 633 856,3</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(бюджет розвитку)</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125 585,2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38 991,0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42 149,4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44 444,8</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Власні надходження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10 042,6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3 066,4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3 369,2</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3 607,0</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Інші джерела фінансування</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498 228,5</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у тому числі:</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2016 – 143 292,1</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2017 – 176 184,4</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t>2018 – 178 752,0</w:t>
            </w:r>
          </w:p>
        </w:tc>
        <w:tc>
          <w:tcPr>
            <w:tcW w:w="212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tc>
      </w:tr>
    </w:tbl>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p>
      <w:pPr>
        <w:pStyle w:val="Normal"/>
        <w:rPr>
          <w:rFonts w:ascii="Times New Roman" w:hAnsi="Times New Roman" w:cs="Times New Roman" w:asciiTheme="majorBidi" w:cstheme="majorBidi" w:hAnsiTheme="majorBidi"/>
          <w:sz w:val="24"/>
          <w:szCs w:val="24"/>
        </w:rPr>
      </w:pPr>
      <w:r>
        <w:rPr>
          <w:rFonts w:cs="Times New Roman" w:cstheme="majorBidi" w:ascii="Times New Roman" w:hAnsi="Times New Roman"/>
          <w:sz w:val="24"/>
          <w:szCs w:val="24"/>
        </w:rPr>
      </w:r>
    </w:p>
    <w:tbl>
      <w:tblPr>
        <w:tblW w:w="14034" w:type="dxa"/>
        <w:jc w:val="left"/>
        <w:tblInd w:w="675" w:type="dxa"/>
        <w:tblBorders/>
        <w:tblCellMar>
          <w:top w:w="0" w:type="dxa"/>
          <w:left w:w="108" w:type="dxa"/>
          <w:bottom w:w="0" w:type="dxa"/>
          <w:right w:w="108" w:type="dxa"/>
        </w:tblCellMar>
        <w:tblLook w:firstRow="1" w:noVBand="1" w:lastRow="0" w:firstColumn="1" w:lastColumn="0" w:noHBand="0" w:val="04a0"/>
      </w:tblPr>
      <w:tblGrid>
        <w:gridCol w:w="4394"/>
        <w:gridCol w:w="1661"/>
        <w:gridCol w:w="465"/>
        <w:gridCol w:w="1214"/>
        <w:gridCol w:w="628"/>
        <w:gridCol w:w="1052"/>
        <w:gridCol w:w="649"/>
        <w:gridCol w:w="1030"/>
        <w:gridCol w:w="671"/>
        <w:gridCol w:w="2269"/>
      </w:tblGrid>
      <w:tr>
        <w:trPr>
          <w:trHeight w:val="348" w:hRule="atLeast"/>
        </w:trPr>
        <w:tc>
          <w:tcPr>
            <w:tcW w:w="14033" w:type="dxa"/>
            <w:gridSpan w:val="10"/>
            <w:tcBorders/>
            <w:shd w:color="auto" w:fill="auto" w:val="clear"/>
            <w:vAlign w:val="bottom"/>
          </w:tcPr>
          <w:p>
            <w:pPr>
              <w:pStyle w:val="Normal"/>
              <w:spacing w:lineRule="auto" w:line="240" w:before="0" w:after="0"/>
              <w:jc w:val="center"/>
              <w:rPr>
                <w:rFonts w:ascii="Times New Roman" w:hAnsi="Times New Roman" w:eastAsia="Times New Roman" w:cs="Times New Roman"/>
                <w:color w:val="000000"/>
                <w:sz w:val="28"/>
                <w:szCs w:val="28"/>
                <w:lang w:eastAsia="uk-UA" w:bidi="he-IL"/>
              </w:rPr>
            </w:pPr>
            <w:r>
              <w:rPr>
                <w:rFonts w:eastAsia="Times New Roman" w:cs="Times New Roman" w:ascii="Times New Roman" w:hAnsi="Times New Roman"/>
                <w:color w:val="000000"/>
                <w:sz w:val="28"/>
                <w:szCs w:val="28"/>
                <w:lang w:eastAsia="uk-UA" w:bidi="he-IL"/>
              </w:rPr>
              <w:t>Очікувані результативні показники виконання підпрограми</w:t>
            </w:r>
          </w:p>
          <w:p>
            <w:pPr>
              <w:pStyle w:val="Normal"/>
              <w:spacing w:lineRule="auto" w:line="240" w:before="0" w:after="0"/>
              <w:jc w:val="center"/>
              <w:rPr>
                <w:rFonts w:ascii="Times New Roman" w:hAnsi="Times New Roman" w:eastAsia="Times New Roman" w:cs="Times New Roman"/>
                <w:b/>
                <w:b/>
                <w:bCs/>
                <w:color w:val="000000"/>
                <w:sz w:val="28"/>
                <w:szCs w:val="28"/>
                <w:lang w:eastAsia="uk-UA" w:bidi="he-IL"/>
              </w:rPr>
            </w:pPr>
            <w:r>
              <w:rPr>
                <w:rFonts w:eastAsia="Times New Roman" w:cs="Times New Roman" w:ascii="Times New Roman" w:hAnsi="Times New Roman"/>
                <w:color w:val="000000"/>
                <w:sz w:val="28"/>
                <w:szCs w:val="28"/>
                <w:lang w:eastAsia="uk-UA" w:bidi="he-IL"/>
              </w:rPr>
              <w:t>«Оновлення матеріально-технічної бази закладів освіти»</w:t>
            </w:r>
          </w:p>
        </w:tc>
      </w:tr>
      <w:tr>
        <w:trPr>
          <w:trHeight w:val="23" w:hRule="exact"/>
        </w:trPr>
        <w:tc>
          <w:tcPr>
            <w:tcW w:w="14033" w:type="dxa"/>
            <w:gridSpan w:val="10"/>
            <w:vMerge w:val="restart"/>
            <w:tcBorders/>
            <w:shd w:color="auto" w:fill="auto" w:val="clear"/>
            <w:vAlign w:val="bottom"/>
          </w:tcPr>
          <w:p>
            <w:pPr>
              <w:pStyle w:val="Normal"/>
              <w:spacing w:lineRule="auto" w:line="240" w:before="0" w:after="0"/>
              <w:rPr>
                <w:rFonts w:ascii="Times New Roman" w:hAnsi="Times New Roman" w:eastAsia="Times New Roman" w:cs="Times New Roman"/>
                <w:b/>
                <w:b/>
                <w:bCs/>
                <w:color w:val="000000"/>
                <w:sz w:val="24"/>
                <w:szCs w:val="24"/>
                <w:lang w:eastAsia="uk-UA" w:bidi="he-IL"/>
              </w:rPr>
            </w:pPr>
            <w:r>
              <w:rPr>
                <w:rFonts w:eastAsia="Times New Roman" w:cs="Times New Roman" w:ascii="Times New Roman" w:hAnsi="Times New Roman"/>
                <w:b/>
                <w:bCs/>
                <w:color w:val="000000"/>
                <w:sz w:val="24"/>
                <w:szCs w:val="24"/>
                <w:lang w:eastAsia="uk-UA" w:bidi="he-IL"/>
              </w:rPr>
            </w:r>
          </w:p>
        </w:tc>
      </w:tr>
      <w:tr>
        <w:trPr>
          <w:trHeight w:val="23" w:hRule="exact"/>
        </w:trPr>
        <w:tc>
          <w:tcPr>
            <w:tcW w:w="14033" w:type="dxa"/>
            <w:gridSpan w:val="10"/>
            <w:vMerge w:val="continue"/>
            <w:tcBorders/>
            <w:shd w:fill="auto" w:val="clear"/>
            <w:vAlign w:val="center"/>
          </w:tcPr>
          <w:p>
            <w:pPr>
              <w:pStyle w:val="Normal"/>
              <w:spacing w:lineRule="auto" w:line="240" w:before="0" w:after="0"/>
              <w:rPr>
                <w:rFonts w:ascii="Times New Roman" w:hAnsi="Times New Roman" w:eastAsia="Times New Roman" w:cs="Times New Roman"/>
                <w:b/>
                <w:b/>
                <w:bCs/>
                <w:color w:val="000000"/>
                <w:sz w:val="24"/>
                <w:szCs w:val="24"/>
                <w:lang w:eastAsia="uk-UA" w:bidi="he-IL"/>
              </w:rPr>
            </w:pPr>
            <w:r>
              <w:rPr>
                <w:rFonts w:eastAsia="Times New Roman" w:cs="Times New Roman" w:ascii="Times New Roman" w:hAnsi="Times New Roman"/>
                <w:b/>
                <w:bCs/>
                <w:color w:val="000000"/>
                <w:sz w:val="24"/>
                <w:szCs w:val="24"/>
                <w:lang w:eastAsia="uk-UA" w:bidi="he-IL"/>
              </w:rPr>
            </w:r>
          </w:p>
        </w:tc>
      </w:tr>
      <w:tr>
        <w:trPr>
          <w:trHeight w:val="312" w:hRule="atLeast"/>
        </w:trPr>
        <w:tc>
          <w:tcPr>
            <w:tcW w:w="439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jc w:val="center"/>
              <w:rPr>
                <w:rFonts w:ascii="Times New Roman" w:hAnsi="Times New Roman" w:eastAsia="Times New Roman" w:cs="Times New Roman"/>
                <w:color w:val="000000"/>
                <w:sz w:val="24"/>
                <w:szCs w:val="24"/>
                <w:lang w:eastAsia="uk-UA" w:bidi="he-IL"/>
              </w:rPr>
            </w:pPr>
            <w:r>
              <w:rPr>
                <w:rFonts w:eastAsia="Times New Roman" w:cs="Times New Roman" w:ascii="Times New Roman" w:hAnsi="Times New Roman"/>
                <w:color w:val="000000"/>
                <w:sz w:val="24"/>
                <w:szCs w:val="24"/>
                <w:lang w:eastAsia="uk-UA" w:bidi="he-IL"/>
              </w:rPr>
              <w:t>Показники</w:t>
            </w:r>
          </w:p>
        </w:tc>
        <w:tc>
          <w:tcPr>
            <w:tcW w:w="2126" w:type="dxa"/>
            <w:gridSpan w:val="2"/>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jc w:val="center"/>
              <w:rPr>
                <w:rFonts w:ascii="Times New Roman" w:hAnsi="Times New Roman" w:eastAsia="Times New Roman" w:cs="Times New Roman"/>
                <w:color w:val="000000"/>
                <w:sz w:val="24"/>
                <w:szCs w:val="24"/>
                <w:lang w:eastAsia="uk-UA" w:bidi="he-IL"/>
              </w:rPr>
            </w:pPr>
            <w:r>
              <w:rPr>
                <w:rFonts w:eastAsia="Times New Roman" w:cs="Times New Roman" w:ascii="Times New Roman" w:hAnsi="Times New Roman"/>
                <w:color w:val="000000"/>
                <w:sz w:val="24"/>
                <w:szCs w:val="24"/>
                <w:lang w:eastAsia="uk-UA" w:bidi="he-IL"/>
              </w:rPr>
              <w:t>Одиниця виміру</w:t>
            </w:r>
          </w:p>
        </w:tc>
        <w:tc>
          <w:tcPr>
            <w:tcW w:w="5244" w:type="dxa"/>
            <w:gridSpan w:val="6"/>
            <w:tcBorders>
              <w:top w:val="single" w:sz="4" w:space="0" w:color="00000A"/>
              <w:bottom w:val="single" w:sz="4" w:space="0" w:color="00000A"/>
              <w:right w:val="single" w:sz="4" w:space="0" w:color="00000A"/>
              <w:insideH w:val="single" w:sz="4" w:space="0" w:color="00000A"/>
              <w:insideV w:val="single" w:sz="4" w:space="0" w:color="00000A"/>
            </w:tcBorders>
            <w:shd w:color="000000" w:fill="FFFFFF" w:val="clear"/>
            <w:vAlign w:val="bottom"/>
          </w:tcPr>
          <w:p>
            <w:pPr>
              <w:pStyle w:val="Normal"/>
              <w:spacing w:lineRule="auto" w:line="240" w:before="0" w:after="0"/>
              <w:jc w:val="center"/>
              <w:rPr>
                <w:rFonts w:ascii="Times New Roman" w:hAnsi="Times New Roman" w:eastAsia="Times New Roman" w:cs="Times New Roman"/>
                <w:sz w:val="24"/>
                <w:szCs w:val="24"/>
                <w:lang w:eastAsia="uk-UA" w:bidi="he-IL"/>
              </w:rPr>
            </w:pPr>
            <w:r>
              <w:rPr>
                <w:rFonts w:eastAsia="Times New Roman" w:cs="Times New Roman" w:ascii="Times New Roman" w:hAnsi="Times New Roman"/>
                <w:sz w:val="24"/>
                <w:szCs w:val="24"/>
                <w:lang w:eastAsia="uk-UA" w:bidi="he-IL"/>
              </w:rPr>
              <w:t>Етапи виконання підпрограми по роках</w:t>
            </w:r>
          </w:p>
        </w:tc>
        <w:tc>
          <w:tcPr>
            <w:tcW w:w="2269" w:type="dxa"/>
            <w:vMerge w:val="restart"/>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color="000000" w:fill="FFFFFF" w:val="clear"/>
            <w:tcMar>
              <w:left w:w="103" w:type="dxa"/>
            </w:tcMar>
            <w:vAlign w:val="bottom"/>
          </w:tcPr>
          <w:p>
            <w:pPr>
              <w:pStyle w:val="Normal"/>
              <w:spacing w:lineRule="auto" w:line="240" w:before="0" w:after="0"/>
              <w:jc w:val="center"/>
              <w:rPr>
                <w:rFonts w:ascii="Times New Roman" w:hAnsi="Times New Roman" w:eastAsia="Times New Roman" w:cs="Times New Roman"/>
                <w:sz w:val="24"/>
                <w:szCs w:val="24"/>
                <w:lang w:eastAsia="uk-UA" w:bidi="he-IL"/>
              </w:rPr>
            </w:pPr>
            <w:r>
              <w:rPr>
                <w:rFonts w:eastAsia="Times New Roman" w:cs="Times New Roman" w:ascii="Times New Roman" w:hAnsi="Times New Roman"/>
                <w:sz w:val="24"/>
                <w:szCs w:val="24"/>
                <w:lang w:eastAsia="uk-UA" w:bidi="he-IL"/>
              </w:rPr>
              <w:t>Усього витрат на виконання підпрограми</w:t>
            </w:r>
          </w:p>
        </w:tc>
      </w:tr>
      <w:tr>
        <w:trPr>
          <w:trHeight w:val="324" w:hRule="atLeast"/>
        </w:trPr>
        <w:tc>
          <w:tcPr>
            <w:tcW w:w="439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bidi="he-IL"/>
              </w:rPr>
            </w:pPr>
            <w:r>
              <w:rPr>
                <w:rFonts w:eastAsia="Times New Roman" w:cs="Times New Roman" w:ascii="Times New Roman" w:hAnsi="Times New Roman"/>
                <w:color w:val="000000"/>
                <w:sz w:val="24"/>
                <w:szCs w:val="24"/>
                <w:lang w:eastAsia="uk-UA" w:bidi="he-IL"/>
              </w:rPr>
            </w:r>
          </w:p>
        </w:tc>
        <w:tc>
          <w:tcPr>
            <w:tcW w:w="2126" w:type="dxa"/>
            <w:gridSpan w:val="2"/>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spacing w:lineRule="auto" w:line="240" w:before="0" w:after="0"/>
              <w:rPr>
                <w:rFonts w:ascii="Times New Roman" w:hAnsi="Times New Roman" w:eastAsia="Times New Roman" w:cs="Times New Roman"/>
                <w:color w:val="000000"/>
                <w:sz w:val="24"/>
                <w:szCs w:val="24"/>
                <w:lang w:eastAsia="uk-UA" w:bidi="he-IL"/>
              </w:rPr>
            </w:pPr>
            <w:r>
              <w:rPr>
                <w:rFonts w:eastAsia="Times New Roman" w:cs="Times New Roman" w:ascii="Times New Roman" w:hAnsi="Times New Roman"/>
                <w:color w:val="000000"/>
                <w:sz w:val="24"/>
                <w:szCs w:val="24"/>
                <w:lang w:eastAsia="uk-UA" w:bidi="he-IL"/>
              </w:rPr>
            </w:r>
          </w:p>
        </w:tc>
        <w:tc>
          <w:tcPr>
            <w:tcW w:w="1842" w:type="dxa"/>
            <w:gridSpan w:val="2"/>
            <w:tcBorders>
              <w:right w:val="single" w:sz="4" w:space="0" w:color="00000A"/>
              <w:insideV w:val="single" w:sz="4" w:space="0" w:color="00000A"/>
            </w:tcBorders>
            <w:shd w:color="000000" w:fill="FFFFFF" w:val="clear"/>
            <w:vAlign w:val="bottom"/>
          </w:tcPr>
          <w:p>
            <w:pPr>
              <w:pStyle w:val="Normal"/>
              <w:spacing w:lineRule="auto" w:line="240" w:before="0" w:after="0"/>
              <w:jc w:val="center"/>
              <w:rPr>
                <w:rFonts w:ascii="Times New Roman" w:hAnsi="Times New Roman" w:eastAsia="Times New Roman" w:cs="Times New Roman"/>
                <w:sz w:val="24"/>
                <w:szCs w:val="24"/>
                <w:lang w:eastAsia="uk-UA" w:bidi="he-IL"/>
              </w:rPr>
            </w:pPr>
            <w:r>
              <w:rPr>
                <w:rFonts w:eastAsia="Times New Roman" w:cs="Times New Roman" w:ascii="Times New Roman" w:hAnsi="Times New Roman"/>
                <w:sz w:val="24"/>
                <w:szCs w:val="24"/>
                <w:lang w:eastAsia="uk-UA" w:bidi="he-IL"/>
              </w:rPr>
              <w:t>2016</w:t>
            </w:r>
          </w:p>
        </w:tc>
        <w:tc>
          <w:tcPr>
            <w:tcW w:w="1701" w:type="dxa"/>
            <w:gridSpan w:val="2"/>
            <w:tcBorders>
              <w:right w:val="single" w:sz="4" w:space="0" w:color="00000A"/>
              <w:insideV w:val="single" w:sz="4" w:space="0" w:color="00000A"/>
            </w:tcBorders>
            <w:shd w:color="000000" w:fill="FFFFFF" w:val="clear"/>
            <w:vAlign w:val="bottom"/>
          </w:tcPr>
          <w:p>
            <w:pPr>
              <w:pStyle w:val="Normal"/>
              <w:spacing w:lineRule="auto" w:line="240" w:before="0" w:after="0"/>
              <w:jc w:val="center"/>
              <w:rPr>
                <w:rFonts w:ascii="Times New Roman" w:hAnsi="Times New Roman" w:eastAsia="Times New Roman" w:cs="Times New Roman"/>
                <w:sz w:val="24"/>
                <w:szCs w:val="24"/>
                <w:lang w:eastAsia="uk-UA" w:bidi="he-IL"/>
              </w:rPr>
            </w:pPr>
            <w:r>
              <w:rPr>
                <w:rFonts w:eastAsia="Times New Roman" w:cs="Times New Roman" w:ascii="Times New Roman" w:hAnsi="Times New Roman"/>
                <w:sz w:val="24"/>
                <w:szCs w:val="24"/>
                <w:lang w:eastAsia="uk-UA" w:bidi="he-IL"/>
              </w:rPr>
              <w:t>2017</w:t>
            </w:r>
          </w:p>
        </w:tc>
        <w:tc>
          <w:tcPr>
            <w:tcW w:w="1701" w:type="dxa"/>
            <w:gridSpan w:val="2"/>
            <w:tcBorders>
              <w:right w:val="single" w:sz="4" w:space="0" w:color="00000A"/>
              <w:insideV w:val="single" w:sz="4" w:space="0" w:color="00000A"/>
            </w:tcBorders>
            <w:shd w:color="000000" w:fill="FFFFFF" w:val="clear"/>
            <w:vAlign w:val="bottom"/>
          </w:tcPr>
          <w:p>
            <w:pPr>
              <w:pStyle w:val="Normal"/>
              <w:spacing w:lineRule="auto" w:line="240" w:before="0" w:after="0"/>
              <w:jc w:val="center"/>
              <w:rPr>
                <w:rFonts w:ascii="Times New Roman" w:hAnsi="Times New Roman" w:eastAsia="Times New Roman" w:cs="Times New Roman"/>
                <w:sz w:val="24"/>
                <w:szCs w:val="24"/>
                <w:lang w:eastAsia="uk-UA" w:bidi="he-IL"/>
              </w:rPr>
            </w:pPr>
            <w:r>
              <w:rPr>
                <w:rFonts w:eastAsia="Times New Roman" w:cs="Times New Roman" w:ascii="Times New Roman" w:hAnsi="Times New Roman"/>
                <w:sz w:val="24"/>
                <w:szCs w:val="24"/>
                <w:lang w:eastAsia="uk-UA" w:bidi="he-IL"/>
              </w:rPr>
              <w:t>2018</w:t>
            </w:r>
          </w:p>
        </w:tc>
        <w:tc>
          <w:tcPr>
            <w:tcW w:w="2269" w:type="dxa"/>
            <w:vMerge w:val="continue"/>
            <w:tcBorders>
              <w:top w:val="single" w:sz="4" w:space="0" w:color="00000A"/>
              <w:left w:val="single" w:sz="4" w:space="0" w:color="00000A"/>
              <w:bottom w:val="single" w:sz="4" w:space="0" w:color="000001"/>
              <w:right w:val="single" w:sz="4" w:space="0" w:color="00000A"/>
              <w:insideH w:val="single" w:sz="4" w:space="0" w:color="000001"/>
              <w:insideV w:val="single" w:sz="4" w:space="0" w:color="00000A"/>
            </w:tcBorders>
            <w:shd w:fill="auto" w:val="clear"/>
            <w:tcMar>
              <w:left w:w="103" w:type="dxa"/>
            </w:tcMar>
            <w:vAlign w:val="center"/>
          </w:tcPr>
          <w:p>
            <w:pPr>
              <w:pStyle w:val="Normal"/>
              <w:spacing w:lineRule="auto" w:line="240" w:before="0" w:after="0"/>
              <w:rPr>
                <w:rFonts w:ascii="Times New Roman" w:hAnsi="Times New Roman" w:eastAsia="Times New Roman" w:cs="Times New Roman"/>
                <w:sz w:val="24"/>
                <w:szCs w:val="24"/>
                <w:lang w:eastAsia="uk-UA" w:bidi="he-IL"/>
              </w:rPr>
            </w:pPr>
            <w:r>
              <w:rPr>
                <w:rFonts w:eastAsia="Times New Roman" w:cs="Times New Roman" w:ascii="Times New Roman" w:hAnsi="Times New Roman"/>
                <w:sz w:val="24"/>
                <w:szCs w:val="24"/>
                <w:lang w:eastAsia="uk-UA" w:bidi="he-IL"/>
              </w:rPr>
            </w:r>
          </w:p>
        </w:tc>
      </w:tr>
      <w:tr>
        <w:trPr>
          <w:trHeight w:val="324" w:hRule="atLeast"/>
        </w:trPr>
        <w:tc>
          <w:tcPr>
            <w:tcW w:w="4394" w:type="dxa"/>
            <w:tcBorders>
              <w:top w:val="single" w:sz="8" w:space="0" w:color="00000A"/>
              <w:left w:val="single" w:sz="8" w:space="0" w:color="00000A"/>
              <w:bottom w:val="single" w:sz="8" w:space="0" w:color="00000A"/>
              <w:right w:val="single" w:sz="4" w:space="0" w:color="00000A"/>
              <w:insideH w:val="single" w:sz="8" w:space="0" w:color="00000A"/>
              <w:insideV w:val="single" w:sz="4" w:space="0" w:color="00000A"/>
            </w:tcBorders>
            <w:shd w:color="000000" w:fill="FFFFFF" w:val="clear"/>
            <w:tcMar>
              <w:left w:w="98" w:type="dxa"/>
            </w:tcM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Бюджет м. Києва</w:t>
            </w:r>
          </w:p>
        </w:tc>
        <w:tc>
          <w:tcPr>
            <w:tcW w:w="2126"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 xml:space="preserve"> </w:t>
            </w:r>
            <w:r>
              <w:rPr>
                <w:rFonts w:eastAsia="Times New Roman" w:cs="Times New Roman" w:ascii="Times New Roman" w:hAnsi="Times New Roman" w:asciiTheme="majorBidi" w:cstheme="majorBidi" w:hAnsiTheme="majorBidi"/>
                <w:sz w:val="24"/>
                <w:szCs w:val="24"/>
                <w:lang w:eastAsia="uk-UA" w:bidi="he-IL"/>
              </w:rPr>
              <w:t>тис. грн.</w:t>
            </w:r>
          </w:p>
        </w:tc>
        <w:tc>
          <w:tcPr>
            <w:tcW w:w="1842"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tcPr>
          <w:p>
            <w:pPr>
              <w:pStyle w:val="Normal"/>
              <w:spacing w:lineRule="auto" w:line="240" w:before="0" w:after="0"/>
              <w:jc w:val="right"/>
              <w:rPr>
                <w:rFonts w:ascii="Times New Roman" w:hAnsi="Times New Roman" w:eastAsia="Times New Roman" w:cs="Times New Roman" w:asciiTheme="majorBidi" w:cstheme="majorBidi" w:hAnsiTheme="majorBidi"/>
                <w:sz w:val="24"/>
                <w:szCs w:val="24"/>
                <w:lang w:eastAsia="uk-UA" w:bidi="he-IL"/>
              </w:rPr>
            </w:pPr>
            <w:r>
              <w:rPr>
                <w:rFonts w:cs="Times New Roman" w:ascii="Times New Roman" w:hAnsi="Times New Roman" w:asciiTheme="majorBidi" w:cstheme="majorBidi" w:hAnsiTheme="majorBidi"/>
                <w:sz w:val="24"/>
                <w:szCs w:val="24"/>
              </w:rPr>
              <w:t>185 349,5</w:t>
            </w:r>
          </w:p>
        </w:tc>
        <w:tc>
          <w:tcPr>
            <w:tcW w:w="1701"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tcPr>
          <w:p>
            <w:pPr>
              <w:pStyle w:val="Normal"/>
              <w:spacing w:lineRule="auto" w:line="240" w:before="0" w:after="0"/>
              <w:jc w:val="right"/>
              <w:rPr>
                <w:rFonts w:ascii="Times New Roman" w:hAnsi="Times New Roman" w:eastAsia="Times New Roman" w:cs="Times New Roman" w:asciiTheme="majorBidi" w:cstheme="majorBidi" w:hAnsiTheme="majorBidi"/>
                <w:sz w:val="24"/>
                <w:szCs w:val="24"/>
                <w:lang w:eastAsia="uk-UA" w:bidi="he-IL"/>
              </w:rPr>
            </w:pPr>
            <w:r>
              <w:rPr>
                <w:rFonts w:cs="Times New Roman" w:ascii="Times New Roman" w:hAnsi="Times New Roman" w:asciiTheme="majorBidi" w:cstheme="majorBidi" w:hAnsiTheme="majorBidi"/>
                <w:sz w:val="24"/>
                <w:szCs w:val="24"/>
              </w:rPr>
              <w:t>221 703,0</w:t>
            </w:r>
          </w:p>
        </w:tc>
        <w:tc>
          <w:tcPr>
            <w:tcW w:w="1701" w:type="dxa"/>
            <w:gridSpan w:val="2"/>
            <w:tcBorders>
              <w:top w:val="single" w:sz="8" w:space="0" w:color="00000A"/>
              <w:bottom w:val="single" w:sz="8" w:space="0" w:color="00000A"/>
              <w:right w:val="single" w:sz="4" w:space="0" w:color="00000A"/>
              <w:insideH w:val="single" w:sz="8" w:space="0" w:color="00000A"/>
              <w:insideV w:val="single" w:sz="4" w:space="0" w:color="00000A"/>
            </w:tcBorders>
            <w:shd w:color="000000" w:fill="FFFFFF" w:val="clear"/>
          </w:tcPr>
          <w:p>
            <w:pPr>
              <w:pStyle w:val="Normal"/>
              <w:spacing w:lineRule="auto" w:line="240" w:before="0" w:after="0"/>
              <w:jc w:val="right"/>
              <w:rPr>
                <w:rFonts w:ascii="Times New Roman" w:hAnsi="Times New Roman" w:eastAsia="Times New Roman" w:cs="Times New Roman" w:asciiTheme="majorBidi" w:cstheme="majorBidi" w:hAnsiTheme="majorBidi"/>
                <w:sz w:val="24"/>
                <w:szCs w:val="24"/>
                <w:lang w:eastAsia="uk-UA" w:bidi="he-IL"/>
              </w:rPr>
            </w:pPr>
            <w:r>
              <w:rPr>
                <w:rFonts w:cs="Times New Roman" w:ascii="Times New Roman" w:hAnsi="Times New Roman" w:asciiTheme="majorBidi" w:cstheme="majorBidi" w:hAnsiTheme="majorBidi"/>
                <w:sz w:val="24"/>
                <w:szCs w:val="24"/>
              </w:rPr>
              <w:t>226 803,8</w:t>
            </w:r>
          </w:p>
        </w:tc>
        <w:tc>
          <w:tcPr>
            <w:tcW w:w="2269" w:type="dxa"/>
            <w:tcBorders>
              <w:top w:val="single" w:sz="8" w:space="0" w:color="00000A"/>
              <w:bottom w:val="single" w:sz="8" w:space="0" w:color="00000A"/>
              <w:right w:val="single" w:sz="8" w:space="0" w:color="00000A"/>
              <w:insideH w:val="single" w:sz="8" w:space="0" w:color="00000A"/>
              <w:insideV w:val="single" w:sz="8" w:space="0" w:color="00000A"/>
            </w:tcBorders>
            <w:shd w:color="000000" w:fill="FFFFFF" w:val="clear"/>
          </w:tcPr>
          <w:p>
            <w:pPr>
              <w:pStyle w:val="Normal"/>
              <w:spacing w:lineRule="auto" w:line="240" w:before="0" w:after="0"/>
              <w:jc w:val="right"/>
              <w:rPr>
                <w:rFonts w:ascii="Times New Roman" w:hAnsi="Times New Roman" w:eastAsia="Times New Roman" w:cs="Times New Roman" w:asciiTheme="majorBidi" w:cstheme="majorBidi" w:hAnsiTheme="majorBidi"/>
                <w:sz w:val="24"/>
                <w:szCs w:val="24"/>
                <w:lang w:eastAsia="uk-UA" w:bidi="he-IL"/>
              </w:rPr>
            </w:pPr>
            <w:r>
              <w:rPr>
                <w:rFonts w:cs="Times New Roman" w:ascii="Times New Roman" w:hAnsi="Times New Roman" w:asciiTheme="majorBidi" w:cstheme="majorBidi" w:hAnsiTheme="majorBidi"/>
                <w:sz w:val="24"/>
                <w:szCs w:val="24"/>
              </w:rPr>
              <w:t>633 856,3</w:t>
            </w:r>
          </w:p>
        </w:tc>
      </w:tr>
      <w:tr>
        <w:trPr>
          <w:trHeight w:val="276" w:hRule="atLeast"/>
        </w:trPr>
        <w:tc>
          <w:tcPr>
            <w:tcW w:w="14033" w:type="dxa"/>
            <w:gridSpan w:val="10"/>
            <w:tcBorders>
              <w:top w:val="single" w:sz="4" w:space="0" w:color="00000A"/>
              <w:left w:val="single" w:sz="4" w:space="0" w:color="00000A"/>
              <w:right w:val="single" w:sz="4" w:space="0" w:color="000001"/>
              <w:insideV w:val="single" w:sz="4" w:space="0" w:color="000001"/>
            </w:tcBorders>
            <w:shd w:color="auto" w:fill="auto" w:val="clear"/>
            <w:tcMar>
              <w:left w:w="103" w:type="dxa"/>
            </w:tcM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ascii="Times New Roman" w:hAnsi="Times New Roman" w:asciiTheme="majorBidi" w:cstheme="majorBidi" w:hAnsiTheme="majorBidi"/>
                <w:color w:val="000000"/>
                <w:sz w:val="24"/>
                <w:szCs w:val="24"/>
                <w:lang w:eastAsia="uk-UA" w:bidi="he-IL"/>
              </w:rPr>
              <w:t>Показник затрат</w:t>
            </w:r>
          </w:p>
        </w:tc>
      </w:tr>
      <w:tr>
        <w:trPr>
          <w:trHeight w:val="936" w:hRule="atLeast"/>
        </w:trPr>
        <w:tc>
          <w:tcPr>
            <w:tcW w:w="43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 xml:space="preserve">Обсяг видатків для придбання обладнання та предметів довгострокового користування </w:t>
            </w:r>
          </w:p>
        </w:tc>
        <w:tc>
          <w:tcPr>
            <w:tcW w:w="2126"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842"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185 349,5</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221 703,0</w:t>
            </w:r>
          </w:p>
        </w:tc>
        <w:tc>
          <w:tcPr>
            <w:tcW w:w="1701" w:type="dxa"/>
            <w:gridSpan w:val="2"/>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226 803,8</w:t>
            </w:r>
          </w:p>
        </w:tc>
        <w:tc>
          <w:tcPr>
            <w:tcW w:w="2269" w:type="dxa"/>
            <w:tcBorders>
              <w:top w:val="single" w:sz="4" w:space="0" w:color="00000A"/>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оргтехніка</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23 039,7</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31 883,4</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32 739,3</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побутова техніка</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14 221,2</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23 313,6</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13 957,7</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меблі</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8 758,1</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12 416,7</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5 499,4</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підручники</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53 650,0</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65 575,0</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65 595,0</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спортивне обладнання</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81 699,5</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83 323,5</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85 463,9</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інші</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3 981,0</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5 977,3</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5 702,1</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276" w:hRule="atLeast"/>
        </w:trPr>
        <w:tc>
          <w:tcPr>
            <w:tcW w:w="14033" w:type="dxa"/>
            <w:gridSpan w:val="1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Показники продукту</w:t>
            </w:r>
          </w:p>
        </w:tc>
      </w:tr>
      <w:tr>
        <w:trPr>
          <w:trHeight w:val="624"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Кількість установ (закладів), в яких проведено оновлення МТБ</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од.</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624</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622</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629</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936"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кількість придбаного обладнання і предметів довгострокового користування</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од.</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69 830</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73 413</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72 017</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оргтехніка</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од.</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2 069</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2 695</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2 728</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побутова техніка</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од.</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2 630</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3 672</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2 709</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меблі</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од.</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2 455</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2 559</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2 112</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підручники</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од.</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54 932</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55 332</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55 332</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спортивне обладнання</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од.</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5 124</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5 130</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5 135</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312"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інші</w:t>
            </w:r>
          </w:p>
        </w:tc>
        <w:tc>
          <w:tcPr>
            <w:tcW w:w="2126" w:type="dxa"/>
            <w:gridSpan w:val="2"/>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од.</w:t>
            </w:r>
          </w:p>
        </w:tc>
        <w:tc>
          <w:tcPr>
            <w:tcW w:w="1842"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2 620</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4 025</w:t>
            </w:r>
          </w:p>
        </w:tc>
        <w:tc>
          <w:tcPr>
            <w:tcW w:w="1701"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4 001</w:t>
            </w:r>
          </w:p>
        </w:tc>
        <w:tc>
          <w:tcPr>
            <w:tcW w:w="2269" w:type="dxa"/>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276" w:hRule="atLeast"/>
        </w:trPr>
        <w:tc>
          <w:tcPr>
            <w:tcW w:w="14033" w:type="dxa"/>
            <w:gridSpan w:val="10"/>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ascii="Times New Roman" w:hAnsi="Times New Roman" w:asciiTheme="majorBidi" w:cstheme="majorBidi" w:hAnsiTheme="majorBidi"/>
                <w:color w:val="000000"/>
                <w:sz w:val="24"/>
                <w:szCs w:val="24"/>
                <w:lang w:eastAsia="uk-UA" w:bidi="he-IL"/>
              </w:rPr>
              <w:t>Показники ефективності</w:t>
            </w:r>
          </w:p>
        </w:tc>
      </w:tr>
      <w:tr>
        <w:trPr>
          <w:trHeight w:val="564"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Середні витрати на придбання одиниці оргтехнікі</w:t>
            </w:r>
          </w:p>
        </w:tc>
        <w:tc>
          <w:tcPr>
            <w:tcW w:w="166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11,136</w:t>
            </w:r>
          </w:p>
        </w:tc>
        <w:tc>
          <w:tcPr>
            <w:tcW w:w="168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11,831</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12,001</w:t>
            </w:r>
          </w:p>
        </w:tc>
        <w:tc>
          <w:tcPr>
            <w:tcW w:w="294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564"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середні витрати на придбання одиниці побутової техніки</w:t>
            </w:r>
          </w:p>
        </w:tc>
        <w:tc>
          <w:tcPr>
            <w:tcW w:w="166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5,407</w:t>
            </w:r>
          </w:p>
        </w:tc>
        <w:tc>
          <w:tcPr>
            <w:tcW w:w="168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6,349</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5,152</w:t>
            </w:r>
          </w:p>
        </w:tc>
        <w:tc>
          <w:tcPr>
            <w:tcW w:w="294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564"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середні витрати на придбання одиниці меблі</w:t>
            </w:r>
          </w:p>
        </w:tc>
        <w:tc>
          <w:tcPr>
            <w:tcW w:w="166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3,567</w:t>
            </w:r>
          </w:p>
        </w:tc>
        <w:tc>
          <w:tcPr>
            <w:tcW w:w="168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4,852</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2,604</w:t>
            </w:r>
          </w:p>
        </w:tc>
        <w:tc>
          <w:tcPr>
            <w:tcW w:w="294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564"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середні витрати на придбання одиниці підручників</w:t>
            </w:r>
          </w:p>
        </w:tc>
        <w:tc>
          <w:tcPr>
            <w:tcW w:w="166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0,977</w:t>
            </w:r>
          </w:p>
        </w:tc>
        <w:tc>
          <w:tcPr>
            <w:tcW w:w="168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1,185</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1,185</w:t>
            </w:r>
          </w:p>
        </w:tc>
        <w:tc>
          <w:tcPr>
            <w:tcW w:w="294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564"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середні витрати на придбання одиниці спортивного обладнання</w:t>
            </w:r>
          </w:p>
        </w:tc>
        <w:tc>
          <w:tcPr>
            <w:tcW w:w="166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15,944</w:t>
            </w:r>
          </w:p>
        </w:tc>
        <w:tc>
          <w:tcPr>
            <w:tcW w:w="168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16,242</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16,643</w:t>
            </w:r>
          </w:p>
        </w:tc>
        <w:tc>
          <w:tcPr>
            <w:tcW w:w="294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r>
        <w:trPr>
          <w:trHeight w:val="564" w:hRule="atLeast"/>
        </w:trPr>
        <w:tc>
          <w:tcPr>
            <w:tcW w:w="4394" w:type="dxa"/>
            <w:tcBorders>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3" w:type="dxa"/>
            </w:tcMar>
            <w:vAlign w:val="bottom"/>
          </w:tcPr>
          <w:p>
            <w:pPr>
              <w:pStyle w:val="Normal"/>
              <w:spacing w:lineRule="auto" w:line="240" w:before="0" w:after="0"/>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середні витрати на придбання одиниці одного обладнання (предмету)</w:t>
            </w:r>
          </w:p>
        </w:tc>
        <w:tc>
          <w:tcPr>
            <w:tcW w:w="1661" w:type="dxa"/>
            <w:tcBorders>
              <w:bottom w:val="single" w:sz="4" w:space="0" w:color="00000A"/>
              <w:right w:val="single" w:sz="4" w:space="0" w:color="00000A"/>
              <w:insideH w:val="single" w:sz="4" w:space="0" w:color="00000A"/>
              <w:insideV w:val="single" w:sz="4" w:space="0" w:color="00000A"/>
            </w:tcBorders>
            <w:shd w:color="auto" w:fill="auto" w:val="clear"/>
            <w:vAlign w:val="bottom"/>
          </w:tcPr>
          <w:p>
            <w:pPr>
              <w:pStyle w:val="Normal"/>
              <w:spacing w:lineRule="auto" w:line="240" w:before="0" w:after="0"/>
              <w:jc w:val="center"/>
              <w:rPr>
                <w:rFonts w:ascii="Times New Roman" w:hAnsi="Times New Roman" w:eastAsia="Times New Roman" w:cs="Times New Roman" w:asciiTheme="majorBidi" w:cstheme="majorBidi" w:hAnsiTheme="majorBidi"/>
                <w:sz w:val="24"/>
                <w:szCs w:val="24"/>
                <w:lang w:eastAsia="uk-UA" w:bidi="he-IL"/>
              </w:rPr>
            </w:pPr>
            <w:r>
              <w:rPr>
                <w:rFonts w:eastAsia="Times New Roman" w:cs="Times New Roman" w:ascii="Times New Roman" w:hAnsi="Times New Roman" w:asciiTheme="majorBidi" w:cstheme="majorBidi" w:hAnsiTheme="majorBidi"/>
                <w:sz w:val="24"/>
                <w:szCs w:val="24"/>
                <w:lang w:eastAsia="uk-UA" w:bidi="he-IL"/>
              </w:rPr>
              <w:t>тис. грн.</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1,519</w:t>
            </w:r>
          </w:p>
        </w:tc>
        <w:tc>
          <w:tcPr>
            <w:tcW w:w="168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1,485</w:t>
            </w:r>
          </w:p>
        </w:tc>
        <w:tc>
          <w:tcPr>
            <w:tcW w:w="1679"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jc w:val="right"/>
              <w:rPr>
                <w:rFonts w:ascii="Times New Roman" w:hAnsi="Times New Roman" w:eastAsia="Times New Roman" w:cs="Times New Roman" w:asciiTheme="majorBidi" w:cstheme="majorBidi" w:hAnsiTheme="majorBidi"/>
                <w:color w:val="000000"/>
                <w:sz w:val="24"/>
                <w:szCs w:val="24"/>
                <w:lang w:eastAsia="uk-UA" w:bidi="he-IL"/>
              </w:rPr>
            </w:pPr>
            <w:r>
              <w:rPr>
                <w:rFonts w:cs="Times New Roman" w:ascii="Times New Roman" w:hAnsi="Times New Roman" w:asciiTheme="majorBidi" w:cstheme="majorBidi" w:hAnsiTheme="majorBidi"/>
                <w:sz w:val="24"/>
                <w:szCs w:val="24"/>
              </w:rPr>
              <w:t>1,425</w:t>
            </w:r>
          </w:p>
        </w:tc>
        <w:tc>
          <w:tcPr>
            <w:tcW w:w="2940" w:type="dxa"/>
            <w:gridSpan w:val="2"/>
            <w:tcBorders>
              <w:bottom w:val="single" w:sz="4" w:space="0" w:color="00000A"/>
              <w:right w:val="single" w:sz="4" w:space="0" w:color="00000A"/>
              <w:insideH w:val="single" w:sz="4" w:space="0" w:color="00000A"/>
              <w:insideV w:val="single" w:sz="4" w:space="0" w:color="00000A"/>
            </w:tcBorders>
            <w:shd w:color="auto" w:fill="auto" w:val="clear"/>
          </w:tcPr>
          <w:p>
            <w:pPr>
              <w:pStyle w:val="Normal"/>
              <w:spacing w:lineRule="auto" w:line="240" w:before="0" w:after="0"/>
              <w:rPr>
                <w:rFonts w:ascii="Times New Roman" w:hAnsi="Times New Roman" w:eastAsia="Times New Roman" w:cs="Times New Roman" w:asciiTheme="majorBidi" w:cstheme="majorBidi" w:hAnsiTheme="majorBidi"/>
                <w:color w:val="000000"/>
                <w:sz w:val="24"/>
                <w:szCs w:val="24"/>
                <w:lang w:eastAsia="uk-UA" w:bidi="he-IL"/>
              </w:rPr>
            </w:pPr>
            <w:r>
              <w:rPr>
                <w:rFonts w:eastAsia="Times New Roman" w:cs="Times New Roman" w:cstheme="majorBidi" w:ascii="Times New Roman" w:hAnsi="Times New Roman"/>
                <w:color w:val="000000"/>
                <w:sz w:val="24"/>
                <w:szCs w:val="24"/>
                <w:lang w:eastAsia="uk-UA" w:bidi="he-IL"/>
              </w:rPr>
            </w:r>
          </w:p>
        </w:tc>
      </w:tr>
    </w:tbl>
    <w:p>
      <w:pPr>
        <w:pStyle w:val="Normal"/>
        <w:rPr/>
      </w:pPr>
      <w:r>
        <w:rPr/>
      </w:r>
    </w:p>
    <w:sectPr>
      <w:headerReference w:type="default" r:id="rId48"/>
      <w:headerReference w:type="first" r:id="rId49"/>
      <w:type w:val="nextPage"/>
      <w:pgSz w:orient="landscape" w:w="16838" w:h="11906"/>
      <w:pgMar w:left="851" w:right="851" w:header="709" w:top="1134" w:footer="0" w:bottom="1134" w:gutter="0"/>
      <w:pgNumType w:fmt="decimal"/>
      <w:formProt w:val="false"/>
      <w:titlePg/>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Cambria">
    <w:charset w:val="cc"/>
    <w:family w:val="roman"/>
    <w:pitch w:val="variable"/>
  </w:font>
  <w:font w:name="Times New Roman">
    <w:charset w:val="cc"/>
    <w:family w:val="roman"/>
    <w:pitch w:val="variable"/>
  </w:font>
  <w:font w:name="Tahoma">
    <w:charset w:val="cc"/>
    <w:family w:val="roman"/>
    <w:pitch w:val="variable"/>
  </w:font>
  <w:font w:name="Courier New">
    <w:charset w:val="cc"/>
    <w:family w:val="roman"/>
    <w:pitch w:val="variable"/>
  </w:font>
  <w:font w:name="Liberation Sans">
    <w:altName w:val="Arial"/>
    <w:charset w:val="cc"/>
    <w:family w:val="swiss"/>
    <w:pitch w:val="variable"/>
  </w:font>
  <w:font w:name="Symbol">
    <w:charset w:val="cc"/>
    <w:family w:val="roman"/>
    <w:pitch w:val="variable"/>
  </w:font>
  <w:font w:name="Arial">
    <w:charset w:val="cc"/>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92284182"/>
    </w:sdtPr>
    <w:sdtContent>
      <w:p>
        <w:pPr>
          <w:pStyle w:val="Style22"/>
          <w:jc w:val="center"/>
          <w:rPr/>
        </w:pPr>
        <w:r>
          <w:rPr/>
          <w:fldChar w:fldCharType="begin"/>
        </w:r>
        <w:r>
          <w:instrText> PAGE </w:instrText>
        </w:r>
        <w:r>
          <w:fldChar w:fldCharType="separate"/>
        </w:r>
        <w:r>
          <w:t>16</w:t>
        </w:r>
        <w:r>
          <w:fldChar w:fldCharType="end"/>
        </w:r>
      </w:p>
      <w:p>
        <w:pPr>
          <w:pStyle w:val="Style22"/>
          <w:rPr/>
        </w:pPr>
        <w:r>
          <w:rPr/>
        </w:r>
      </w:p>
    </w:sdtContent>
  </w:sdt>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642157239"/>
    </w:sdtPr>
    <w:sdtContent>
      <w:p>
        <w:pPr>
          <w:pStyle w:val="Style22"/>
          <w:jc w:val="center"/>
          <w:rPr/>
        </w:pPr>
        <w:r>
          <w:rPr/>
          <w:fldChar w:fldCharType="begin"/>
        </w:r>
        <w:r>
          <w:instrText> PAGE </w:instrText>
        </w:r>
        <w:r>
          <w:fldChar w:fldCharType="separate"/>
        </w:r>
        <w:r>
          <w:t>57</w:t>
        </w:r>
        <w:r>
          <w:fldChar w:fldCharType="end"/>
        </w:r>
      </w:p>
      <w:p>
        <w:pPr>
          <w:pStyle w:val="Style22"/>
          <w:rPr/>
        </w:pPr>
        <w:r>
          <w:rPr/>
        </w:r>
      </w:p>
    </w:sdtContent>
  </w:sdt>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336940823"/>
    </w:sdtPr>
    <w:sdtContent>
      <w:p>
        <w:pPr>
          <w:pStyle w:val="Style22"/>
          <w:jc w:val="center"/>
          <w:rPr/>
        </w:pPr>
        <w:r>
          <w:rPr/>
          <w:fldChar w:fldCharType="begin"/>
        </w:r>
        <w:r>
          <w:instrText> PAGE </w:instrText>
        </w:r>
        <w:r>
          <w:fldChar w:fldCharType="separate"/>
        </w:r>
        <w:r>
          <w:t>47</w:t>
        </w:r>
        <w:r>
          <w:fldChar w:fldCharType="end"/>
        </w:r>
      </w:p>
    </w:sdtContent>
  </w:sdt>
  <w:p>
    <w:pPr>
      <w:pStyle w:val="Style22"/>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01873956"/>
    </w:sdtPr>
    <w:sdtContent>
      <w:p>
        <w:pPr>
          <w:pStyle w:val="Style22"/>
          <w:jc w:val="center"/>
          <w:rPr/>
        </w:pPr>
        <w:r>
          <w:rPr/>
          <w:fldChar w:fldCharType="begin"/>
        </w:r>
        <w:r>
          <w:instrText> PAGE </w:instrText>
        </w:r>
        <w:r>
          <w:fldChar w:fldCharType="separate"/>
        </w:r>
        <w:r>
          <w:t>67</w:t>
        </w:r>
        <w:r>
          <w:fldChar w:fldCharType="end"/>
        </w:r>
      </w:p>
      <w:p>
        <w:pPr>
          <w:pStyle w:val="Style22"/>
          <w:rPr/>
        </w:pPr>
        <w:r>
          <w:rPr/>
        </w:r>
      </w:p>
    </w:sdtContent>
  </w:sdt>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377775070"/>
    </w:sdtPr>
    <w:sdtContent>
      <w:p>
        <w:pPr>
          <w:pStyle w:val="Style22"/>
          <w:jc w:val="center"/>
          <w:rPr/>
        </w:pPr>
        <w:r>
          <w:rPr/>
          <w:fldChar w:fldCharType="begin"/>
        </w:r>
        <w:r>
          <w:instrText> PAGE </w:instrText>
        </w:r>
        <w:r>
          <w:fldChar w:fldCharType="separate"/>
        </w:r>
        <w:r>
          <w:t>59</w:t>
        </w:r>
        <w:r>
          <w:fldChar w:fldCharType="end"/>
        </w:r>
      </w:p>
    </w:sdtContent>
  </w:sdt>
  <w:p>
    <w:pPr>
      <w:pStyle w:val="Style22"/>
      <w:rPr/>
    </w:pPr>
    <w:r>
      <w:rPr/>
    </w:r>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137216461"/>
    </w:sdtPr>
    <w:sdtContent>
      <w:p>
        <w:pPr>
          <w:pStyle w:val="Style22"/>
          <w:jc w:val="center"/>
          <w:rPr/>
        </w:pPr>
        <w:r>
          <w:rPr/>
          <w:fldChar w:fldCharType="begin"/>
        </w:r>
        <w:r>
          <w:instrText> PAGE </w:instrText>
        </w:r>
        <w:r>
          <w:fldChar w:fldCharType="separate"/>
        </w:r>
        <w:r>
          <w:t>72</w:t>
        </w:r>
        <w:r>
          <w:fldChar w:fldCharType="end"/>
        </w:r>
      </w:p>
      <w:p>
        <w:pPr>
          <w:pStyle w:val="Style22"/>
          <w:rPr/>
        </w:pPr>
        <w:r>
          <w:rPr/>
        </w:r>
      </w:p>
    </w:sdtContent>
  </w:sdt>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80100265"/>
    </w:sdtPr>
    <w:sdtContent>
      <w:p>
        <w:pPr>
          <w:pStyle w:val="Style22"/>
          <w:jc w:val="center"/>
          <w:rPr/>
        </w:pPr>
        <w:r>
          <w:rPr/>
          <w:fldChar w:fldCharType="begin"/>
        </w:r>
        <w:r>
          <w:instrText> PAGE </w:instrText>
        </w:r>
        <w:r>
          <w:fldChar w:fldCharType="separate"/>
        </w:r>
        <w:r>
          <w:t>68</w:t>
        </w:r>
        <w:r>
          <w:fldChar w:fldCharType="end"/>
        </w:r>
      </w:p>
    </w:sdtContent>
  </w:sdt>
  <w:p>
    <w:pPr>
      <w:pStyle w:val="Style22"/>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16915623"/>
    </w:sdtPr>
    <w:sdtContent>
      <w:p>
        <w:pPr>
          <w:pStyle w:val="Style22"/>
          <w:jc w:val="center"/>
          <w:rPr/>
        </w:pPr>
        <w:r>
          <w:rPr/>
          <w:fldChar w:fldCharType="begin"/>
        </w:r>
        <w:r>
          <w:instrText> PAGE </w:instrText>
        </w:r>
        <w:r>
          <w:fldChar w:fldCharType="separate"/>
        </w:r>
        <w:r>
          <w:t>74</w:t>
        </w:r>
        <w:r>
          <w:fldChar w:fldCharType="end"/>
        </w:r>
      </w:p>
      <w:p>
        <w:pPr>
          <w:pStyle w:val="Style22"/>
          <w:rPr/>
        </w:pPr>
        <w:r>
          <w:rPr/>
        </w:r>
      </w:p>
    </w:sdtContent>
  </w:sdt>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326938429"/>
    </w:sdtPr>
    <w:sdtContent>
      <w:p>
        <w:pPr>
          <w:pStyle w:val="Style22"/>
          <w:jc w:val="center"/>
          <w:rPr/>
        </w:pPr>
        <w:r>
          <w:rPr/>
          <w:fldChar w:fldCharType="begin"/>
        </w:r>
        <w:r>
          <w:instrText> PAGE </w:instrText>
        </w:r>
        <w:r>
          <w:fldChar w:fldCharType="separate"/>
        </w:r>
        <w:r>
          <w:t>73</w:t>
        </w:r>
        <w:r>
          <w:fldChar w:fldCharType="end"/>
        </w:r>
      </w:p>
    </w:sdtContent>
  </w:sdt>
  <w:p>
    <w:pPr>
      <w:pStyle w:val="Style22"/>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830703491"/>
    </w:sdtPr>
    <w:sdtContent>
      <w:p>
        <w:pPr>
          <w:pStyle w:val="Style22"/>
          <w:jc w:val="center"/>
          <w:rPr/>
        </w:pPr>
        <w:r>
          <w:rPr/>
          <w:fldChar w:fldCharType="begin"/>
        </w:r>
        <w:r>
          <w:instrText> PAGE </w:instrText>
        </w:r>
        <w:r>
          <w:fldChar w:fldCharType="separate"/>
        </w:r>
        <w:r>
          <w:t>83</w:t>
        </w:r>
        <w:r>
          <w:fldChar w:fldCharType="end"/>
        </w:r>
      </w:p>
      <w:p>
        <w:pPr>
          <w:pStyle w:val="Style22"/>
          <w:rPr/>
        </w:pPr>
        <w:r>
          <w:rPr/>
        </w:r>
      </w:p>
    </w:sdtContent>
  </w:sdt>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42092861"/>
    </w:sdtPr>
    <w:sdtContent>
      <w:p>
        <w:pPr>
          <w:pStyle w:val="Style22"/>
          <w:jc w:val="center"/>
          <w:rPr/>
        </w:pPr>
        <w:r>
          <w:rPr/>
          <w:fldChar w:fldCharType="begin"/>
        </w:r>
        <w:r>
          <w:instrText> PAGE </w:instrText>
        </w:r>
        <w:r>
          <w:fldChar w:fldCharType="separate"/>
        </w:r>
        <w:r>
          <w:t>75</w:t>
        </w:r>
        <w:r>
          <w:fldChar w:fldCharType="end"/>
        </w:r>
      </w:p>
    </w:sdtContent>
  </w:sdt>
  <w:p>
    <w:pPr>
      <w:pStyle w:val="Style22"/>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16784168"/>
    </w:sdtPr>
    <w:sdtContent>
      <w:p>
        <w:pPr>
          <w:pStyle w:val="Style22"/>
          <w:jc w:val="center"/>
          <w:rPr/>
        </w:pPr>
        <w:r>
          <w:rPr/>
          <w:fldChar w:fldCharType="begin"/>
        </w:r>
        <w:r>
          <w:instrText> PAGE </w:instrText>
        </w:r>
        <w:r>
          <w:fldChar w:fldCharType="separate"/>
        </w:r>
        <w:r>
          <w:t>17</w:t>
        </w:r>
        <w:r>
          <w:fldChar w:fldCharType="end"/>
        </w:r>
      </w:p>
      <w:p>
        <w:pPr>
          <w:pStyle w:val="Style22"/>
          <w:rPr/>
        </w:pPr>
        <w:r>
          <w:rPr/>
        </w:r>
      </w:p>
    </w:sdtContent>
  </w:sdt>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15208423"/>
    </w:sdtPr>
    <w:sdtContent>
      <w:p>
        <w:pPr>
          <w:pStyle w:val="Style22"/>
          <w:jc w:val="center"/>
          <w:rPr/>
        </w:pPr>
        <w:r>
          <w:rPr/>
          <w:fldChar w:fldCharType="begin"/>
        </w:r>
        <w:r>
          <w:instrText> PAGE </w:instrText>
        </w:r>
        <w:r>
          <w:fldChar w:fldCharType="separate"/>
        </w:r>
        <w:r>
          <w:t>85</w:t>
        </w:r>
        <w:r>
          <w:fldChar w:fldCharType="end"/>
        </w:r>
      </w:p>
      <w:p>
        <w:pPr>
          <w:pStyle w:val="Style22"/>
          <w:rPr/>
        </w:pPr>
        <w:r>
          <w:rPr/>
        </w:r>
      </w:p>
    </w:sdtContent>
  </w:sdt>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906121974"/>
    </w:sdtPr>
    <w:sdtContent>
      <w:p>
        <w:pPr>
          <w:pStyle w:val="Style22"/>
          <w:jc w:val="center"/>
          <w:rPr/>
        </w:pPr>
        <w:r>
          <w:rPr/>
          <w:fldChar w:fldCharType="begin"/>
        </w:r>
        <w:r>
          <w:instrText> PAGE </w:instrText>
        </w:r>
        <w:r>
          <w:fldChar w:fldCharType="separate"/>
        </w:r>
        <w:r>
          <w:t>84</w:t>
        </w:r>
        <w:r>
          <w:fldChar w:fldCharType="end"/>
        </w:r>
      </w:p>
    </w:sdtContent>
  </w:sdt>
  <w:p>
    <w:pPr>
      <w:pStyle w:val="Style22"/>
      <w:rPr/>
    </w:pPr>
    <w:r>
      <w:rPr/>
    </w:r>
  </w:p>
</w:hdr>
</file>

<file path=word/header2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989248570"/>
    </w:sdtPr>
    <w:sdtContent>
      <w:p>
        <w:pPr>
          <w:pStyle w:val="Style22"/>
          <w:jc w:val="center"/>
          <w:rPr/>
        </w:pPr>
        <w:r>
          <w:rPr/>
          <w:fldChar w:fldCharType="begin"/>
        </w:r>
        <w:r>
          <w:instrText> PAGE </w:instrText>
        </w:r>
        <w:r>
          <w:fldChar w:fldCharType="separate"/>
        </w:r>
        <w:r>
          <w:t>87</w:t>
        </w:r>
        <w:r>
          <w:fldChar w:fldCharType="end"/>
        </w:r>
      </w:p>
      <w:p>
        <w:pPr>
          <w:pStyle w:val="Style22"/>
          <w:rPr/>
        </w:pPr>
        <w:r>
          <w:rPr/>
        </w:r>
      </w:p>
    </w:sdtContent>
  </w:sdt>
</w:hdr>
</file>

<file path=word/header2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087628825"/>
    </w:sdtPr>
    <w:sdtContent>
      <w:p>
        <w:pPr>
          <w:pStyle w:val="Style22"/>
          <w:jc w:val="center"/>
          <w:rPr/>
        </w:pPr>
        <w:r>
          <w:rPr/>
          <w:fldChar w:fldCharType="begin"/>
        </w:r>
        <w:r>
          <w:instrText> PAGE </w:instrText>
        </w:r>
        <w:r>
          <w:fldChar w:fldCharType="separate"/>
        </w:r>
        <w:r>
          <w:t>86</w:t>
        </w:r>
        <w:r>
          <w:fldChar w:fldCharType="end"/>
        </w:r>
      </w:p>
    </w:sdtContent>
  </w:sdt>
  <w:p>
    <w:pPr>
      <w:pStyle w:val="Style22"/>
      <w:rPr/>
    </w:pPr>
    <w:r>
      <w:rPr/>
    </w:r>
  </w:p>
</w:hdr>
</file>

<file path=word/header2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182160953"/>
    </w:sdtPr>
    <w:sdtContent>
      <w:p>
        <w:pPr>
          <w:pStyle w:val="Style22"/>
          <w:jc w:val="center"/>
          <w:rPr/>
        </w:pPr>
        <w:r>
          <w:rPr/>
          <w:fldChar w:fldCharType="begin"/>
        </w:r>
        <w:r>
          <w:instrText> PAGE </w:instrText>
        </w:r>
        <w:r>
          <w:fldChar w:fldCharType="separate"/>
        </w:r>
        <w:r>
          <w:t>93</w:t>
        </w:r>
        <w:r>
          <w:fldChar w:fldCharType="end"/>
        </w:r>
      </w:p>
      <w:p>
        <w:pPr>
          <w:pStyle w:val="Style22"/>
          <w:rPr/>
        </w:pPr>
        <w:r>
          <w:rPr/>
        </w:r>
      </w:p>
    </w:sdtContent>
  </w:sdt>
</w:hdr>
</file>

<file path=word/header2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81599159"/>
    </w:sdtPr>
    <w:sdtContent>
      <w:p>
        <w:pPr>
          <w:pStyle w:val="Style22"/>
          <w:jc w:val="center"/>
          <w:rPr/>
        </w:pPr>
        <w:r>
          <w:rPr/>
          <w:fldChar w:fldCharType="begin"/>
        </w:r>
        <w:r>
          <w:instrText> PAGE </w:instrText>
        </w:r>
        <w:r>
          <w:fldChar w:fldCharType="separate"/>
        </w:r>
        <w:r>
          <w:t>88</w:t>
        </w:r>
        <w:r>
          <w:fldChar w:fldCharType="end"/>
        </w:r>
      </w:p>
    </w:sdtContent>
  </w:sdt>
  <w:p>
    <w:pPr>
      <w:pStyle w:val="Style22"/>
      <w:rPr/>
    </w:pPr>
    <w:r>
      <w:rPr/>
    </w:r>
  </w:p>
</w:hdr>
</file>

<file path=word/header2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90671827"/>
    </w:sdtPr>
    <w:sdtContent>
      <w:p>
        <w:pPr>
          <w:pStyle w:val="Style22"/>
          <w:jc w:val="center"/>
          <w:rPr/>
        </w:pPr>
        <w:r>
          <w:rPr/>
          <w:fldChar w:fldCharType="begin"/>
        </w:r>
        <w:r>
          <w:instrText> PAGE </w:instrText>
        </w:r>
        <w:r>
          <w:fldChar w:fldCharType="separate"/>
        </w:r>
        <w:r>
          <w:t>100</w:t>
        </w:r>
        <w:r>
          <w:fldChar w:fldCharType="end"/>
        </w:r>
      </w:p>
      <w:p>
        <w:pPr>
          <w:pStyle w:val="Style22"/>
          <w:rPr/>
        </w:pPr>
        <w:r>
          <w:rPr/>
        </w:r>
      </w:p>
    </w:sdtContent>
  </w:sdt>
</w:hdr>
</file>

<file path=word/header2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949966454"/>
    </w:sdtPr>
    <w:sdtContent>
      <w:p>
        <w:pPr>
          <w:pStyle w:val="Style22"/>
          <w:jc w:val="center"/>
          <w:rPr/>
        </w:pPr>
        <w:r>
          <w:rPr/>
          <w:fldChar w:fldCharType="begin"/>
        </w:r>
        <w:r>
          <w:instrText> PAGE </w:instrText>
        </w:r>
        <w:r>
          <w:fldChar w:fldCharType="separate"/>
        </w:r>
        <w:r>
          <w:t>94</w:t>
        </w:r>
        <w:r>
          <w:fldChar w:fldCharType="end"/>
        </w:r>
      </w:p>
    </w:sdtContent>
  </w:sdt>
  <w:p>
    <w:pPr>
      <w:pStyle w:val="Style22"/>
      <w:rPr/>
    </w:pPr>
    <w:r>
      <w:rPr/>
    </w:r>
  </w:p>
</w:hdr>
</file>

<file path=word/header2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020027436"/>
    </w:sdtPr>
    <w:sdtContent>
      <w:p>
        <w:pPr>
          <w:pStyle w:val="Style22"/>
          <w:jc w:val="center"/>
          <w:rPr/>
        </w:pPr>
        <w:r>
          <w:rPr/>
          <w:fldChar w:fldCharType="begin"/>
        </w:r>
        <w:r>
          <w:instrText> PAGE </w:instrText>
        </w:r>
        <w:r>
          <w:fldChar w:fldCharType="separate"/>
        </w:r>
        <w:r>
          <w:t>108</w:t>
        </w:r>
        <w:r>
          <w:fldChar w:fldCharType="end"/>
        </w:r>
      </w:p>
      <w:p>
        <w:pPr>
          <w:pStyle w:val="Style22"/>
          <w:rPr/>
        </w:pPr>
        <w:r>
          <w:rPr/>
        </w:r>
      </w:p>
    </w:sdtContent>
  </w:sdt>
</w:hdr>
</file>

<file path=word/header2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456102296"/>
    </w:sdtPr>
    <w:sdtContent>
      <w:p>
        <w:pPr>
          <w:pStyle w:val="Style22"/>
          <w:jc w:val="center"/>
          <w:rPr/>
        </w:pPr>
        <w:r>
          <w:rPr/>
          <w:fldChar w:fldCharType="begin"/>
        </w:r>
        <w:r>
          <w:instrText> PAGE </w:instrText>
        </w:r>
        <w:r>
          <w:fldChar w:fldCharType="separate"/>
        </w:r>
        <w:r>
          <w:t>103</w:t>
        </w:r>
        <w:r>
          <w:fldChar w:fldCharType="end"/>
        </w:r>
      </w:p>
    </w:sdtContent>
  </w:sdt>
  <w:p>
    <w:pPr>
      <w:pStyle w:val="Style22"/>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83715127"/>
    </w:sdtPr>
    <w:sdtContent>
      <w:p>
        <w:pPr>
          <w:pStyle w:val="Style22"/>
          <w:jc w:val="center"/>
          <w:rPr/>
        </w:pPr>
        <w:r>
          <w:rPr/>
          <w:fldChar w:fldCharType="begin"/>
        </w:r>
        <w:r>
          <w:instrText> PAGE </w:instrText>
        </w:r>
        <w:r>
          <w:fldChar w:fldCharType="separate"/>
        </w:r>
        <w:r>
          <w:t>1</w:t>
        </w:r>
        <w:r>
          <w:fldChar w:fldCharType="end"/>
        </w:r>
      </w:p>
    </w:sdtContent>
  </w:sdt>
  <w:p>
    <w:pPr>
      <w:pStyle w:val="Style22"/>
      <w:rPr/>
    </w:pPr>
    <w:r>
      <w:rPr/>
    </w:r>
  </w:p>
</w:hdr>
</file>

<file path=word/header3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353494805"/>
    </w:sdtPr>
    <w:sdtContent>
      <w:p>
        <w:pPr>
          <w:pStyle w:val="Style22"/>
          <w:jc w:val="center"/>
          <w:rPr/>
        </w:pPr>
        <w:r>
          <w:rPr/>
          <w:fldChar w:fldCharType="begin"/>
        </w:r>
        <w:r>
          <w:instrText> PAGE </w:instrText>
        </w:r>
        <w:r>
          <w:fldChar w:fldCharType="separate"/>
        </w:r>
        <w:r>
          <w:t>133</w:t>
        </w:r>
        <w:r>
          <w:fldChar w:fldCharType="end"/>
        </w:r>
      </w:p>
      <w:p>
        <w:pPr>
          <w:pStyle w:val="Style22"/>
          <w:rPr/>
        </w:pPr>
        <w:r>
          <w:rPr/>
        </w:r>
      </w:p>
    </w:sdtContent>
  </w:sdt>
</w:hdr>
</file>

<file path=word/header3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614587556"/>
    </w:sdtPr>
    <w:sdtContent>
      <w:p>
        <w:pPr>
          <w:pStyle w:val="Style22"/>
          <w:jc w:val="center"/>
          <w:rPr/>
        </w:pPr>
        <w:r>
          <w:rPr/>
          <w:fldChar w:fldCharType="begin"/>
        </w:r>
        <w:r>
          <w:instrText> PAGE </w:instrText>
        </w:r>
        <w:r>
          <w:fldChar w:fldCharType="separate"/>
        </w:r>
        <w:r>
          <w:t>111</w:t>
        </w:r>
        <w:r>
          <w:fldChar w:fldCharType="end"/>
        </w:r>
      </w:p>
    </w:sdtContent>
  </w:sdt>
  <w:p>
    <w:pPr>
      <w:pStyle w:val="Style22"/>
      <w:rPr/>
    </w:pPr>
    <w:r>
      <w:rPr/>
    </w:r>
  </w:p>
</w:hdr>
</file>

<file path=word/header3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06676924"/>
    </w:sdtPr>
    <w:sdtContent>
      <w:p>
        <w:pPr>
          <w:pStyle w:val="Style22"/>
          <w:jc w:val="center"/>
          <w:rPr/>
        </w:pPr>
        <w:r>
          <w:rPr/>
          <w:fldChar w:fldCharType="begin"/>
        </w:r>
        <w:r>
          <w:instrText> PAGE </w:instrText>
        </w:r>
        <w:r>
          <w:fldChar w:fldCharType="separate"/>
        </w:r>
        <w:r>
          <w:t>134</w:t>
        </w:r>
        <w:r>
          <w:fldChar w:fldCharType="end"/>
        </w:r>
      </w:p>
    </w:sdtContent>
  </w:sdt>
  <w:p>
    <w:pPr>
      <w:pStyle w:val="Style22"/>
      <w:rPr/>
    </w:pPr>
    <w:r>
      <w:rPr/>
    </w:r>
  </w:p>
</w:hdr>
</file>

<file path=word/header3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499387228"/>
    </w:sdtPr>
    <w:sdtContent>
      <w:p>
        <w:pPr>
          <w:pStyle w:val="Style22"/>
          <w:jc w:val="center"/>
          <w:rPr/>
        </w:pPr>
        <w:r>
          <w:rPr/>
          <w:fldChar w:fldCharType="begin"/>
        </w:r>
        <w:r>
          <w:instrText> PAGE </w:instrText>
        </w:r>
        <w:r>
          <w:fldChar w:fldCharType="separate"/>
        </w:r>
        <w:r>
          <w:t>142</w:t>
        </w:r>
        <w:r>
          <w:fldChar w:fldCharType="end"/>
        </w:r>
      </w:p>
      <w:p>
        <w:pPr>
          <w:pStyle w:val="Style22"/>
          <w:rPr/>
        </w:pPr>
        <w:r>
          <w:rPr/>
        </w:r>
      </w:p>
    </w:sdtContent>
  </w:sdt>
</w:hdr>
</file>

<file path=word/header3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758894993"/>
    </w:sdtPr>
    <w:sdtContent>
      <w:p>
        <w:pPr>
          <w:pStyle w:val="Style22"/>
          <w:jc w:val="center"/>
          <w:rPr/>
        </w:pPr>
        <w:r>
          <w:rPr/>
          <w:fldChar w:fldCharType="begin"/>
        </w:r>
        <w:r>
          <w:instrText> PAGE </w:instrText>
        </w:r>
        <w:r>
          <w:fldChar w:fldCharType="separate"/>
        </w:r>
        <w:r>
          <w:t>135</w:t>
        </w:r>
        <w:r>
          <w:fldChar w:fldCharType="end"/>
        </w:r>
      </w:p>
    </w:sdtContent>
  </w:sdt>
  <w:p>
    <w:pPr>
      <w:pStyle w:val="Style22"/>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324447456"/>
    </w:sdtPr>
    <w:sdtContent>
      <w:p>
        <w:pPr>
          <w:pStyle w:val="Style22"/>
          <w:jc w:val="center"/>
          <w:rPr/>
        </w:pPr>
        <w:r>
          <w:rPr/>
          <w:fldChar w:fldCharType="begin"/>
        </w:r>
        <w:r>
          <w:instrText> PAGE </w:instrText>
        </w:r>
        <w:r>
          <w:fldChar w:fldCharType="separate"/>
        </w:r>
        <w:r>
          <w:t>27</w:t>
        </w:r>
        <w:r>
          <w:fldChar w:fldCharType="end"/>
        </w:r>
      </w:p>
      <w:p>
        <w:pPr>
          <w:pStyle w:val="Style22"/>
          <w:rPr/>
        </w:pPr>
        <w:r>
          <w:rPr/>
        </w:r>
      </w:p>
    </w:sdtContent>
  </w:sdt>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835710016"/>
    </w:sdtPr>
    <w:sdtContent>
      <w:p>
        <w:pPr>
          <w:pStyle w:val="Style22"/>
          <w:jc w:val="center"/>
          <w:rPr/>
        </w:pPr>
        <w:r>
          <w:rPr/>
          <w:fldChar w:fldCharType="begin"/>
        </w:r>
        <w:r>
          <w:instrText> PAGE </w:instrText>
        </w:r>
        <w:r>
          <w:fldChar w:fldCharType="separate"/>
        </w:r>
        <w:r>
          <w:t>18</w:t>
        </w:r>
        <w:r>
          <w:fldChar w:fldCharType="end"/>
        </w:r>
      </w:p>
    </w:sdtContent>
  </w:sdt>
  <w:p>
    <w:pPr>
      <w:pStyle w:val="Style22"/>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348987612"/>
    </w:sdtPr>
    <w:sdtContent>
      <w:p>
        <w:pPr>
          <w:pStyle w:val="Style22"/>
          <w:jc w:val="center"/>
          <w:rPr/>
        </w:pPr>
        <w:r>
          <w:rPr/>
          <w:fldChar w:fldCharType="begin"/>
        </w:r>
        <w:r>
          <w:instrText> PAGE </w:instrText>
        </w:r>
        <w:r>
          <w:fldChar w:fldCharType="separate"/>
        </w:r>
        <w:r>
          <w:t>35</w:t>
        </w:r>
        <w:r>
          <w:fldChar w:fldCharType="end"/>
        </w:r>
      </w:p>
      <w:p>
        <w:pPr>
          <w:pStyle w:val="Style22"/>
          <w:rPr/>
        </w:pPr>
        <w:r>
          <w:rPr/>
        </w:r>
      </w:p>
    </w:sdtContent>
  </w:sdt>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596343773"/>
    </w:sdtPr>
    <w:sdtContent>
      <w:p>
        <w:pPr>
          <w:pStyle w:val="Style22"/>
          <w:jc w:val="center"/>
          <w:rPr/>
        </w:pPr>
        <w:r>
          <w:rPr/>
          <w:fldChar w:fldCharType="begin"/>
        </w:r>
        <w:r>
          <w:instrText> PAGE </w:instrText>
        </w:r>
        <w:r>
          <w:fldChar w:fldCharType="separate"/>
        </w:r>
        <w:r>
          <w:t>31</w:t>
        </w:r>
        <w:r>
          <w:fldChar w:fldCharType="end"/>
        </w:r>
      </w:p>
    </w:sdtContent>
  </w:sdt>
  <w:p>
    <w:pPr>
      <w:pStyle w:val="Style22"/>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39210999"/>
    </w:sdtPr>
    <w:sdtContent>
      <w:p>
        <w:pPr>
          <w:pStyle w:val="Style22"/>
          <w:jc w:val="center"/>
          <w:rPr/>
        </w:pPr>
        <w:r>
          <w:rPr/>
          <w:fldChar w:fldCharType="begin"/>
        </w:r>
        <w:r>
          <w:instrText> PAGE </w:instrText>
        </w:r>
        <w:r>
          <w:fldChar w:fldCharType="separate"/>
        </w:r>
        <w:r>
          <w:t>44</w:t>
        </w:r>
        <w:r>
          <w:fldChar w:fldCharType="end"/>
        </w:r>
      </w:p>
      <w:p>
        <w:pPr>
          <w:pStyle w:val="Style22"/>
          <w:rPr/>
        </w:pPr>
        <w:r>
          <w:rPr/>
        </w:r>
      </w:p>
    </w:sdtContent>
  </w:sdt>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11133110"/>
    </w:sdtPr>
    <w:sdtContent>
      <w:p>
        <w:pPr>
          <w:pStyle w:val="Style22"/>
          <w:jc w:val="center"/>
          <w:rPr/>
        </w:pPr>
        <w:r>
          <w:rPr/>
          <w:fldChar w:fldCharType="begin"/>
        </w:r>
        <w:r>
          <w:instrText> PAGE </w:instrText>
        </w:r>
        <w:r>
          <w:fldChar w:fldCharType="separate"/>
        </w:r>
        <w:r>
          <w:t>41</w:t>
        </w:r>
        <w:r>
          <w:fldChar w:fldCharType="end"/>
        </w:r>
      </w:p>
    </w:sdtContent>
  </w:sdt>
  <w:p>
    <w:pPr>
      <w:pStyle w:val="Style22"/>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1068" w:hanging="360"/>
      </w:pPr>
      <w:rPr>
        <w:rFonts w:ascii="Times New Roman" w:hAnsi="Times New Roman" w:cs="Times New Roman" w:hint="default"/>
        <w:sz w:val="28"/>
        <w:rFonts w:cs="Times New Roman"/>
      </w:rPr>
    </w:lvl>
    <w:lvl w:ilvl="1">
      <w:start w:val="1"/>
      <w:numFmt w:val="bullet"/>
      <w:lvlText w:val="o"/>
      <w:lvlJc w:val="left"/>
      <w:pPr>
        <w:ind w:left="1788" w:hanging="360"/>
      </w:pPr>
      <w:rPr>
        <w:rFonts w:ascii="Courier New" w:hAnsi="Courier New" w:cs="Courier New" w:hint="default"/>
        <w:rFonts w:cs="Courier New"/>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Fonts w:cs="Courier New"/>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Fonts w:cs="Courier New"/>
      </w:rPr>
    </w:lvl>
    <w:lvl w:ilvl="8">
      <w:start w:val="1"/>
      <w:numFmt w:val="bullet"/>
      <w:lvlText w:val=""/>
      <w:lvlJc w:val="left"/>
      <w:pPr>
        <w:ind w:left="6828" w:hanging="360"/>
      </w:pPr>
      <w:rPr>
        <w:rFonts w:ascii="Wingdings" w:hAnsi="Wingdings" w:cs="Wingdings" w:hint="default"/>
      </w:rPr>
    </w:lvl>
  </w:abstractNum>
  <w:abstractNum w:abstractNumId="3">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080" w:hanging="180"/>
      </w:pPr>
    </w:lvl>
    <w:lvl w:ilvl="3">
      <w:start w:val="1"/>
      <w:numFmt w:val="decimal"/>
      <w:lvlText w:val="%4."/>
      <w:lvlJc w:val="left"/>
      <w:pPr>
        <w:ind w:left="1800" w:hanging="360"/>
      </w:pPr>
    </w:lvl>
    <w:lvl w:ilvl="4">
      <w:start w:val="1"/>
      <w:numFmt w:val="lowerLetter"/>
      <w:lvlText w:val="%5."/>
      <w:lvlJc w:val="left"/>
      <w:pPr>
        <w:ind w:left="2520" w:hanging="360"/>
      </w:pPr>
    </w:lvl>
    <w:lvl w:ilvl="5">
      <w:start w:val="1"/>
      <w:numFmt w:val="lowerRoman"/>
      <w:lvlText w:val="%6."/>
      <w:lvlJc w:val="right"/>
      <w:pPr>
        <w:ind w:left="3240" w:hanging="180"/>
      </w:pPr>
    </w:lvl>
    <w:lvl w:ilvl="6">
      <w:start w:val="1"/>
      <w:numFmt w:val="decimal"/>
      <w:lvlText w:val="%7."/>
      <w:lvlJc w:val="left"/>
      <w:pPr>
        <w:ind w:left="3960" w:hanging="360"/>
      </w:pPr>
    </w:lvl>
    <w:lvl w:ilvl="7">
      <w:start w:val="1"/>
      <w:numFmt w:val="lowerLetter"/>
      <w:lvlText w:val="%8."/>
      <w:lvlJc w:val="left"/>
      <w:pPr>
        <w:ind w:left="4680" w:hanging="360"/>
      </w:pPr>
    </w:lvl>
    <w:lvl w:ilvl="8">
      <w:start w:val="1"/>
      <w:numFmt w:val="lowerRoman"/>
      <w:lvlText w:val="%9."/>
      <w:lvlJc w:val="right"/>
      <w:pPr>
        <w:ind w:left="5400" w:hanging="180"/>
      </w:pPr>
    </w:lvl>
  </w:abstractNum>
  <w:abstractNum w:abstractNumId="4">
    <w:lvl w:ilvl="0">
      <w:start w:val="1"/>
      <w:numFmt w:val="bullet"/>
      <w:lvlText w:val="-"/>
      <w:lvlJc w:val="left"/>
      <w:pPr>
        <w:ind w:left="1020" w:hanging="360"/>
      </w:pPr>
      <w:rPr>
        <w:rFonts w:ascii="Times New Roman" w:hAnsi="Times New Roman" w:cs="Times New Roman" w:hint="default"/>
        <w:sz w:val="28"/>
        <w:rFonts w:cs="Times New Roman"/>
      </w:rPr>
    </w:lvl>
    <w:lvl w:ilvl="1">
      <w:start w:val="1"/>
      <w:numFmt w:val="bullet"/>
      <w:lvlText w:val="o"/>
      <w:lvlJc w:val="left"/>
      <w:pPr>
        <w:ind w:left="1740" w:hanging="360"/>
      </w:pPr>
      <w:rPr>
        <w:rFonts w:ascii="Courier New" w:hAnsi="Courier New" w:cs="Courier New" w:hint="default"/>
        <w:rFonts w:cs="Courier New"/>
      </w:rPr>
    </w:lvl>
    <w:lvl w:ilvl="2">
      <w:start w:val="1"/>
      <w:numFmt w:val="bullet"/>
      <w:lvlText w:val=""/>
      <w:lvlJc w:val="left"/>
      <w:pPr>
        <w:ind w:left="2460" w:hanging="360"/>
      </w:pPr>
      <w:rPr>
        <w:rFonts w:ascii="Wingdings" w:hAnsi="Wingdings" w:cs="Wingdings" w:hint="default"/>
      </w:rPr>
    </w:lvl>
    <w:lvl w:ilvl="3">
      <w:start w:val="1"/>
      <w:numFmt w:val="bullet"/>
      <w:lvlText w:val=""/>
      <w:lvlJc w:val="left"/>
      <w:pPr>
        <w:ind w:left="3180" w:hanging="360"/>
      </w:pPr>
      <w:rPr>
        <w:rFonts w:ascii="Symbol" w:hAnsi="Symbol" w:cs="Symbol" w:hint="default"/>
      </w:rPr>
    </w:lvl>
    <w:lvl w:ilvl="4">
      <w:start w:val="1"/>
      <w:numFmt w:val="bullet"/>
      <w:lvlText w:val="o"/>
      <w:lvlJc w:val="left"/>
      <w:pPr>
        <w:ind w:left="3900" w:hanging="360"/>
      </w:pPr>
      <w:rPr>
        <w:rFonts w:ascii="Courier New" w:hAnsi="Courier New" w:cs="Courier New" w:hint="default"/>
        <w:rFonts w:cs="Courier New"/>
      </w:rPr>
    </w:lvl>
    <w:lvl w:ilvl="5">
      <w:start w:val="1"/>
      <w:numFmt w:val="bullet"/>
      <w:lvlText w:val=""/>
      <w:lvlJc w:val="left"/>
      <w:pPr>
        <w:ind w:left="4620" w:hanging="360"/>
      </w:pPr>
      <w:rPr>
        <w:rFonts w:ascii="Wingdings" w:hAnsi="Wingdings" w:cs="Wingdings" w:hint="default"/>
      </w:rPr>
    </w:lvl>
    <w:lvl w:ilvl="6">
      <w:start w:val="1"/>
      <w:numFmt w:val="bullet"/>
      <w:lvlText w:val=""/>
      <w:lvlJc w:val="left"/>
      <w:pPr>
        <w:ind w:left="5340" w:hanging="360"/>
      </w:pPr>
      <w:rPr>
        <w:rFonts w:ascii="Symbol" w:hAnsi="Symbol" w:cs="Symbol" w:hint="default"/>
      </w:rPr>
    </w:lvl>
    <w:lvl w:ilvl="7">
      <w:start w:val="1"/>
      <w:numFmt w:val="bullet"/>
      <w:lvlText w:val="o"/>
      <w:lvlJc w:val="left"/>
      <w:pPr>
        <w:ind w:left="6060" w:hanging="360"/>
      </w:pPr>
      <w:rPr>
        <w:rFonts w:ascii="Courier New" w:hAnsi="Courier New" w:cs="Courier New" w:hint="default"/>
        <w:rFonts w:cs="Courier New"/>
      </w:rPr>
    </w:lvl>
    <w:lvl w:ilvl="8">
      <w:start w:val="1"/>
      <w:numFmt w:val="bullet"/>
      <w:lvlText w:val=""/>
      <w:lvlJc w:val="left"/>
      <w:pPr>
        <w:ind w:left="6780" w:hanging="360"/>
      </w:pPr>
      <w:rPr>
        <w:rFonts w:ascii="Wingdings" w:hAnsi="Wingdings" w:cs="Wingdings" w:hint="default"/>
      </w:rPr>
    </w:lvl>
  </w:abstractNum>
  <w:abstractNum w:abstractNumId="5">
    <w:lvl w:ilvl="0">
      <w:start w:val="1"/>
      <w:numFmt w:val="bullet"/>
      <w:lvlText w:val="-"/>
      <w:lvlJc w:val="left"/>
      <w:pPr>
        <w:tabs>
          <w:tab w:val="num" w:pos="1080"/>
        </w:tabs>
        <w:ind w:left="1080" w:hanging="360"/>
      </w:pPr>
      <w:rPr>
        <w:rFonts w:ascii="Times New Roman" w:hAnsi="Times New Roman" w:cs="Times New Roman" w:hint="default"/>
        <w:sz w:val="28"/>
        <w:rFonts w:cs="Times New Roman"/>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lvl w:ilvl="0">
      <w:start w:val="1"/>
      <w:numFmt w:val="bullet"/>
      <w:lvlText w:val="-"/>
      <w:lvlJc w:val="left"/>
      <w:pPr>
        <w:ind w:left="1068" w:hanging="360"/>
      </w:pPr>
      <w:rPr>
        <w:rFonts w:ascii="Times New Roman" w:hAnsi="Times New Roman" w:cs="Times New Roman" w:hint="default"/>
        <w:sz w:val="28"/>
        <w:rFonts w:cs="Times New Roman"/>
      </w:rPr>
    </w:lvl>
    <w:lvl w:ilvl="1">
      <w:start w:val="1"/>
      <w:numFmt w:val="bullet"/>
      <w:lvlText w:val="o"/>
      <w:lvlJc w:val="left"/>
      <w:pPr>
        <w:ind w:left="1788" w:hanging="360"/>
      </w:pPr>
      <w:rPr>
        <w:rFonts w:ascii="Courier New" w:hAnsi="Courier New" w:cs="Courier New" w:hint="default"/>
        <w:rFonts w:cs="Courier New"/>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Fonts w:cs="Courier New"/>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Fonts w:cs="Courier New"/>
      </w:rPr>
    </w:lvl>
    <w:lvl w:ilvl="8">
      <w:start w:val="1"/>
      <w:numFmt w:val="bullet"/>
      <w:lvlText w:val=""/>
      <w:lvlJc w:val="left"/>
      <w:pPr>
        <w:ind w:left="6828" w:hanging="360"/>
      </w:pPr>
      <w:rPr>
        <w:rFonts w:ascii="Wingdings" w:hAnsi="Wingdings" w:cs="Wingdings" w:hint="default"/>
      </w:rPr>
    </w:lvl>
  </w:abstractNum>
  <w:abstractNum w:abstractNumId="9">
    <w:lvl w:ilvl="0">
      <w:start w:val="1"/>
      <w:numFmt w:val="decimal"/>
      <w:lvlText w:val="%1."/>
      <w:lvlJc w:val="left"/>
      <w:pPr>
        <w:ind w:left="644" w:hanging="360"/>
      </w:pPr>
      <w:rPr>
        <w:sz w:val="28"/>
        <w:b w:val="false"/>
        <w:rFonts w:ascii="Times New Roman" w:hAnsi="Times New Roman"/>
      </w:rPr>
    </w:lvl>
    <w:lvl w:ilvl="1">
      <w:start w:val="1"/>
      <w:numFmt w:val="decimal"/>
      <w:lvlText w:val="%2."/>
      <w:lvlJc w:val="left"/>
      <w:pPr>
        <w:ind w:left="1364" w:hanging="360"/>
      </w:pPr>
    </w:lvl>
    <w:lvl w:ilvl="2">
      <w:start w:val="1"/>
      <w:numFmt w:val="decimal"/>
      <w:lvlText w:val="%3."/>
      <w:lvlJc w:val="left"/>
      <w:pPr>
        <w:ind w:left="2084" w:hanging="360"/>
      </w:pPr>
    </w:lvl>
    <w:lvl w:ilvl="3">
      <w:start w:val="1"/>
      <w:numFmt w:val="decimal"/>
      <w:lvlText w:val="%4."/>
      <w:lvlJc w:val="left"/>
      <w:pPr>
        <w:ind w:left="2804" w:hanging="360"/>
      </w:pPr>
    </w:lvl>
    <w:lvl w:ilvl="4">
      <w:start w:val="1"/>
      <w:numFmt w:val="decimal"/>
      <w:lvlText w:val="%5."/>
      <w:lvlJc w:val="left"/>
      <w:pPr>
        <w:ind w:left="3524" w:hanging="360"/>
      </w:pPr>
    </w:lvl>
    <w:lvl w:ilvl="5">
      <w:start w:val="1"/>
      <w:numFmt w:val="decimal"/>
      <w:lvlText w:val="%6."/>
      <w:lvlJc w:val="left"/>
      <w:pPr>
        <w:ind w:left="4244" w:hanging="360"/>
      </w:pPr>
    </w:lvl>
    <w:lvl w:ilvl="6">
      <w:start w:val="1"/>
      <w:numFmt w:val="decimal"/>
      <w:lvlText w:val="%7."/>
      <w:lvlJc w:val="left"/>
      <w:pPr>
        <w:ind w:left="4964" w:hanging="360"/>
      </w:pPr>
    </w:lvl>
    <w:lvl w:ilvl="7">
      <w:start w:val="1"/>
      <w:numFmt w:val="decimal"/>
      <w:lvlText w:val="%8."/>
      <w:lvlJc w:val="left"/>
      <w:pPr>
        <w:ind w:left="5684" w:hanging="360"/>
      </w:pPr>
    </w:lvl>
    <w:lvl w:ilvl="8">
      <w:start w:val="1"/>
      <w:numFmt w:val="decimal"/>
      <w:lvlText w:val="%9."/>
      <w:lvlJc w:val="left"/>
      <w:pPr>
        <w:ind w:left="6404" w:hanging="360"/>
      </w:pPr>
    </w:lvl>
  </w:abstractNum>
  <w:abstractNum w:abstractNumId="10">
    <w:lvl w:ilvl="0">
      <w:start w:val="1"/>
      <w:numFmt w:val="bullet"/>
      <w:lvlText w:val="-"/>
      <w:lvlJc w:val="left"/>
      <w:pPr>
        <w:ind w:left="644" w:hanging="360"/>
      </w:pPr>
      <w:rPr>
        <w:rFonts w:ascii="Times New Roman" w:hAnsi="Times New Roman" w:cs="Times New Roman" w:hint="default"/>
        <w:sz w:val="28"/>
        <w:rFonts w:cs="Times New Roman"/>
      </w:rPr>
    </w:lvl>
    <w:lvl w:ilvl="1">
      <w:start w:val="1"/>
      <w:numFmt w:val="bullet"/>
      <w:lvlText w:val="o"/>
      <w:lvlJc w:val="left"/>
      <w:pPr>
        <w:ind w:left="1080" w:hanging="360"/>
      </w:pPr>
      <w:rPr>
        <w:rFonts w:ascii="Courier New" w:hAnsi="Courier New" w:cs="Courier New" w:hint="default"/>
        <w:rFonts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lvl w:ilvl="0">
      <w:start w:val="1"/>
      <w:numFmt w:val="bullet"/>
      <w:lvlText w:val="-"/>
      <w:lvlJc w:val="left"/>
      <w:pPr>
        <w:tabs>
          <w:tab w:val="num" w:pos="1080"/>
        </w:tabs>
        <w:ind w:left="1080" w:hanging="360"/>
      </w:pPr>
      <w:rPr>
        <w:rFonts w:ascii="Times New Roman" w:hAnsi="Times New Roman" w:cs="Times New Roman" w:hint="default"/>
        <w:sz w:val="28"/>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3">
    <w:lvl w:ilvl="0">
      <w:start w:val="2"/>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bullet"/>
      <w:lvlText w:val=""/>
      <w:lvlJc w:val="left"/>
      <w:pPr>
        <w:ind w:left="851" w:hanging="360"/>
      </w:pPr>
      <w:rPr>
        <w:rFonts w:ascii="Symbol" w:hAnsi="Symbol" w:cs="Symbol" w:hint="default"/>
      </w:rPr>
    </w:lvl>
    <w:lvl w:ilvl="1">
      <w:start w:val="1"/>
      <w:numFmt w:val="bullet"/>
      <w:lvlText w:val="o"/>
      <w:lvlJc w:val="left"/>
      <w:pPr>
        <w:ind w:left="1571" w:hanging="360"/>
      </w:pPr>
      <w:rPr>
        <w:rFonts w:ascii="Courier New" w:hAnsi="Courier New" w:cs="Courier New" w:hint="default"/>
        <w:rFonts w:cs="Courier New"/>
      </w:rPr>
    </w:lvl>
    <w:lvl w:ilvl="2">
      <w:start w:val="1"/>
      <w:numFmt w:val="bullet"/>
      <w:lvlText w:val=""/>
      <w:lvlJc w:val="left"/>
      <w:pPr>
        <w:ind w:left="2291" w:hanging="360"/>
      </w:pPr>
      <w:rPr>
        <w:rFonts w:ascii="Wingdings" w:hAnsi="Wingdings" w:cs="Wingdings" w:hint="default"/>
      </w:rPr>
    </w:lvl>
    <w:lvl w:ilvl="3">
      <w:start w:val="1"/>
      <w:numFmt w:val="bullet"/>
      <w:lvlText w:val=""/>
      <w:lvlJc w:val="left"/>
      <w:pPr>
        <w:ind w:left="3011" w:hanging="360"/>
      </w:pPr>
      <w:rPr>
        <w:rFonts w:ascii="Symbol" w:hAnsi="Symbol" w:cs="Symbol" w:hint="default"/>
      </w:rPr>
    </w:lvl>
    <w:lvl w:ilvl="4">
      <w:start w:val="1"/>
      <w:numFmt w:val="bullet"/>
      <w:lvlText w:val="o"/>
      <w:lvlJc w:val="left"/>
      <w:pPr>
        <w:ind w:left="3731" w:hanging="360"/>
      </w:pPr>
      <w:rPr>
        <w:rFonts w:ascii="Courier New" w:hAnsi="Courier New" w:cs="Courier New" w:hint="default"/>
        <w:rFonts w:cs="Courier New"/>
      </w:rPr>
    </w:lvl>
    <w:lvl w:ilvl="5">
      <w:start w:val="1"/>
      <w:numFmt w:val="bullet"/>
      <w:lvlText w:val=""/>
      <w:lvlJc w:val="left"/>
      <w:pPr>
        <w:ind w:left="4451" w:hanging="360"/>
      </w:pPr>
      <w:rPr>
        <w:rFonts w:ascii="Wingdings" w:hAnsi="Wingdings" w:cs="Wingdings" w:hint="default"/>
      </w:rPr>
    </w:lvl>
    <w:lvl w:ilvl="6">
      <w:start w:val="1"/>
      <w:numFmt w:val="bullet"/>
      <w:lvlText w:val=""/>
      <w:lvlJc w:val="left"/>
      <w:pPr>
        <w:ind w:left="5171" w:hanging="360"/>
      </w:pPr>
      <w:rPr>
        <w:rFonts w:ascii="Symbol" w:hAnsi="Symbol" w:cs="Symbol" w:hint="default"/>
      </w:rPr>
    </w:lvl>
    <w:lvl w:ilvl="7">
      <w:start w:val="1"/>
      <w:numFmt w:val="bullet"/>
      <w:lvlText w:val="o"/>
      <w:lvlJc w:val="left"/>
      <w:pPr>
        <w:ind w:left="5891" w:hanging="360"/>
      </w:pPr>
      <w:rPr>
        <w:rFonts w:ascii="Courier New" w:hAnsi="Courier New" w:cs="Courier New" w:hint="default"/>
        <w:rFonts w:cs="Courier New"/>
      </w:rPr>
    </w:lvl>
    <w:lvl w:ilvl="8">
      <w:start w:val="1"/>
      <w:numFmt w:val="bullet"/>
      <w:lvlText w:val=""/>
      <w:lvlJc w:val="left"/>
      <w:pPr>
        <w:ind w:left="6611" w:hanging="360"/>
      </w:pPr>
      <w:rPr>
        <w:rFonts w:ascii="Wingdings" w:hAnsi="Wingdings" w:cs="Wingdings" w:hint="default"/>
      </w:rPr>
    </w:lvl>
  </w:abstractNum>
  <w:abstractNum w:abstractNumId="1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1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00"/>
  <w:defaultTabStop w:val="708"/>
  <w:evenAndOddHeader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uk-UA" w:eastAsia="ja-JP" w:bidi="he-I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uk-UA" w:eastAsia="en-US" w:bidi="ar-SA"/>
      </w:rPr>
    </w:rPrDefault>
    <w:pPrDefault>
      <w:pPr>
        <w:spacing w:lineRule="auto" w:line="276"/>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f2672"/>
    <w:pPr>
      <w:widowControl/>
      <w:bidi w:val="0"/>
      <w:spacing w:lineRule="auto" w:line="276" w:before="0" w:after="200"/>
      <w:jc w:val="left"/>
    </w:pPr>
    <w:rPr>
      <w:rFonts w:ascii="Calibri" w:hAnsi="Calibri" w:eastAsia="Calibri" w:cs="Arial" w:asciiTheme="minorHAnsi" w:cstheme="minorBidi" w:eastAsiaTheme="minorHAnsi" w:hAnsiTheme="minorHAnsi"/>
      <w:color w:val="auto"/>
      <w:sz w:val="22"/>
      <w:szCs w:val="22"/>
      <w:lang w:val="uk-UA" w:eastAsia="en-US" w:bidi="ar-SA"/>
    </w:rPr>
  </w:style>
  <w:style w:type="paragraph" w:styleId="1">
    <w:name w:val="Заголовок 1"/>
    <w:basedOn w:val="Normal"/>
    <w:link w:val="10"/>
    <w:uiPriority w:val="9"/>
    <w:qFormat/>
    <w:rsid w:val="001971d8"/>
    <w:pPr>
      <w:keepNext/>
      <w:keepLines/>
      <w:spacing w:before="480" w:after="0"/>
      <w:outlineLvl w:val="0"/>
    </w:pPr>
    <w:rPr>
      <w:rFonts w:ascii="Cambria" w:hAnsi="Cambria" w:eastAsia="ＭＳ ゴシック" w:cs="Times New Roman" w:asciiTheme="majorHAnsi" w:cstheme="majorBidi" w:eastAsiaTheme="majorEastAsia" w:hAnsiTheme="majorHAnsi"/>
      <w:b/>
      <w:bCs/>
      <w:color w:val="365F91" w:themeColor="accent1" w:themeShade="bf"/>
      <w:sz w:val="28"/>
      <w:szCs w:val="28"/>
    </w:rPr>
  </w:style>
  <w:style w:type="paragraph" w:styleId="2">
    <w:name w:val="Заголовок 2"/>
    <w:basedOn w:val="Normal"/>
    <w:link w:val="20"/>
    <w:uiPriority w:val="9"/>
    <w:unhideWhenUsed/>
    <w:qFormat/>
    <w:rsid w:val="00de526f"/>
    <w:pPr>
      <w:keepNext/>
      <w:keepLines/>
      <w:spacing w:before="200" w:after="0"/>
      <w:outlineLvl w:val="1"/>
    </w:pPr>
    <w:rPr>
      <w:rFonts w:ascii="Cambria" w:hAnsi="Cambria" w:eastAsia="ＭＳ ゴシック" w:cs="Times New Roman" w:asciiTheme="majorHAnsi" w:cstheme="majorBidi" w:eastAsiaTheme="majorEastAsia" w:hAnsiTheme="majorHAnsi"/>
      <w:b/>
      <w:bCs/>
      <w:color w:val="4F81BD" w:themeColor="accent1"/>
      <w:sz w:val="26"/>
      <w:szCs w:val="26"/>
    </w:rPr>
  </w:style>
  <w:style w:type="paragraph" w:styleId="3">
    <w:name w:val="Заголовок 3"/>
    <w:basedOn w:val="Style17"/>
    <w:pPr/>
    <w:rPr/>
  </w:style>
  <w:style w:type="character" w:styleId="DefaultParagraphFont" w:default="1">
    <w:name w:val="Default Paragraph Font"/>
    <w:uiPriority w:val="1"/>
    <w:semiHidden/>
    <w:unhideWhenUsed/>
    <w:qFormat/>
    <w:rPr/>
  </w:style>
  <w:style w:type="character" w:styleId="Style11" w:customStyle="1">
    <w:name w:val="Верхний колонтитул Знак"/>
    <w:basedOn w:val="DefaultParagraphFont"/>
    <w:link w:val="a4"/>
    <w:uiPriority w:val="99"/>
    <w:qFormat/>
    <w:rsid w:val="00c95dc8"/>
    <w:rPr/>
  </w:style>
  <w:style w:type="character" w:styleId="Style12" w:customStyle="1">
    <w:name w:val="Нижний колонтитул Знак"/>
    <w:basedOn w:val="DefaultParagraphFont"/>
    <w:link w:val="a6"/>
    <w:uiPriority w:val="99"/>
    <w:qFormat/>
    <w:rsid w:val="00c95dc8"/>
    <w:rPr/>
  </w:style>
  <w:style w:type="character" w:styleId="Style13" w:customStyle="1">
    <w:name w:val="Основной текст Знак"/>
    <w:basedOn w:val="DefaultParagraphFont"/>
    <w:link w:val="aa"/>
    <w:qFormat/>
    <w:rsid w:val="00b8361b"/>
    <w:rPr>
      <w:rFonts w:ascii="Times New Roman" w:hAnsi="Times New Roman" w:eastAsia="Calibri" w:cs="Times New Roman"/>
      <w:sz w:val="28"/>
      <w:szCs w:val="20"/>
      <w:lang w:val="x-none" w:eastAsia="x-none"/>
    </w:rPr>
  </w:style>
  <w:style w:type="character" w:styleId="11" w:customStyle="1">
    <w:name w:val="Заголовок 1 Знак"/>
    <w:basedOn w:val="DefaultParagraphFont"/>
    <w:link w:val="1"/>
    <w:uiPriority w:val="9"/>
    <w:qFormat/>
    <w:rsid w:val="001971d8"/>
    <w:rPr>
      <w:rFonts w:ascii="Cambria" w:hAnsi="Cambria" w:eastAsia="ＭＳ ゴシック" w:cs="Times New Roman" w:asciiTheme="majorHAnsi" w:cstheme="majorBidi" w:eastAsiaTheme="majorEastAsia" w:hAnsiTheme="majorHAnsi"/>
      <w:b/>
      <w:bCs/>
      <w:color w:val="365F91" w:themeColor="accent1" w:themeShade="bf"/>
      <w:sz w:val="28"/>
      <w:szCs w:val="28"/>
    </w:rPr>
  </w:style>
  <w:style w:type="character" w:styleId="12" w:customStyle="1">
    <w:name w:val="Заг1 Знак"/>
    <w:basedOn w:val="11"/>
    <w:link w:val="11"/>
    <w:qFormat/>
    <w:rsid w:val="001971d8"/>
    <w:rPr>
      <w:rFonts w:ascii="Times New Roman" w:hAnsi="Times New Roman" w:eastAsia="ＭＳ ゴシック" w:cs="Times New Roman" w:eastAsiaTheme="majorEastAsia"/>
      <w:b/>
      <w:bCs w:val="false"/>
      <w:caps/>
      <w:color w:val="365F91" w:themeColor="accent1" w:themeShade="bf"/>
      <w:sz w:val="28"/>
      <w:szCs w:val="28"/>
    </w:rPr>
  </w:style>
  <w:style w:type="character" w:styleId="13" w:customStyle="1">
    <w:name w:val="З1 Знак"/>
    <w:basedOn w:val="11"/>
    <w:link w:val="13"/>
    <w:qFormat/>
    <w:rsid w:val="001971d8"/>
    <w:rPr>
      <w:rFonts w:ascii="Times New Roman" w:hAnsi="Times New Roman" w:eastAsia="ＭＳ ゴシック" w:cs="Times New Roman" w:cstheme="majorBidi" w:eastAsiaTheme="majorEastAsia"/>
      <w:b/>
      <w:bCs/>
      <w:color w:val="000000" w:themeColor="text1"/>
      <w:sz w:val="28"/>
      <w:szCs w:val="28"/>
    </w:rPr>
  </w:style>
  <w:style w:type="character" w:styleId="Style14" w:customStyle="1">
    <w:name w:val="Текст выноски Знак"/>
    <w:basedOn w:val="DefaultParagraphFont"/>
    <w:link w:val="ac"/>
    <w:uiPriority w:val="99"/>
    <w:semiHidden/>
    <w:qFormat/>
    <w:rsid w:val="00335ba1"/>
    <w:rPr>
      <w:rFonts w:ascii="Tahoma" w:hAnsi="Tahoma" w:cs="Tahoma"/>
      <w:sz w:val="16"/>
      <w:szCs w:val="16"/>
    </w:rPr>
  </w:style>
  <w:style w:type="character" w:styleId="21" w:customStyle="1">
    <w:name w:val="Заголовок 2 Знак"/>
    <w:basedOn w:val="DefaultParagraphFont"/>
    <w:link w:val="2"/>
    <w:uiPriority w:val="9"/>
    <w:qFormat/>
    <w:rsid w:val="00de526f"/>
    <w:rPr>
      <w:rFonts w:ascii="Cambria" w:hAnsi="Cambria" w:eastAsia="ＭＳ ゴシック" w:cs="Times New Roman" w:asciiTheme="majorHAnsi" w:cstheme="majorBidi" w:eastAsiaTheme="majorEastAsia" w:hAnsiTheme="majorHAnsi"/>
      <w:b/>
      <w:bCs/>
      <w:color w:val="4F81BD" w:themeColor="accent1"/>
      <w:sz w:val="26"/>
      <w:szCs w:val="26"/>
    </w:rPr>
  </w:style>
  <w:style w:type="character" w:styleId="22" w:customStyle="1">
    <w:name w:val="З2 Знак"/>
    <w:basedOn w:val="DefaultParagraphFont"/>
    <w:link w:val="21"/>
    <w:qFormat/>
    <w:rsid w:val="00de526f"/>
    <w:rPr>
      <w:rFonts w:ascii="Times New Roman" w:hAnsi="Times New Roman"/>
      <w:color w:val="000000" w:themeColor="text1"/>
      <w:sz w:val="28"/>
    </w:rPr>
  </w:style>
  <w:style w:type="character" w:styleId="Style15">
    <w:name w:val="Интернет-ссылка"/>
    <w:basedOn w:val="DefaultParagraphFont"/>
    <w:uiPriority w:val="99"/>
    <w:unhideWhenUsed/>
    <w:rsid w:val="00064655"/>
    <w:rPr>
      <w:color w:val="0000FF" w:themeColor="hyperlink"/>
      <w:u w:val="single"/>
    </w:rPr>
  </w:style>
  <w:style w:type="character" w:styleId="HTML" w:customStyle="1">
    <w:name w:val="Стандартный HTML Знак"/>
    <w:basedOn w:val="DefaultParagraphFont"/>
    <w:link w:val="HTML"/>
    <w:uiPriority w:val="99"/>
    <w:qFormat/>
    <w:rsid w:val="00120140"/>
    <w:rPr>
      <w:rFonts w:ascii="Courier New" w:hAnsi="Courier New" w:eastAsia="Times New Roman" w:cs="Courier New"/>
      <w:sz w:val="20"/>
      <w:szCs w:val="20"/>
      <w:lang w:eastAsia="uk-UA"/>
    </w:rPr>
  </w:style>
  <w:style w:type="character" w:styleId="Strong">
    <w:name w:val="Strong"/>
    <w:basedOn w:val="DefaultParagraphFont"/>
    <w:uiPriority w:val="22"/>
    <w:qFormat/>
    <w:rsid w:val="00c72605"/>
    <w:rPr>
      <w:b/>
      <w:bCs/>
    </w:rPr>
  </w:style>
  <w:style w:type="character" w:styleId="Rvts0" w:customStyle="1">
    <w:name w:val="rvts0"/>
    <w:basedOn w:val="DefaultParagraphFont"/>
    <w:qFormat/>
    <w:rsid w:val="009c02b3"/>
    <w:rPr/>
  </w:style>
  <w:style w:type="character" w:styleId="ListLabel1">
    <w:name w:val="ListLabel 1"/>
    <w:qFormat/>
    <w:rPr>
      <w:rFonts w:cs="Courier New"/>
    </w:rPr>
  </w:style>
  <w:style w:type="character" w:styleId="ListLabel2">
    <w:name w:val="ListLabel 2"/>
    <w:qFormat/>
    <w:rPr>
      <w:rFonts w:ascii="Times New Roman" w:hAnsi="Times New Roman" w:cs="Times New Roman"/>
      <w:sz w:val="28"/>
    </w:rPr>
  </w:style>
  <w:style w:type="character" w:styleId="ListLabel3">
    <w:name w:val="ListLabel 3"/>
    <w:qFormat/>
    <w:rPr>
      <w:rFonts w:ascii="Times New Roman" w:hAnsi="Times New Roman"/>
      <w:b w:val="false"/>
      <w:sz w:val="28"/>
    </w:rPr>
  </w:style>
  <w:style w:type="character" w:styleId="ListLabel4">
    <w:name w:val="ListLabel 4"/>
    <w:qFormat/>
    <w:rPr>
      <w:rFonts w:ascii="Times New Roman" w:hAnsi="Times New Roman" w:eastAsia="Calibri" w:cs="Times New Roman"/>
      <w:sz w:val="28"/>
    </w:rPr>
  </w:style>
  <w:style w:type="character" w:styleId="ListLabel5">
    <w:name w:val="ListLabel 5"/>
    <w:qFormat/>
    <w:rPr>
      <w:rFonts w:cs="Times New Roman"/>
      <w:b w:val="false"/>
    </w:rPr>
  </w:style>
  <w:style w:type="character" w:styleId="ListLabel6">
    <w:name w:val="ListLabel 6"/>
    <w:qFormat/>
    <w:rPr>
      <w:rFonts w:ascii="Times New Roman" w:hAnsi="Times New Roman" w:eastAsia="Times New Roman" w:cs="Times New Roman"/>
      <w:sz w:val="28"/>
    </w:rPr>
  </w:style>
  <w:style w:type="character" w:styleId="Style16">
    <w:name w:val="Ссылка указателя"/>
    <w:qFormat/>
    <w:rPr/>
  </w:style>
  <w:style w:type="paragraph" w:styleId="Style17">
    <w:name w:val="Заголовок"/>
    <w:basedOn w:val="Normal"/>
    <w:next w:val="Style18"/>
    <w:qFormat/>
    <w:pPr>
      <w:keepNext/>
      <w:spacing w:before="240" w:after="120"/>
    </w:pPr>
    <w:rPr>
      <w:rFonts w:ascii="Liberation Sans" w:hAnsi="Liberation Sans" w:eastAsia="Microsoft YaHei" w:cs="Mangal"/>
      <w:sz w:val="28"/>
      <w:szCs w:val="28"/>
    </w:rPr>
  </w:style>
  <w:style w:type="paragraph" w:styleId="Style18">
    <w:name w:val="Основной текст"/>
    <w:basedOn w:val="Normal"/>
    <w:link w:val="ab"/>
    <w:rsid w:val="00b8361b"/>
    <w:pPr>
      <w:spacing w:before="0" w:after="120"/>
    </w:pPr>
    <w:rPr>
      <w:rFonts w:ascii="Times New Roman" w:hAnsi="Times New Roman" w:eastAsia="Calibri" w:cs="Times New Roman"/>
      <w:sz w:val="28"/>
      <w:szCs w:val="20"/>
      <w:lang w:val="x-none" w:eastAsia="x-none"/>
    </w:rPr>
  </w:style>
  <w:style w:type="paragraph" w:styleId="Style19">
    <w:name w:val="Список"/>
    <w:basedOn w:val="Style18"/>
    <w:pPr/>
    <w:rPr>
      <w:rFonts w:cs="Mangal"/>
    </w:rPr>
  </w:style>
  <w:style w:type="paragraph" w:styleId="Style20">
    <w:name w:val="Название"/>
    <w:basedOn w:val="Normal"/>
    <w:pPr>
      <w:suppressLineNumbers/>
      <w:spacing w:before="120" w:after="120"/>
    </w:pPr>
    <w:rPr>
      <w:rFonts w:cs="Mangal"/>
      <w:i/>
      <w:iCs/>
      <w:sz w:val="24"/>
      <w:szCs w:val="24"/>
    </w:rPr>
  </w:style>
  <w:style w:type="paragraph" w:styleId="Style21">
    <w:name w:val="Указатель"/>
    <w:basedOn w:val="Normal"/>
    <w:qFormat/>
    <w:pPr>
      <w:suppressLineNumbers/>
    </w:pPr>
    <w:rPr>
      <w:rFonts w:cs="Mangal"/>
    </w:rPr>
  </w:style>
  <w:style w:type="paragraph" w:styleId="ListParagraph">
    <w:name w:val="List Paragraph"/>
    <w:basedOn w:val="Normal"/>
    <w:uiPriority w:val="34"/>
    <w:qFormat/>
    <w:rsid w:val="001f2672"/>
    <w:pPr>
      <w:spacing w:before="0" w:after="200"/>
      <w:ind w:left="720" w:hanging="0"/>
      <w:contextualSpacing/>
    </w:pPr>
    <w:rPr/>
  </w:style>
  <w:style w:type="paragraph" w:styleId="Font7" w:customStyle="1">
    <w:name w:val="font_7"/>
    <w:basedOn w:val="Normal"/>
    <w:qFormat/>
    <w:rsid w:val="001f2672"/>
    <w:pPr>
      <w:spacing w:lineRule="auto" w:line="240" w:beforeAutospacing="1" w:afterAutospacing="1"/>
    </w:pPr>
    <w:rPr>
      <w:rFonts w:ascii="Times New Roman" w:hAnsi="Times New Roman" w:eastAsia="Times New Roman" w:cs="Times New Roman"/>
      <w:sz w:val="24"/>
      <w:szCs w:val="24"/>
      <w:lang w:eastAsia="uk-UA"/>
    </w:rPr>
  </w:style>
  <w:style w:type="paragraph" w:styleId="Default" w:customStyle="1">
    <w:name w:val="Default"/>
    <w:qFormat/>
    <w:rsid w:val="001f2672"/>
    <w:pPr>
      <w:widowControl/>
      <w:bidi w:val="0"/>
      <w:spacing w:lineRule="auto" w:line="240" w:before="0" w:after="0"/>
      <w:jc w:val="left"/>
    </w:pPr>
    <w:rPr>
      <w:rFonts w:ascii="Times New Roman" w:hAnsi="Times New Roman" w:eastAsia="Calibri" w:cs="Times New Roman"/>
      <w:color w:val="000000"/>
      <w:sz w:val="24"/>
      <w:szCs w:val="24"/>
      <w:lang w:val="ru-RU" w:eastAsia="en-US" w:bidi="ar-SA"/>
    </w:rPr>
  </w:style>
  <w:style w:type="paragraph" w:styleId="Centr" w:customStyle="1">
    <w:name w:val="centr"/>
    <w:basedOn w:val="Normal"/>
    <w:qFormat/>
    <w:rsid w:val="00630803"/>
    <w:pPr>
      <w:spacing w:lineRule="auto" w:line="240" w:beforeAutospacing="1" w:afterAutospacing="1"/>
    </w:pPr>
    <w:rPr>
      <w:rFonts w:ascii="Times New Roman" w:hAnsi="Times New Roman" w:eastAsia="Calibri" w:cs="Times New Roman"/>
      <w:sz w:val="24"/>
      <w:szCs w:val="24"/>
      <w:lang w:eastAsia="uk-UA"/>
    </w:rPr>
  </w:style>
  <w:style w:type="paragraph" w:styleId="Style22">
    <w:name w:val="Верхний колонтитул"/>
    <w:basedOn w:val="Normal"/>
    <w:link w:val="a5"/>
    <w:uiPriority w:val="99"/>
    <w:unhideWhenUsed/>
    <w:rsid w:val="00c95dc8"/>
    <w:pPr>
      <w:tabs>
        <w:tab w:val="center" w:pos="4819" w:leader="none"/>
        <w:tab w:val="right" w:pos="9639" w:leader="none"/>
      </w:tabs>
      <w:spacing w:lineRule="auto" w:line="240" w:before="0" w:after="0"/>
    </w:pPr>
    <w:rPr/>
  </w:style>
  <w:style w:type="paragraph" w:styleId="Style23">
    <w:name w:val="Нижний колонтитул"/>
    <w:basedOn w:val="Normal"/>
    <w:link w:val="a7"/>
    <w:uiPriority w:val="99"/>
    <w:unhideWhenUsed/>
    <w:rsid w:val="00c95dc8"/>
    <w:pPr>
      <w:tabs>
        <w:tab w:val="center" w:pos="4819" w:leader="none"/>
        <w:tab w:val="right" w:pos="9639" w:leader="none"/>
      </w:tabs>
      <w:spacing w:lineRule="auto" w:line="240" w:before="0" w:after="0"/>
    </w:pPr>
    <w:rPr/>
  </w:style>
  <w:style w:type="paragraph" w:styleId="NormalWeb">
    <w:name w:val="Normal (Web)"/>
    <w:basedOn w:val="Normal"/>
    <w:uiPriority w:val="99"/>
    <w:unhideWhenUsed/>
    <w:qFormat/>
    <w:rsid w:val="005f0073"/>
    <w:pPr>
      <w:spacing w:lineRule="auto" w:line="240" w:beforeAutospacing="1" w:afterAutospacing="1"/>
    </w:pPr>
    <w:rPr>
      <w:rFonts w:ascii="Times New Roman" w:hAnsi="Times New Roman" w:eastAsia="Times New Roman" w:cs="Times New Roman"/>
      <w:sz w:val="24"/>
      <w:szCs w:val="24"/>
      <w:lang w:eastAsia="ru-RU"/>
    </w:rPr>
  </w:style>
  <w:style w:type="paragraph" w:styleId="14" w:customStyle="1">
    <w:name w:val="Заг1"/>
    <w:basedOn w:val="1"/>
    <w:link w:val="12"/>
    <w:autoRedefine/>
    <w:qFormat/>
    <w:rsid w:val="001971d8"/>
    <w:pPr>
      <w:jc w:val="center"/>
    </w:pPr>
    <w:rPr>
      <w:rFonts w:ascii="Times New Roman" w:hAnsi="Times New Roman" w:cs="Times New Roman"/>
      <w:bCs w:val="false"/>
      <w:caps/>
      <w:color w:val="00000A"/>
    </w:rPr>
  </w:style>
  <w:style w:type="paragraph" w:styleId="15" w:customStyle="1">
    <w:name w:val="З1"/>
    <w:basedOn w:val="1"/>
    <w:link w:val="14"/>
    <w:qFormat/>
    <w:rsid w:val="001971d8"/>
    <w:pPr>
      <w:jc w:val="center"/>
    </w:pPr>
    <w:rPr>
      <w:rFonts w:ascii="Times New Roman" w:hAnsi="Times New Roman"/>
      <w:color w:val="000000" w:themeColor="text1"/>
    </w:rPr>
  </w:style>
  <w:style w:type="paragraph" w:styleId="BalloonText">
    <w:name w:val="Balloon Text"/>
    <w:basedOn w:val="Normal"/>
    <w:link w:val="ad"/>
    <w:uiPriority w:val="99"/>
    <w:semiHidden/>
    <w:unhideWhenUsed/>
    <w:qFormat/>
    <w:rsid w:val="00335ba1"/>
    <w:pPr>
      <w:spacing w:lineRule="auto" w:line="240" w:before="0" w:after="0"/>
    </w:pPr>
    <w:rPr>
      <w:rFonts w:ascii="Tahoma" w:hAnsi="Tahoma" w:cs="Tahoma"/>
      <w:sz w:val="16"/>
      <w:szCs w:val="16"/>
    </w:rPr>
  </w:style>
  <w:style w:type="paragraph" w:styleId="23" w:customStyle="1">
    <w:name w:val="З2"/>
    <w:basedOn w:val="Normal"/>
    <w:link w:val="22"/>
    <w:qFormat/>
    <w:rsid w:val="00de526f"/>
    <w:pPr>
      <w:spacing w:before="0" w:after="0"/>
      <w:contextualSpacing/>
      <w:jc w:val="center"/>
    </w:pPr>
    <w:rPr>
      <w:rFonts w:ascii="Times New Roman" w:hAnsi="Times New Roman"/>
      <w:color w:val="000000" w:themeColor="text1"/>
      <w:sz w:val="28"/>
    </w:rPr>
  </w:style>
  <w:style w:type="paragraph" w:styleId="Style24">
    <w:name w:val="Заголовок оглавления"/>
    <w:basedOn w:val="1"/>
    <w:uiPriority w:val="39"/>
    <w:semiHidden/>
    <w:unhideWhenUsed/>
    <w:qFormat/>
    <w:rsid w:val="00064655"/>
    <w:pPr/>
    <w:rPr>
      <w:lang w:eastAsia="uk-UA"/>
    </w:rPr>
  </w:style>
  <w:style w:type="paragraph" w:styleId="16">
    <w:name w:val="Оглавление 1"/>
    <w:basedOn w:val="Normal"/>
    <w:autoRedefine/>
    <w:uiPriority w:val="39"/>
    <w:unhideWhenUsed/>
    <w:qFormat/>
    <w:rsid w:val="00ec33f1"/>
    <w:pPr>
      <w:tabs>
        <w:tab w:val="right" w:pos="10195" w:leader="dot"/>
      </w:tabs>
      <w:spacing w:before="0" w:after="100"/>
    </w:pPr>
    <w:rPr>
      <w:rFonts w:ascii="Times New Roman" w:hAnsi="Times New Roman" w:cs="Times New Roman"/>
      <w:sz w:val="28"/>
      <w:szCs w:val="28"/>
    </w:rPr>
  </w:style>
  <w:style w:type="paragraph" w:styleId="24">
    <w:name w:val="Оглавление 2"/>
    <w:basedOn w:val="Normal"/>
    <w:autoRedefine/>
    <w:uiPriority w:val="39"/>
    <w:unhideWhenUsed/>
    <w:qFormat/>
    <w:rsid w:val="00064655"/>
    <w:pPr>
      <w:spacing w:before="0" w:after="100"/>
      <w:ind w:left="220" w:hanging="0"/>
    </w:pPr>
    <w:rPr>
      <w:rFonts w:eastAsia="ＭＳ 明朝" w:eastAsiaTheme="minorEastAsia"/>
      <w:lang w:eastAsia="uk-UA"/>
    </w:rPr>
  </w:style>
  <w:style w:type="paragraph" w:styleId="31">
    <w:name w:val="Оглавление 3"/>
    <w:basedOn w:val="Normal"/>
    <w:autoRedefine/>
    <w:uiPriority w:val="39"/>
    <w:semiHidden/>
    <w:unhideWhenUsed/>
    <w:qFormat/>
    <w:rsid w:val="00064655"/>
    <w:pPr>
      <w:spacing w:before="0" w:after="100"/>
      <w:ind w:left="440" w:hanging="0"/>
    </w:pPr>
    <w:rPr>
      <w:rFonts w:eastAsia="ＭＳ 明朝" w:eastAsiaTheme="minorEastAsia"/>
      <w:lang w:eastAsia="uk-UA"/>
    </w:rPr>
  </w:style>
  <w:style w:type="paragraph" w:styleId="HTMLPreformatted">
    <w:name w:val="HTML Preformatted"/>
    <w:basedOn w:val="Normal"/>
    <w:link w:val="HTML0"/>
    <w:uiPriority w:val="99"/>
    <w:unhideWhenUsed/>
    <w:qFormat/>
    <w:rsid w:val="00120140"/>
    <w:pPr>
      <w:tabs>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uk-UA"/>
    </w:rPr>
  </w:style>
  <w:style w:type="paragraph" w:styleId="NoSpacing">
    <w:name w:val="No Spacing"/>
    <w:uiPriority w:val="1"/>
    <w:qFormat/>
    <w:rsid w:val="00f241cb"/>
    <w:pPr>
      <w:widowControl/>
      <w:bidi w:val="0"/>
      <w:spacing w:lineRule="auto" w:line="240" w:before="0" w:after="0"/>
      <w:jc w:val="left"/>
    </w:pPr>
    <w:rPr>
      <w:rFonts w:ascii="Calibri" w:hAnsi="Calibri" w:eastAsia="Calibri" w:cs="Arial" w:asciiTheme="minorHAnsi" w:cstheme="minorBidi" w:eastAsiaTheme="minorHAnsi" w:hAnsiTheme="minorHAnsi"/>
      <w:color w:val="auto"/>
      <w:sz w:val="22"/>
      <w:szCs w:val="22"/>
      <w:lang w:val="uk-UA" w:eastAsia="en-US" w:bidi="ar-SA"/>
    </w:rPr>
  </w:style>
  <w:style w:type="paragraph" w:styleId="Style25">
    <w:name w:val="Блочная цитата"/>
    <w:basedOn w:val="Normal"/>
    <w:qFormat/>
    <w:pPr/>
    <w:rPr/>
  </w:style>
  <w:style w:type="paragraph" w:styleId="Style26">
    <w:name w:val="Заглавие"/>
    <w:basedOn w:val="Style17"/>
    <w:pPr/>
    <w:rPr/>
  </w:style>
  <w:style w:type="paragraph" w:styleId="Style27">
    <w:name w:val="Подзаголовок"/>
    <w:basedOn w:val="Style17"/>
    <w:pPr/>
    <w:rPr/>
  </w:style>
  <w:style w:type="numbering" w:styleId="NoList" w:default="1">
    <w:name w:val="No List"/>
    <w:uiPriority w:val="99"/>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9">
    <w:name w:val="Table Grid"/>
    <w:basedOn w:val="a1"/>
    <w:uiPriority w:val="39"/>
    <w:rsid w:val="00e1361c"/>
    <w:pPr>
      <w:spacing w:after="0" w:line="240" w:lineRule="auto"/>
    </w:pPr>
    <w:rPr>
      <w:rFonts w:eastAsiaTheme="minorEastAsia"/>
      <w:lang w:eastAsia="uk-U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16">
    <w:name w:val="Сетка таблицы1"/>
    <w:basedOn w:val="a1"/>
    <w:uiPriority w:val="59"/>
    <w:rsid w:val="00cb4ba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
    <w:name w:val="Сетка таблицы2"/>
    <w:basedOn w:val="a1"/>
    <w:uiPriority w:val="39"/>
    <w:rsid w:val="0097572a"/>
    <w:pPr>
      <w:spacing w:after="0" w:line="240" w:lineRule="auto"/>
    </w:pPr>
    <w:rPr>
      <w:rFonts w:eastAsiaTheme="minorEastAsia"/>
      <w:lang w:eastAsia="uk-U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chart" Target="charts/chart1.xml"/><Relationship Id="rId3" Type="http://schemas.openxmlformats.org/officeDocument/2006/relationships/chart" Target="charts/chart2.xml"/><Relationship Id="rId4" Type="http://schemas.openxmlformats.org/officeDocument/2006/relationships/chart" Target="charts/chart3.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header" Target="header4.xml"/><Relationship Id="rId9" Type="http://schemas.openxmlformats.org/officeDocument/2006/relationships/header" Target="header5.xml"/><Relationship Id="rId10" Type="http://schemas.openxmlformats.org/officeDocument/2006/relationships/chart" Target="charts/chart4.xml"/><Relationship Id="rId11" Type="http://schemas.openxmlformats.org/officeDocument/2006/relationships/header" Target="header6.xml"/><Relationship Id="rId12" Type="http://schemas.openxmlformats.org/officeDocument/2006/relationships/header" Target="header7.xml"/><Relationship Id="rId13" Type="http://schemas.openxmlformats.org/officeDocument/2006/relationships/header" Target="header8.xml"/><Relationship Id="rId14" Type="http://schemas.openxmlformats.org/officeDocument/2006/relationships/header" Target="header9.xml"/><Relationship Id="rId15" Type="http://schemas.openxmlformats.org/officeDocument/2006/relationships/header" Target="header10.xml"/><Relationship Id="rId16" Type="http://schemas.openxmlformats.org/officeDocument/2006/relationships/header" Target="header11.xml"/><Relationship Id="rId17" Type="http://schemas.openxmlformats.org/officeDocument/2006/relationships/image" Target="media/image1.png"/><Relationship Id="rId18" Type="http://schemas.openxmlformats.org/officeDocument/2006/relationships/image" Target="media/image2.png"/><Relationship Id="rId19" Type="http://schemas.openxmlformats.org/officeDocument/2006/relationships/image" Target="media/image3.png"/><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eader" Target="header12.xml"/><Relationship Id="rId28" Type="http://schemas.openxmlformats.org/officeDocument/2006/relationships/header" Target="header13.xml"/><Relationship Id="rId29" Type="http://schemas.openxmlformats.org/officeDocument/2006/relationships/header" Target="header14.xml"/><Relationship Id="rId30" Type="http://schemas.openxmlformats.org/officeDocument/2006/relationships/header" Target="header15.xml"/><Relationship Id="rId31" Type="http://schemas.openxmlformats.org/officeDocument/2006/relationships/header" Target="header16.xml"/><Relationship Id="rId32" Type="http://schemas.openxmlformats.org/officeDocument/2006/relationships/header" Target="header17.xml"/><Relationship Id="rId33" Type="http://schemas.openxmlformats.org/officeDocument/2006/relationships/header" Target="header18.xml"/><Relationship Id="rId34" Type="http://schemas.openxmlformats.org/officeDocument/2006/relationships/header" Target="header19.xml"/><Relationship Id="rId35" Type="http://schemas.openxmlformats.org/officeDocument/2006/relationships/header" Target="header20.xml"/><Relationship Id="rId36" Type="http://schemas.openxmlformats.org/officeDocument/2006/relationships/header" Target="header21.xml"/><Relationship Id="rId37" Type="http://schemas.openxmlformats.org/officeDocument/2006/relationships/header" Target="header22.xml"/><Relationship Id="rId38" Type="http://schemas.openxmlformats.org/officeDocument/2006/relationships/header" Target="header23.xml"/><Relationship Id="rId39" Type="http://schemas.openxmlformats.org/officeDocument/2006/relationships/header" Target="header24.xml"/><Relationship Id="rId40" Type="http://schemas.openxmlformats.org/officeDocument/2006/relationships/header" Target="header25.xml"/><Relationship Id="rId41" Type="http://schemas.openxmlformats.org/officeDocument/2006/relationships/header" Target="header26.xml"/><Relationship Id="rId42" Type="http://schemas.openxmlformats.org/officeDocument/2006/relationships/header" Target="header27.xml"/><Relationship Id="rId43" Type="http://schemas.openxmlformats.org/officeDocument/2006/relationships/header" Target="header28.xml"/><Relationship Id="rId44" Type="http://schemas.openxmlformats.org/officeDocument/2006/relationships/header" Target="header29.xml"/><Relationship Id="rId45" Type="http://schemas.openxmlformats.org/officeDocument/2006/relationships/header" Target="header30.xml"/><Relationship Id="rId46" Type="http://schemas.openxmlformats.org/officeDocument/2006/relationships/header" Target="header31.xml"/><Relationship Id="rId47" Type="http://schemas.openxmlformats.org/officeDocument/2006/relationships/header" Target="header32.xml"/><Relationship Id="rId48" Type="http://schemas.openxmlformats.org/officeDocument/2006/relationships/header" Target="header33.xml"/><Relationship Id="rId49" Type="http://schemas.openxmlformats.org/officeDocument/2006/relationships/header" Target="header34.xml"/><Relationship Id="rId50" Type="http://schemas.openxmlformats.org/officeDocument/2006/relationships/numbering" Target="numbering.xml"/><Relationship Id="rId51" Type="http://schemas.openxmlformats.org/officeDocument/2006/relationships/fontTable" Target="fontTable.xml"/><Relationship Id="rId52" Type="http://schemas.openxmlformats.org/officeDocument/2006/relationships/settings" Target="settings.xml"/><Relationship Id="rId53" Type="http://schemas.openxmlformats.org/officeDocument/2006/relationships/theme" Target="theme/theme1.xml"/><Relationship Id="rId54" Type="http://schemas.openxmlformats.org/officeDocument/2006/relationships/customXml" Target="../customXml/item1.xml"/>
</Relationships>
</file>

<file path=word/charts/_rels/chart4.xml.rels><?xml version="1.0" encoding="UTF-8"?>
<Relationships xmlns="http://schemas.openxmlformats.org/package/2006/relationships"><Relationship Id="rId1" Type="http://schemas.openxmlformats.org/officeDocument/2006/relationships/package" Target="../embeddings/Microsoft_Excel_Worksheet1.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a:lstStyle/>
          <a:p>
            <a:pPr>
              <a:defRPr b="1" sz="1200" spc="-1">
                <a:solidFill>
                  <a:srgbClr val="000000"/>
                </a:solidFill>
                <a:latin typeface="Times New Roman"/>
              </a:defRPr>
            </a:pPr>
            <a:r>
              <a:rPr b="1" sz="1200" spc="-1">
                <a:solidFill>
                  <a:srgbClr val="000000"/>
                </a:solidFill>
                <a:latin typeface="Times New Roman"/>
              </a:rPr>
              <a:t>Показники народжуваності  дітей у м.Києві 
за роками</a:t>
            </a:r>
          </a:p>
        </c:rich>
      </c:tx>
      <c:overlay val="0"/>
    </c:title>
    <c:autoTitleDeleted val="0"/>
    <c:plotArea>
      <c:scatterChart>
        <c:scatterStyle val="lineMarker"/>
        <c:varyColors val="0"/>
        <c:ser>
          <c:idx val="0"/>
          <c:order val="0"/>
          <c:tx>
            <c:strRef>
              <c:f>label 0</c:f>
              <c:strCache>
                <c:ptCount val="1"/>
                <c:pt idx="0">
                  <c:v>кількість народжених дітей (тис)</c:v>
                </c:pt>
              </c:strCache>
            </c:strRef>
          </c:tx>
          <c:spPr>
            <a:solidFill>
              <a:srgbClr val="0070c0"/>
            </a:solidFill>
            <a:ln w="28440">
              <a:noFill/>
            </a:ln>
          </c:spPr>
          <c:marker>
            <c:symbol val="square"/>
            <c:size val="5"/>
            <c:spPr>
              <a:solidFill>
                <a:srgbClr val="0070c0"/>
              </a:solidFill>
            </c:spPr>
          </c:marker>
          <c:dLbls>
            <c:dLbl>
              <c:idx val="0"/>
              <c:dLblPos val="b"/>
              <c:showLegendKey val="0"/>
              <c:showVal val="1"/>
              <c:showCatName val="0"/>
              <c:showSerName val="0"/>
              <c:showPercent val="0"/>
            </c:dLbl>
            <c:dLbl>
              <c:idx val="1"/>
              <c:dLblPos val="b"/>
              <c:showLegendKey val="0"/>
              <c:showVal val="1"/>
              <c:showCatName val="0"/>
              <c:showSerName val="0"/>
              <c:showPercent val="0"/>
            </c:dLbl>
            <c:dLbl>
              <c:idx val="2"/>
              <c:dLblPos val="b"/>
              <c:showLegendKey val="0"/>
              <c:showVal val="1"/>
              <c:showCatName val="0"/>
              <c:showSerName val="0"/>
              <c:showPercent val="0"/>
            </c:dLbl>
            <c:dLblPos val="b"/>
            <c:showLegendKey val="0"/>
            <c:showVal val="1"/>
            <c:showCatName val="0"/>
            <c:showSerName val="0"/>
            <c:showPercent val="0"/>
            <c:showLeaderLines val="0"/>
          </c:dLbls>
          <c:xVal>
            <c:numRef>
              <c:f>1</c:f>
              <c:numCache>
                <c:formatCode>General</c:formatCode>
                <c:ptCount val="3"/>
                <c:pt idx="0">
                  <c:v>40909</c:v>
                </c:pt>
                <c:pt idx="1">
                  <c:v>41275</c:v>
                </c:pt>
                <c:pt idx="2">
                  <c:v>41640</c:v>
                </c:pt>
              </c:numCache>
            </c:numRef>
          </c:xVal>
          <c:yVal>
            <c:numRef>
              <c:f>0</c:f>
              <c:numCache>
                <c:formatCode>General</c:formatCode>
                <c:ptCount val="3"/>
                <c:pt idx="0">
                  <c:v>19.4</c:v>
                </c:pt>
                <c:pt idx="1">
                  <c:v>25.9</c:v>
                </c:pt>
                <c:pt idx="2">
                  <c:v>34.8</c:v>
                </c:pt>
              </c:numCache>
            </c:numRef>
          </c:yVal>
          <c:smooth val="0"/>
        </c:ser>
        <c:axId val="32586760"/>
        <c:axId val="84475907"/>
      </c:scatterChart>
      <c:valAx>
        <c:axId val="32586760"/>
        <c:scaling>
          <c:orientation val="minMax"/>
        </c:scaling>
        <c:delete val="0"/>
        <c:axPos val="b"/>
        <c:majorGridlines>
          <c:spPr>
            <a:ln w="9360">
              <a:solidFill>
                <a:srgbClr val="878787"/>
              </a:solidFill>
              <a:round/>
            </a:ln>
          </c:spPr>
        </c:majorGridlines>
        <c:numFmt formatCode="M.D.YYYY" sourceLinked="0"/>
        <c:majorTickMark val="none"/>
        <c:minorTickMark val="none"/>
        <c:tickLblPos val="nextTo"/>
        <c:spPr>
          <a:ln w="9360">
            <a:solidFill>
              <a:srgbClr val="878787"/>
            </a:solidFill>
            <a:round/>
          </a:ln>
        </c:spPr>
        <c:txPr>
          <a:bodyPr/>
          <a:p>
            <a:pPr>
              <a:defRPr sz="1000" spc="-1">
                <a:solidFill>
                  <a:srgbClr val="000000"/>
                </a:solidFill>
                <a:latin typeface="Calibri"/>
              </a:defRPr>
            </a:pPr>
          </a:p>
        </c:txPr>
        <c:crossAx val="84475907"/>
        <c:crosses val="autoZero"/>
      </c:valAx>
      <c:valAx>
        <c:axId val="84475907"/>
        <c:scaling>
          <c:orientation val="minMax"/>
        </c:scaling>
        <c:delete val="0"/>
        <c:axPos val="l"/>
        <c:majorGridlines>
          <c:spPr>
            <a:ln w="9360">
              <a:solidFill>
                <a:srgbClr val="878787"/>
              </a:solidFill>
              <a:round/>
            </a:ln>
          </c:spPr>
        </c:majorGridlines>
        <c:numFmt formatCode="Standard" sourceLinked="0"/>
        <c:majorTickMark val="none"/>
        <c:minorTickMark val="none"/>
        <c:tickLblPos val="nextTo"/>
        <c:spPr>
          <a:ln w="9360">
            <a:solidFill>
              <a:srgbClr val="878787"/>
            </a:solidFill>
            <a:round/>
          </a:ln>
        </c:spPr>
        <c:txPr>
          <a:bodyPr/>
          <a:p>
            <a:pPr>
              <a:defRPr sz="1000" spc="-1">
                <a:solidFill>
                  <a:srgbClr val="000000"/>
                </a:solidFill>
                <a:latin typeface="Calibri"/>
              </a:defRPr>
            </a:pPr>
          </a:p>
        </c:txPr>
        <c:crossAx val="32586760"/>
        <c:crosses val="autoZero"/>
      </c:valAx>
      <c:spPr>
        <a:gradFill>
          <a:gsLst>
            <a:gs pos="0">
              <a:srgbClr val="9ab4e4"/>
            </a:gs>
            <a:gs pos="100000">
              <a:srgbClr val="c1d1ec"/>
            </a:gs>
          </a:gsLst>
          <a:lin ang="5400000"/>
        </a:gradFill>
        <a:ln>
          <a:noFill/>
        </a:ln>
      </c:spPr>
    </c:plotArea>
    <c:legend>
      <c:legendPos val="b"/>
      <c:overlay val="0"/>
      <c:spPr>
        <a:noFill/>
        <a:ln>
          <a:noFill/>
        </a:ln>
      </c:spPr>
    </c:legend>
    <c:plotVisOnly val="1"/>
    <c:dispBlanksAs val="gap"/>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a:lstStyle/>
          <a:p>
            <a:pPr>
              <a:defRPr b="1" sz="1200" spc="-1">
                <a:solidFill>
                  <a:srgbClr val="000000"/>
                </a:solidFill>
                <a:latin typeface="Times New Roman"/>
              </a:defRPr>
            </a:pPr>
            <a:r>
              <a:rPr b="1" sz="1200" spc="-1">
                <a:solidFill>
                  <a:srgbClr val="000000"/>
                </a:solidFill>
                <a:latin typeface="Times New Roman"/>
              </a:rPr>
              <a:t>Охоплення дошкільною освітою дітей  у м. Києві станом на 10.11.2014</a:t>
            </a:r>
          </a:p>
        </c:rich>
      </c:tx>
      <c:overlay val="0"/>
    </c:title>
    <c:autoTitleDeleted val="0"/>
    <c:view3D>
      <c:rotX val="30"/>
      <c:rotY val="0"/>
      <c:rAngAx val="0"/>
      <c:perspective val="30"/>
    </c:view3D>
    <c:floor>
      <c:spPr>
        <a:solidFill>
          <a:srgbClr val="d9d9d9"/>
        </a:solidFill>
        <a:ln>
          <a:noFill/>
        </a:ln>
      </c:spPr>
    </c:floor>
    <c:backWall>
      <c:spPr>
        <a:solidFill>
          <a:srgbClr val="d9d9d9"/>
        </a:solidFill>
        <a:ln>
          <a:noFill/>
        </a:ln>
      </c:spPr>
    </c:backWall>
    <c:plotArea>
      <c:pie3DChart>
        <c:varyColors val="1"/>
        <c:ser>
          <c:idx val="0"/>
          <c:order val="0"/>
          <c:tx>
            <c:strRef>
              <c:f>label 0</c:f>
              <c:strCache>
                <c:ptCount val="1"/>
                <c:pt idx="0">
                  <c:v/>
                </c:pt>
              </c:strCache>
            </c:strRef>
          </c:tx>
          <c:spPr>
            <a:solidFill>
              <a:srgbClr val="4bacc6"/>
            </a:solidFill>
            <a:ln>
              <a:noFill/>
            </a:ln>
          </c:spPr>
          <c:explosion val="25"/>
          <c:dPt>
            <c:idx val="0"/>
            <c:spPr>
              <a:solidFill>
                <a:srgbClr val="3b879c"/>
              </a:solidFill>
              <a:ln>
                <a:noFill/>
              </a:ln>
            </c:spPr>
          </c:dPt>
          <c:dPt>
            <c:idx val="1"/>
            <c:spPr>
              <a:solidFill>
                <a:srgbClr val="46a1b9"/>
              </a:solidFill>
              <a:ln>
                <a:noFill/>
              </a:ln>
            </c:spPr>
          </c:dPt>
          <c:dPt>
            <c:idx val="2"/>
            <c:spPr>
              <a:solidFill>
                <a:srgbClr val="7cbacf"/>
              </a:solidFill>
              <a:ln>
                <a:noFill/>
              </a:ln>
            </c:spPr>
          </c:dPt>
          <c:dPt>
            <c:idx val="3"/>
            <c:spPr>
              <a:solidFill>
                <a:srgbClr val="b5d4e0"/>
              </a:solidFill>
              <a:ln>
                <a:noFill/>
              </a:ln>
            </c:spPr>
          </c:dPt>
          <c:dLbls>
            <c:dLbl>
              <c:idx val="0"/>
              <c:dLblPos val="outEnd"/>
              <c:showLegendKey val="0"/>
              <c:showVal val="0"/>
              <c:showCatName val="0"/>
              <c:showSerName val="0"/>
              <c:showPercent val="1"/>
            </c:dLbl>
            <c:dLbl>
              <c:idx val="1"/>
              <c:dLblPos val="outEnd"/>
              <c:showLegendKey val="0"/>
              <c:showVal val="0"/>
              <c:showCatName val="0"/>
              <c:showSerName val="0"/>
              <c:showPercent val="1"/>
            </c:dLbl>
            <c:dLbl>
              <c:idx val="2"/>
              <c:dLblPos val="bestFit"/>
              <c:showLegendKey val="0"/>
              <c:showVal val="0"/>
              <c:showCatName val="0"/>
              <c:showSerName val="0"/>
              <c:showPercent val="1"/>
            </c:dLbl>
            <c:dLbl>
              <c:idx val="3"/>
              <c:dLblPos val="bestFit"/>
              <c:showLegendKey val="0"/>
              <c:showVal val="0"/>
              <c:showCatName val="0"/>
              <c:showSerName val="0"/>
              <c:showPercent val="1"/>
            </c:dLbl>
            <c:dLblPos val="outEnd"/>
            <c:showLegendKey val="0"/>
            <c:showVal val="0"/>
            <c:showCatName val="0"/>
            <c:showSerName val="0"/>
            <c:showPercent val="1"/>
            <c:showLeaderLines val="0"/>
          </c:dLbls>
          <c:cat>
            <c:strRef>
              <c:f>categories</c:f>
              <c:strCache>
                <c:ptCount val="4"/>
                <c:pt idx="0">
                  <c:v>зареєстровані у Києві </c:v>
                </c:pt>
                <c:pt idx="1">
                  <c:v>приміське населення</c:v>
                </c:pt>
                <c:pt idx="2">
                  <c:v>інші регіони</c:v>
                </c:pt>
                <c:pt idx="3">
                  <c:v>переселенці</c:v>
                </c:pt>
              </c:strCache>
            </c:strRef>
          </c:cat>
          <c:val>
            <c:numRef>
              <c:f>0</c:f>
              <c:numCache>
                <c:formatCode>General</c:formatCode>
                <c:ptCount val="4"/>
                <c:pt idx="0">
                  <c:v>0.884</c:v>
                </c:pt>
                <c:pt idx="1">
                  <c:v>0.047</c:v>
                </c:pt>
                <c:pt idx="2">
                  <c:v>0.069</c:v>
                </c:pt>
                <c:pt idx="3">
                  <c:v>0.018</c:v>
                </c:pt>
              </c:numCache>
            </c:numRef>
          </c:val>
        </c:ser>
      </c:pie3DChart>
      <c:spPr>
        <a:solidFill>
          <a:srgbClr val="d9d9d9"/>
        </a:solidFill>
        <a:ln>
          <a:noFill/>
        </a:ln>
      </c:spPr>
    </c:plotArea>
    <c:legend>
      <c:legendPos val="r"/>
      <c:overlay val="0"/>
      <c:spPr>
        <a:noFill/>
        <a:ln>
          <a:noFill/>
        </a:ln>
      </c:spPr>
    </c:legend>
    <c:plotVisOnly val="1"/>
    <c:dispBlanksAs val="gap"/>
  </c:chart>
  <c:spPr>
    <a:solidFill>
      <a:srgbClr val="ffffff"/>
    </a:solidFill>
    <a:ln>
      <a:noFill/>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a:lstStyle/>
          <a:p>
            <a:pPr>
              <a:defRPr b="1" sz="1200" spc="-1">
                <a:solidFill>
                  <a:srgbClr val="000000"/>
                </a:solidFill>
                <a:latin typeface="Times New Roman"/>
              </a:defRPr>
            </a:pPr>
            <a:r>
              <a:rPr b="1" sz="1200" spc="-1">
                <a:solidFill>
                  <a:srgbClr val="000000"/>
                </a:solidFill>
                <a:latin typeface="Times New Roman"/>
              </a:rPr>
              <a:t>Кількість вихованців 5-річного віку в ДНЗ</a:t>
            </a:r>
          </a:p>
        </c:rich>
      </c:tx>
      <c:overlay val="0"/>
    </c:title>
    <c:autoTitleDeleted val="0"/>
    <c:view3D>
      <c:rotX val="15"/>
      <c:rotY val="20"/>
      <c:rAngAx val="1"/>
      <c:perspective val="30"/>
    </c:view3D>
    <c:floor>
      <c:spPr>
        <a:noFill/>
        <a:ln w="9360">
          <a:solidFill>
            <a:srgbClr val="878787"/>
          </a:solidFill>
          <a:round/>
        </a:ln>
      </c:spPr>
    </c:floor>
    <c:backWall>
      <c:spPr>
        <a:ln w="9360">
          <a:solidFill>
            <a:srgbClr val="878787"/>
          </a:solidFill>
          <a:round/>
        </a:ln>
      </c:spPr>
    </c:backWall>
    <c:plotArea>
      <c:bar3DChart>
        <c:barDir val="bar"/>
        <c:grouping val="stacked"/>
        <c:varyColors val="0"/>
        <c:ser>
          <c:idx val="0"/>
          <c:order val="0"/>
          <c:tx>
            <c:strRef>
              <c:f>label 0</c:f>
              <c:strCache>
                <c:ptCount val="1"/>
                <c:pt idx="0">
                  <c:v>кількість виховнців 5-річного віку</c:v>
                </c:pt>
              </c:strCache>
            </c:strRef>
          </c:tx>
          <c:spPr>
            <a:solidFill>
              <a:srgbClr val="4f81bd"/>
            </a:solidFill>
            <a:ln>
              <a:noFill/>
            </a:ln>
          </c:spPr>
          <c:invertIfNegative val="0"/>
          <c:dLbls>
            <c:dLbl>
              <c:idx val="0"/>
              <c:showLegendKey val="0"/>
              <c:showVal val="1"/>
              <c:showCatName val="0"/>
              <c:showSerName val="0"/>
              <c:showPercent val="0"/>
            </c:dLbl>
            <c:dLbl>
              <c:idx val="1"/>
              <c:showLegendKey val="0"/>
              <c:showVal val="1"/>
              <c:showCatName val="0"/>
              <c:showSerName val="0"/>
              <c:showPercent val="0"/>
            </c:dLbl>
            <c:dLbl>
              <c:idx val="2"/>
              <c:showLegendKey val="0"/>
              <c:showVal val="1"/>
              <c:showCatName val="0"/>
              <c:showSerName val="0"/>
              <c:showPercent val="0"/>
            </c:dLbl>
            <c:dLbl>
              <c:idx val="3"/>
              <c:showLegendKey val="0"/>
              <c:showVal val="1"/>
              <c:showCatName val="0"/>
              <c:showSerName val="0"/>
              <c:showPercent val="0"/>
            </c:dLbl>
            <c:dLbl>
              <c:idx val="4"/>
              <c:showLegendKey val="0"/>
              <c:showVal val="1"/>
              <c:showCatName val="0"/>
              <c:showSerName val="0"/>
              <c:showPercent val="0"/>
            </c:dLbl>
            <c:showLegendKey val="0"/>
            <c:showVal val="1"/>
            <c:showCatName val="0"/>
            <c:showSerName val="0"/>
            <c:showPercent val="0"/>
            <c:showLeaderLines val="0"/>
          </c:dLbls>
          <c:cat>
            <c:strRef>
              <c:f>categories</c:f>
              <c:strCache>
                <c:ptCount val="5"/>
                <c:pt idx="0">
                  <c:v>1</c:v>
                </c:pt>
                <c:pt idx="1">
                  <c:v>2</c:v>
                </c:pt>
                <c:pt idx="2">
                  <c:v>3</c:v>
                </c:pt>
                <c:pt idx="3">
                  <c:v>4</c:v>
                </c:pt>
                <c:pt idx="4">
                  <c:v>5</c:v>
                </c:pt>
              </c:strCache>
            </c:strRef>
          </c:cat>
          <c:val>
            <c:numRef>
              <c:f>0</c:f>
              <c:numCache>
                <c:formatCode>General</c:formatCode>
                <c:ptCount val="5"/>
                <c:pt idx="0">
                  <c:v>22795</c:v>
                </c:pt>
                <c:pt idx="1">
                  <c:v>22274</c:v>
                </c:pt>
                <c:pt idx="2">
                  <c:v>24862</c:v>
                </c:pt>
                <c:pt idx="3">
                  <c:v>26395</c:v>
                </c:pt>
                <c:pt idx="4">
                  <c:v>27311</c:v>
                </c:pt>
              </c:numCache>
            </c:numRef>
          </c:val>
        </c:ser>
        <c:gapWidth val="150"/>
        <c:shape val="cylinder"/>
        <c:axId val="59640254"/>
        <c:axId val="26900081"/>
        <c:axId val="0"/>
      </c:bar3DChart>
      <c:catAx>
        <c:axId val="59640254"/>
        <c:scaling>
          <c:orientation val="minMax"/>
        </c:scaling>
        <c:delete val="0"/>
        <c:axPos val="b"/>
        <c:numFmt formatCode="DD.MM.YYYY" sourceLinked="1"/>
        <c:majorTickMark val="out"/>
        <c:minorTickMark val="none"/>
        <c:tickLblPos val="nextTo"/>
        <c:spPr>
          <a:ln w="9360">
            <a:solidFill>
              <a:srgbClr val="878787"/>
            </a:solidFill>
            <a:round/>
          </a:ln>
        </c:spPr>
        <c:txPr>
          <a:bodyPr/>
          <a:p>
            <a:pPr>
              <a:defRPr sz="1000" spc="-1">
                <a:solidFill>
                  <a:srgbClr val="000000"/>
                </a:solidFill>
                <a:latin typeface="Calibri"/>
              </a:defRPr>
            </a:pPr>
          </a:p>
        </c:txPr>
        <c:crossAx val="26900081"/>
        <c:crosses val="autoZero"/>
        <c:auto val="1"/>
        <c:lblAlgn val="ctr"/>
        <c:lblOffset val="100"/>
      </c:catAx>
      <c:valAx>
        <c:axId val="26900081"/>
        <c:scaling>
          <c:orientation val="minMax"/>
        </c:scaling>
        <c:delete val="1"/>
        <c:axPos val="l"/>
        <c:majorGridlines>
          <c:spPr>
            <a:ln w="9360">
              <a:solidFill>
                <a:srgbClr val="878787"/>
              </a:solidFill>
              <a:round/>
            </a:ln>
          </c:spPr>
        </c:majorGridlines>
        <c:numFmt formatCode="Standard" sourceLinked="0"/>
        <c:majorTickMark val="out"/>
        <c:minorTickMark val="none"/>
        <c:tickLblPos val="nextTo"/>
        <c:spPr>
          <a:ln w="9360">
            <a:solidFill>
              <a:srgbClr val="878787"/>
            </a:solidFill>
            <a:round/>
          </a:ln>
        </c:spPr>
        <c:txPr>
          <a:bodyPr/>
          <a:p>
            <a:pPr>
              <a:defRPr sz="1000" spc="-1">
                <a:solidFill>
                  <a:srgbClr val="000000"/>
                </a:solidFill>
                <a:latin typeface="Calibri"/>
              </a:defRPr>
            </a:pPr>
          </a:p>
        </c:txPr>
        <c:crossAx val="59640254"/>
        <c:crosses val="autoZero"/>
      </c:valAx>
      <c:spPr>
        <a:gradFill>
          <a:gsLst>
            <a:gs pos="0">
              <a:srgbClr val="9ab4e4"/>
            </a:gs>
            <a:gs pos="100000">
              <a:srgbClr val="c1d1ec"/>
            </a:gs>
          </a:gsLst>
          <a:lin ang="5400000"/>
        </a:gradFill>
        <a:ln w="9360">
          <a:solidFill>
            <a:srgbClr val="878787"/>
          </a:solidFill>
          <a:round/>
        </a:ln>
      </c:spPr>
    </c:plotArea>
    <c:legend>
      <c:legendPos val="b"/>
      <c:overlay val="0"/>
      <c:spPr>
        <a:noFill/>
        <a:ln>
          <a:noFill/>
        </a:ln>
      </c:spPr>
    </c:legend>
    <c:plotVisOnly val="1"/>
    <c:dispBlanksAs val="gap"/>
  </c:chart>
  <c:spPr>
    <a:solidFill>
      <a:srgbClr val="ffffff"/>
    </a:solid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a:lstStyle/>
          <a:p>
            <a:pPr>
              <a:defRPr i="1" sz="1400" spc="-1">
                <a:solidFill>
                  <a:srgbClr val="000000"/>
                </a:solidFill>
                <a:latin typeface="Calibri"/>
              </a:defRPr>
            </a:pPr>
            <a:r>
              <a:rPr i="1" sz="1400" spc="-1">
                <a:solidFill>
                  <a:srgbClr val="000000"/>
                </a:solidFill>
                <a:latin typeface="Calibri"/>
              </a:rPr>
              <a:t>Кількість учнів з інклюзивною формою навчання</a:t>
            </a:r>
          </a:p>
        </c:rich>
      </c:tx>
      <c:overlay val="0"/>
    </c:title>
    <c:autoTitleDeleted val="0"/>
    <c:plotArea>
      <c:lineChart>
        <c:grouping val="standard"/>
        <c:ser>
          <c:idx val="0"/>
          <c:order val="0"/>
          <c:tx>
            <c:strRef>
              <c:f>label 0</c:f>
              <c:strCache>
                <c:ptCount val="1"/>
                <c:pt idx="0">
                  <c:v>Кількість учнів з інклюзивною формою навчання</c:v>
                </c:pt>
              </c:strCache>
            </c:strRef>
          </c:tx>
          <c:spPr>
            <a:solidFill>
              <a:srgbClr val="4a7ebb"/>
            </a:solidFill>
            <a:ln w="28440">
              <a:solidFill>
                <a:srgbClr val="4a7ebb"/>
              </a:solidFill>
              <a:round/>
            </a:ln>
          </c:spPr>
          <c:marker>
            <c:symbol val="square"/>
            <c:size val="5"/>
            <c:spPr>
              <a:solidFill>
                <a:srgbClr val="4a7ebb"/>
              </a:solidFill>
            </c:spPr>
          </c:marker>
          <c:dLbls>
            <c:dLbl>
              <c:idx val="0"/>
              <c:dLblPos val="r"/>
              <c:showLegendKey val="0"/>
              <c:showVal val="1"/>
              <c:showCatName val="0"/>
              <c:showSerName val="0"/>
              <c:showPercent val="0"/>
            </c:dLbl>
            <c:dLbl>
              <c:idx val="1"/>
              <c:dLblPos val="r"/>
              <c:showLegendKey val="0"/>
              <c:showVal val="1"/>
              <c:showCatName val="0"/>
              <c:showSerName val="0"/>
              <c:showPercent val="0"/>
            </c:dLbl>
            <c:dLbl>
              <c:idx val="2"/>
              <c:dLblPos val="r"/>
              <c:showLegendKey val="0"/>
              <c:showVal val="1"/>
              <c:showCatName val="0"/>
              <c:showSerName val="0"/>
              <c:showPercent val="0"/>
            </c:dLbl>
            <c:dLbl>
              <c:idx val="3"/>
              <c:dLblPos val="r"/>
              <c:showLegendKey val="0"/>
              <c:showVal val="1"/>
              <c:showCatName val="0"/>
              <c:showSerName val="0"/>
              <c:showPercent val="0"/>
            </c:dLbl>
            <c:dLbl>
              <c:idx val="4"/>
              <c:dLblPos val="l"/>
              <c:showLegendKey val="0"/>
              <c:showVal val="1"/>
              <c:showCatName val="0"/>
              <c:showSerName val="0"/>
              <c:showPercent val="0"/>
            </c:dLbl>
            <c:dLbl>
              <c:idx val="5"/>
              <c:dLblPos val="r"/>
              <c:showLegendKey val="0"/>
              <c:showVal val="1"/>
              <c:showCatName val="0"/>
              <c:showSerName val="0"/>
              <c:showPercent val="0"/>
            </c:dLbl>
            <c:dLblPos val="r"/>
            <c:showLegendKey val="0"/>
            <c:showVal val="1"/>
            <c:showCatName val="0"/>
            <c:showSerName val="0"/>
            <c:showPercent val="0"/>
            <c:showLeaderLines val="0"/>
          </c:dLbls>
          <c:cat>
            <c:strRef>
              <c:f>categories</c:f>
              <c:strCache>
                <c:ptCount val="6"/>
                <c:pt idx="0">
                  <c:v>2010-11</c:v>
                </c:pt>
                <c:pt idx="1">
                  <c:v>2011-12</c:v>
                </c:pt>
                <c:pt idx="2">
                  <c:v>2012-13</c:v>
                </c:pt>
                <c:pt idx="3">
                  <c:v>2013-14</c:v>
                </c:pt>
                <c:pt idx="4">
                  <c:v>2014-15</c:v>
                </c:pt>
                <c:pt idx="5">
                  <c:v>2015-16</c:v>
                </c:pt>
              </c:strCache>
            </c:strRef>
          </c:cat>
          <c:val>
            <c:numRef>
              <c:f>0</c:f>
              <c:numCache>
                <c:formatCode>General</c:formatCode>
                <c:ptCount val="6"/>
                <c:pt idx="0">
                  <c:v>133</c:v>
                </c:pt>
                <c:pt idx="1">
                  <c:v>193</c:v>
                </c:pt>
                <c:pt idx="2">
                  <c:v>168</c:v>
                </c:pt>
                <c:pt idx="3">
                  <c:v>237</c:v>
                </c:pt>
                <c:pt idx="4">
                  <c:v>363</c:v>
                </c:pt>
                <c:pt idx="5">
                  <c:v>355</c:v>
                </c:pt>
              </c:numCache>
            </c:numRef>
          </c:val>
          <c:smooth val="0"/>
        </c:ser>
        <c:hiLowLines>
          <c:spPr>
            <a:ln>
              <a:noFill/>
            </a:ln>
          </c:spPr>
        </c:hiLowLines>
        <c:marker val="1"/>
        <c:axId val="3166628"/>
        <c:axId val="74100567"/>
      </c:lineChart>
      <c:catAx>
        <c:axId val="3166628"/>
        <c:scaling>
          <c:orientation val="minMax"/>
        </c:scaling>
        <c:delete val="0"/>
        <c:axPos val="b"/>
        <c:numFmt formatCode="DD.MM.YYYY" sourceLinked="1"/>
        <c:majorTickMark val="out"/>
        <c:minorTickMark val="none"/>
        <c:tickLblPos val="nextTo"/>
        <c:spPr>
          <a:ln w="9360">
            <a:solidFill>
              <a:srgbClr val="878787"/>
            </a:solidFill>
            <a:round/>
          </a:ln>
        </c:spPr>
        <c:txPr>
          <a:bodyPr/>
          <a:p>
            <a:pPr>
              <a:defRPr sz="1050" spc="-1">
                <a:solidFill>
                  <a:srgbClr val="000000"/>
                </a:solidFill>
                <a:latin typeface="Calibri"/>
              </a:defRPr>
            </a:pPr>
          </a:p>
        </c:txPr>
        <c:crossAx val="74100567"/>
        <c:crosses val="autoZero"/>
        <c:auto val="1"/>
        <c:lblAlgn val="ctr"/>
        <c:lblOffset val="100"/>
      </c:catAx>
      <c:valAx>
        <c:axId val="74100567"/>
        <c:scaling>
          <c:orientation val="minMax"/>
        </c:scaling>
        <c:delete val="0"/>
        <c:axPos val="l"/>
        <c:majorGridlines>
          <c:spPr>
            <a:ln w="9360">
              <a:solidFill>
                <a:srgbClr val="878787"/>
              </a:solidFill>
              <a:round/>
            </a:ln>
          </c:spPr>
        </c:majorGridlines>
        <c:numFmt formatCode="Standard" sourceLinked="0"/>
        <c:majorTickMark val="out"/>
        <c:minorTickMark val="none"/>
        <c:tickLblPos val="nextTo"/>
        <c:spPr>
          <a:ln w="9360">
            <a:solidFill>
              <a:srgbClr val="878787"/>
            </a:solidFill>
            <a:round/>
          </a:ln>
        </c:spPr>
        <c:txPr>
          <a:bodyPr/>
          <a:p>
            <a:pPr>
              <a:defRPr sz="1000" spc="-1">
                <a:solidFill>
                  <a:srgbClr val="000000"/>
                </a:solidFill>
                <a:latin typeface="Calibri"/>
              </a:defRPr>
            </a:pPr>
          </a:p>
        </c:txPr>
        <c:crossAx val="3166628"/>
        <c:crosses val="autoZero"/>
      </c:valAx>
      <c:spPr>
        <a:solidFill>
          <a:srgbClr val="ffffff"/>
        </a:solidFill>
        <a:ln>
          <a:noFill/>
        </a:ln>
      </c:spPr>
    </c:plotArea>
    <c:plotVisOnly val="1"/>
    <c:dispBlanksAs val="gap"/>
  </c:chart>
  <c:spPr>
    <a:solidFill>
      <a:srgbClr val="ffffff"/>
    </a:solidFill>
    <a:ln>
      <a:noFill/>
    </a:ln>
  </c:spPr>
  <c:externalData r:id="rId1"/>
</c:chartSpac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7DEA8-EB86-4EF7-BEFF-D1ADF270E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2261</TotalTime>
  <Application>LibreOffice/5.0.2.2$Windows_x86 LibreOffice_project/37b43f919e4de5eeaca9b9755ed688758a8251fe</Application>
  <Paragraphs>326</Paragraphs>
  <Company>Org</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2015-11-05T07:21:00Z</dcterms:created>
  <dc:creator>Дзюба Антон Миколайович</dc:creator>
  <dc:language>ru-RU</dc:language>
  <cp:lastModifiedBy>Олена Петрівна Павленко</cp:lastModifiedBy>
  <cp:lastPrinted>2015-11-17T12:17:00Z</cp:lastPrinted>
  <dcterms:modified xsi:type="dcterms:W3CDTF">2015-12-10T10:52:00Z</dcterms:modified>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