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5" w:type="dxa"/>
        <w:tblLayout w:type="fixed"/>
        <w:tblCellMar>
          <w:left w:w="15" w:type="dxa"/>
          <w:right w:w="15" w:type="dxa"/>
        </w:tblCellMar>
        <w:tblLook w:val="0000" w:firstRow="0" w:lastRow="0" w:firstColumn="0" w:lastColumn="0" w:noHBand="0" w:noVBand="0"/>
      </w:tblPr>
      <w:tblGrid>
        <w:gridCol w:w="1134"/>
        <w:gridCol w:w="1276"/>
        <w:gridCol w:w="260"/>
        <w:gridCol w:w="1157"/>
        <w:gridCol w:w="1276"/>
        <w:gridCol w:w="241"/>
        <w:gridCol w:w="609"/>
        <w:gridCol w:w="1276"/>
        <w:gridCol w:w="788"/>
        <w:gridCol w:w="630"/>
        <w:gridCol w:w="1275"/>
        <w:gridCol w:w="143"/>
      </w:tblGrid>
      <w:tr w:rsidR="00400DA3" w:rsidTr="001E6973">
        <w:trPr>
          <w:gridAfter w:val="1"/>
          <w:wAfter w:w="143" w:type="dxa"/>
          <w:trHeight w:hRule="exact" w:val="419"/>
        </w:trPr>
        <w:tc>
          <w:tcPr>
            <w:tcW w:w="9922" w:type="dxa"/>
            <w:gridSpan w:val="11"/>
            <w:tcBorders>
              <w:top w:val="nil"/>
              <w:left w:val="nil"/>
              <w:bottom w:val="nil"/>
              <w:right w:val="nil"/>
            </w:tcBorders>
          </w:tcPr>
          <w:p w:rsidR="00400DA3" w:rsidRPr="00400DA3" w:rsidRDefault="00400DA3" w:rsidP="00DC663B">
            <w:pPr>
              <w:widowControl w:val="0"/>
              <w:autoSpaceDE w:val="0"/>
              <w:autoSpaceDN w:val="0"/>
              <w:adjustRightInd w:val="0"/>
              <w:spacing w:before="29" w:after="0" w:line="294" w:lineRule="exact"/>
              <w:ind w:left="15"/>
              <w:jc w:val="right"/>
              <w:rPr>
                <w:rFonts w:ascii="Times New Roman" w:hAnsi="Times New Roman"/>
                <w:b/>
                <w:bCs/>
                <w:color w:val="000000"/>
                <w:sz w:val="24"/>
                <w:szCs w:val="24"/>
                <w:lang w:val="uk-UA"/>
              </w:rPr>
            </w:pPr>
            <w:bookmarkStart w:id="0" w:name="_GoBack"/>
            <w:bookmarkEnd w:id="0"/>
            <w:r w:rsidRPr="00400DA3">
              <w:rPr>
                <w:rFonts w:ascii="Times New Roman" w:hAnsi="Times New Roman"/>
                <w:b/>
                <w:bCs/>
                <w:color w:val="000000"/>
                <w:sz w:val="24"/>
                <w:szCs w:val="24"/>
                <w:lang w:val="uk-UA"/>
              </w:rPr>
              <w:t xml:space="preserve">Додаток </w:t>
            </w:r>
            <w:r w:rsidR="00DC663B">
              <w:rPr>
                <w:rFonts w:ascii="Times New Roman" w:hAnsi="Times New Roman"/>
                <w:b/>
                <w:bCs/>
                <w:color w:val="000000"/>
                <w:sz w:val="24"/>
                <w:szCs w:val="24"/>
                <w:lang w:val="uk-UA"/>
              </w:rPr>
              <w:t>3</w:t>
            </w:r>
          </w:p>
        </w:tc>
      </w:tr>
      <w:tr w:rsidR="00B616B9" w:rsidRPr="00400DA3" w:rsidTr="001E6973">
        <w:trPr>
          <w:gridAfter w:val="1"/>
          <w:wAfter w:w="143" w:type="dxa"/>
          <w:trHeight w:hRule="exact" w:val="664"/>
        </w:trPr>
        <w:tc>
          <w:tcPr>
            <w:tcW w:w="9922" w:type="dxa"/>
            <w:gridSpan w:val="11"/>
            <w:tcBorders>
              <w:top w:val="nil"/>
              <w:left w:val="nil"/>
              <w:bottom w:val="nil"/>
              <w:right w:val="nil"/>
            </w:tcBorders>
          </w:tcPr>
          <w:p w:rsidR="00B616B9" w:rsidRPr="003F1946" w:rsidRDefault="00B616B9">
            <w:pPr>
              <w:widowControl w:val="0"/>
              <w:autoSpaceDE w:val="0"/>
              <w:autoSpaceDN w:val="0"/>
              <w:adjustRightInd w:val="0"/>
              <w:spacing w:before="29" w:after="0" w:line="294" w:lineRule="exact"/>
              <w:ind w:left="15"/>
              <w:jc w:val="center"/>
              <w:rPr>
                <w:rFonts w:ascii="Times New Roman" w:hAnsi="Times New Roman"/>
                <w:b/>
                <w:bCs/>
                <w:color w:val="000000"/>
                <w:sz w:val="28"/>
                <w:szCs w:val="28"/>
                <w:lang w:val="uk-UA"/>
              </w:rPr>
            </w:pPr>
            <w:r w:rsidRPr="003F1946">
              <w:rPr>
                <w:rFonts w:ascii="Times New Roman" w:hAnsi="Times New Roman"/>
                <w:b/>
                <w:bCs/>
                <w:color w:val="000000"/>
                <w:sz w:val="28"/>
                <w:szCs w:val="28"/>
                <w:lang w:val="uk-UA"/>
              </w:rPr>
              <w:t>Пояснювальна записка</w:t>
            </w:r>
            <w:r w:rsidRPr="003F1946">
              <w:rPr>
                <w:rFonts w:ascii="Times New Roman" w:hAnsi="Times New Roman"/>
                <w:b/>
                <w:bCs/>
                <w:color w:val="000000"/>
                <w:sz w:val="28"/>
                <w:szCs w:val="28"/>
                <w:lang w:val="uk-UA"/>
              </w:rPr>
              <w:br/>
              <w:t>до звіту про хід виконання</w:t>
            </w:r>
          </w:p>
        </w:tc>
      </w:tr>
      <w:tr w:rsidR="00B616B9" w:rsidRPr="00400DA3" w:rsidTr="001E6973">
        <w:trPr>
          <w:gridAfter w:val="1"/>
          <w:wAfter w:w="143" w:type="dxa"/>
          <w:trHeight w:hRule="exact" w:val="624"/>
        </w:trPr>
        <w:tc>
          <w:tcPr>
            <w:tcW w:w="9922" w:type="dxa"/>
            <w:gridSpan w:val="11"/>
            <w:tcBorders>
              <w:top w:val="nil"/>
              <w:left w:val="nil"/>
              <w:bottom w:val="nil"/>
              <w:right w:val="nil"/>
            </w:tcBorders>
          </w:tcPr>
          <w:p w:rsidR="00B616B9" w:rsidRPr="003F1946" w:rsidRDefault="00B616B9">
            <w:pPr>
              <w:widowControl w:val="0"/>
              <w:autoSpaceDE w:val="0"/>
              <w:autoSpaceDN w:val="0"/>
              <w:adjustRightInd w:val="0"/>
              <w:spacing w:before="29" w:after="0" w:line="294" w:lineRule="exact"/>
              <w:ind w:left="15"/>
              <w:jc w:val="center"/>
              <w:rPr>
                <w:rFonts w:ascii="Times New Roman" w:hAnsi="Times New Roman"/>
                <w:b/>
                <w:bCs/>
                <w:color w:val="000000"/>
                <w:sz w:val="28"/>
                <w:szCs w:val="28"/>
                <w:u w:val="single"/>
                <w:lang w:val="uk-UA"/>
              </w:rPr>
            </w:pPr>
            <w:r w:rsidRPr="003F1946">
              <w:rPr>
                <w:rFonts w:ascii="Times New Roman" w:hAnsi="Times New Roman"/>
                <w:b/>
                <w:bCs/>
                <w:color w:val="000000"/>
                <w:sz w:val="28"/>
                <w:szCs w:val="28"/>
                <w:u w:val="single"/>
                <w:lang w:val="uk-UA"/>
              </w:rPr>
              <w:t xml:space="preserve">Міська цільова комплексна програма профілактики та протидії злочинності </w:t>
            </w:r>
            <w:r w:rsidR="00C308FB" w:rsidRPr="003F1946">
              <w:rPr>
                <w:rFonts w:ascii="Times New Roman" w:hAnsi="Times New Roman"/>
                <w:b/>
                <w:bCs/>
                <w:color w:val="000000"/>
                <w:sz w:val="28"/>
                <w:szCs w:val="28"/>
                <w:u w:val="single"/>
                <w:lang w:val="uk-UA"/>
              </w:rPr>
              <w:t xml:space="preserve">       </w:t>
            </w:r>
            <w:r w:rsidRPr="003F1946">
              <w:rPr>
                <w:rFonts w:ascii="Times New Roman" w:hAnsi="Times New Roman"/>
                <w:b/>
                <w:bCs/>
                <w:color w:val="000000"/>
                <w:sz w:val="28"/>
                <w:szCs w:val="28"/>
                <w:u w:val="single"/>
                <w:lang w:val="uk-UA"/>
              </w:rPr>
              <w:t>в м. Києві "Безпечна столиця" на 2019 - 2021 роки</w:t>
            </w:r>
          </w:p>
        </w:tc>
      </w:tr>
      <w:tr w:rsidR="00B616B9" w:rsidRPr="00400DA3" w:rsidTr="001E6973">
        <w:trPr>
          <w:gridAfter w:val="1"/>
          <w:wAfter w:w="143" w:type="dxa"/>
          <w:trHeight w:hRule="exact" w:val="277"/>
        </w:trPr>
        <w:tc>
          <w:tcPr>
            <w:tcW w:w="9922" w:type="dxa"/>
            <w:gridSpan w:val="11"/>
            <w:tcBorders>
              <w:top w:val="nil"/>
              <w:left w:val="nil"/>
              <w:bottom w:val="nil"/>
              <w:right w:val="nil"/>
            </w:tcBorders>
          </w:tcPr>
          <w:p w:rsidR="00B616B9" w:rsidRPr="003F1946" w:rsidRDefault="00B616B9">
            <w:pPr>
              <w:widowControl w:val="0"/>
              <w:autoSpaceDE w:val="0"/>
              <w:autoSpaceDN w:val="0"/>
              <w:adjustRightInd w:val="0"/>
              <w:spacing w:before="29" w:after="0" w:line="180" w:lineRule="exact"/>
              <w:ind w:left="15"/>
              <w:jc w:val="center"/>
              <w:rPr>
                <w:rFonts w:ascii="Times New Roman" w:hAnsi="Times New Roman"/>
                <w:i/>
                <w:iCs/>
                <w:color w:val="000000"/>
                <w:sz w:val="28"/>
                <w:szCs w:val="28"/>
                <w:lang w:val="uk-UA"/>
              </w:rPr>
            </w:pPr>
            <w:r w:rsidRPr="003F1946">
              <w:rPr>
                <w:rFonts w:ascii="Times New Roman" w:hAnsi="Times New Roman"/>
                <w:i/>
                <w:iCs/>
                <w:color w:val="000000"/>
                <w:sz w:val="28"/>
                <w:szCs w:val="28"/>
                <w:lang w:val="uk-UA"/>
              </w:rPr>
              <w:t>назва міської цільової програми</w:t>
            </w:r>
          </w:p>
        </w:tc>
      </w:tr>
      <w:tr w:rsidR="00B616B9" w:rsidRPr="00400DA3" w:rsidTr="001E6973">
        <w:trPr>
          <w:gridAfter w:val="1"/>
          <w:wAfter w:w="143" w:type="dxa"/>
          <w:trHeight w:val="315"/>
        </w:trPr>
        <w:tc>
          <w:tcPr>
            <w:tcW w:w="9922" w:type="dxa"/>
            <w:gridSpan w:val="11"/>
            <w:tcBorders>
              <w:top w:val="nil"/>
              <w:left w:val="nil"/>
              <w:bottom w:val="nil"/>
              <w:right w:val="nil"/>
            </w:tcBorders>
          </w:tcPr>
          <w:p w:rsidR="00B616B9" w:rsidRPr="003F1946" w:rsidRDefault="00DC663B" w:rsidP="00DC663B">
            <w:pPr>
              <w:widowControl w:val="0"/>
              <w:autoSpaceDE w:val="0"/>
              <w:autoSpaceDN w:val="0"/>
              <w:adjustRightInd w:val="0"/>
              <w:spacing w:before="29" w:after="0" w:line="294" w:lineRule="exact"/>
              <w:ind w:left="15"/>
              <w:jc w:val="center"/>
              <w:rPr>
                <w:rFonts w:ascii="Times New Roman" w:hAnsi="Times New Roman"/>
                <w:b/>
                <w:bCs/>
                <w:color w:val="000000"/>
                <w:sz w:val="28"/>
                <w:szCs w:val="28"/>
                <w:lang w:val="uk-UA"/>
              </w:rPr>
            </w:pPr>
            <w:r w:rsidRPr="003F1946">
              <w:rPr>
                <w:rFonts w:ascii="Times New Roman" w:hAnsi="Times New Roman"/>
                <w:b/>
                <w:bCs/>
                <w:color w:val="000000"/>
                <w:sz w:val="28"/>
                <w:szCs w:val="28"/>
                <w:lang w:val="uk-UA"/>
              </w:rPr>
              <w:t>з</w:t>
            </w:r>
            <w:r w:rsidR="00B616B9" w:rsidRPr="003F1946">
              <w:rPr>
                <w:rFonts w:ascii="Times New Roman" w:hAnsi="Times New Roman"/>
                <w:b/>
                <w:bCs/>
                <w:color w:val="000000"/>
                <w:sz w:val="28"/>
                <w:szCs w:val="28"/>
                <w:lang w:val="uk-UA"/>
              </w:rPr>
              <w:t>а</w:t>
            </w:r>
            <w:r w:rsidRPr="003F1946">
              <w:rPr>
                <w:rFonts w:ascii="Times New Roman" w:hAnsi="Times New Roman"/>
                <w:b/>
                <w:bCs/>
                <w:color w:val="000000"/>
                <w:sz w:val="28"/>
                <w:szCs w:val="28"/>
                <w:lang w:val="uk-UA"/>
              </w:rPr>
              <w:t xml:space="preserve"> перший квартал </w:t>
            </w:r>
            <w:r w:rsidR="00B616B9" w:rsidRPr="003F1946">
              <w:rPr>
                <w:rFonts w:ascii="Times New Roman" w:hAnsi="Times New Roman"/>
                <w:b/>
                <w:bCs/>
                <w:color w:val="000000"/>
                <w:sz w:val="28"/>
                <w:szCs w:val="28"/>
                <w:lang w:val="uk-UA"/>
              </w:rPr>
              <w:t>20</w:t>
            </w:r>
            <w:r w:rsidRPr="003F1946">
              <w:rPr>
                <w:rFonts w:ascii="Times New Roman" w:hAnsi="Times New Roman"/>
                <w:b/>
                <w:bCs/>
                <w:color w:val="000000"/>
                <w:sz w:val="28"/>
                <w:szCs w:val="28"/>
                <w:lang w:val="uk-UA"/>
              </w:rPr>
              <w:t>20</w:t>
            </w:r>
            <w:r w:rsidR="00B616B9" w:rsidRPr="003F1946">
              <w:rPr>
                <w:rFonts w:ascii="Times New Roman" w:hAnsi="Times New Roman"/>
                <w:b/>
                <w:bCs/>
                <w:color w:val="000000"/>
                <w:sz w:val="28"/>
                <w:szCs w:val="28"/>
                <w:lang w:val="uk-UA"/>
              </w:rPr>
              <w:t xml:space="preserve"> р</w:t>
            </w:r>
            <w:r w:rsidRPr="003F1946">
              <w:rPr>
                <w:rFonts w:ascii="Times New Roman" w:hAnsi="Times New Roman"/>
                <w:b/>
                <w:bCs/>
                <w:color w:val="000000"/>
                <w:sz w:val="28"/>
                <w:szCs w:val="28"/>
                <w:lang w:val="uk-UA"/>
              </w:rPr>
              <w:t xml:space="preserve">оку </w:t>
            </w:r>
          </w:p>
        </w:tc>
      </w:tr>
      <w:tr w:rsidR="00B616B9" w:rsidRPr="00400DA3" w:rsidTr="001E6973">
        <w:trPr>
          <w:gridAfter w:val="1"/>
          <w:wAfter w:w="143" w:type="dxa"/>
          <w:trHeight w:hRule="exact" w:val="419"/>
        </w:trPr>
        <w:tc>
          <w:tcPr>
            <w:tcW w:w="9922" w:type="dxa"/>
            <w:gridSpan w:val="11"/>
            <w:tcBorders>
              <w:top w:val="nil"/>
              <w:left w:val="nil"/>
              <w:bottom w:val="nil"/>
              <w:right w:val="nil"/>
            </w:tcBorders>
          </w:tcPr>
          <w:p w:rsidR="00B616B9" w:rsidRPr="003F1946" w:rsidRDefault="00B616B9" w:rsidP="007B33DC">
            <w:pPr>
              <w:widowControl w:val="0"/>
              <w:numPr>
                <w:ilvl w:val="0"/>
                <w:numId w:val="1"/>
              </w:numPr>
              <w:autoSpaceDE w:val="0"/>
              <w:autoSpaceDN w:val="0"/>
              <w:adjustRightInd w:val="0"/>
              <w:spacing w:before="29" w:after="0" w:line="256" w:lineRule="exact"/>
              <w:jc w:val="center"/>
              <w:rPr>
                <w:rFonts w:ascii="Times New Roman" w:hAnsi="Times New Roman"/>
                <w:b/>
                <w:bCs/>
                <w:color w:val="000000"/>
                <w:sz w:val="28"/>
                <w:szCs w:val="28"/>
                <w:lang w:val="uk-UA"/>
              </w:rPr>
            </w:pPr>
            <w:r w:rsidRPr="003F1946">
              <w:rPr>
                <w:rFonts w:ascii="Times New Roman" w:hAnsi="Times New Roman"/>
                <w:b/>
                <w:bCs/>
                <w:color w:val="000000"/>
                <w:sz w:val="28"/>
                <w:szCs w:val="28"/>
                <w:lang w:val="uk-UA"/>
              </w:rPr>
              <w:t>Узагальнені результати виконання завдань та заходів програми:</w:t>
            </w:r>
          </w:p>
        </w:tc>
      </w:tr>
      <w:tr w:rsidR="00B616B9" w:rsidRPr="00400DA3" w:rsidTr="001E6973">
        <w:trPr>
          <w:gridAfter w:val="1"/>
          <w:wAfter w:w="143" w:type="dxa"/>
          <w:trHeight w:hRule="exact" w:val="274"/>
        </w:trPr>
        <w:tc>
          <w:tcPr>
            <w:tcW w:w="8017" w:type="dxa"/>
            <w:gridSpan w:val="9"/>
            <w:tcBorders>
              <w:top w:val="single" w:sz="8" w:space="0" w:color="000000"/>
              <w:left w:val="single" w:sz="8" w:space="0" w:color="000000"/>
              <w:bottom w:val="single" w:sz="8" w:space="0" w:color="000000"/>
              <w:right w:val="single" w:sz="8" w:space="0" w:color="000000"/>
            </w:tcBorders>
          </w:tcPr>
          <w:p w:rsidR="00B616B9" w:rsidRPr="00400DA3" w:rsidRDefault="00B616B9">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Кількість заходів програми, од.</w:t>
            </w:r>
          </w:p>
        </w:tc>
        <w:tc>
          <w:tcPr>
            <w:tcW w:w="1905" w:type="dxa"/>
            <w:gridSpan w:val="2"/>
            <w:vMerge w:val="restart"/>
            <w:tcBorders>
              <w:top w:val="single" w:sz="8" w:space="0" w:color="000000"/>
              <w:left w:val="single" w:sz="8" w:space="0" w:color="000000"/>
              <w:bottom w:val="single" w:sz="8" w:space="0" w:color="000000"/>
              <w:right w:val="single" w:sz="8" w:space="0" w:color="000000"/>
            </w:tcBorders>
          </w:tcPr>
          <w:p w:rsidR="00B616B9" w:rsidRPr="00400DA3" w:rsidRDefault="00B616B9" w:rsidP="007A0F61">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Відсоток виконаних заходів</w:t>
            </w:r>
            <w:r w:rsidR="007A0F61" w:rsidRPr="00400DA3">
              <w:rPr>
                <w:rFonts w:ascii="Times New Roman" w:hAnsi="Times New Roman"/>
                <w:color w:val="000000"/>
                <w:sz w:val="24"/>
                <w:szCs w:val="24"/>
                <w:lang w:val="uk-UA"/>
              </w:rPr>
              <w:t>,</w:t>
            </w:r>
            <w:r w:rsidRPr="00400DA3">
              <w:rPr>
                <w:rFonts w:ascii="Times New Roman" w:hAnsi="Times New Roman"/>
                <w:color w:val="000000"/>
                <w:sz w:val="24"/>
                <w:szCs w:val="24"/>
                <w:lang w:val="uk-UA"/>
              </w:rPr>
              <w:t xml:space="preserve"> %</w:t>
            </w:r>
          </w:p>
        </w:tc>
      </w:tr>
      <w:tr w:rsidR="00B616B9" w:rsidRPr="00400DA3" w:rsidTr="001E6973">
        <w:trPr>
          <w:gridAfter w:val="1"/>
          <w:wAfter w:w="143" w:type="dxa"/>
          <w:trHeight w:hRule="exact" w:val="591"/>
        </w:trPr>
        <w:tc>
          <w:tcPr>
            <w:tcW w:w="2670" w:type="dxa"/>
            <w:gridSpan w:val="3"/>
            <w:tcBorders>
              <w:top w:val="single" w:sz="8" w:space="0" w:color="000000"/>
              <w:left w:val="single" w:sz="8" w:space="0" w:color="000000"/>
              <w:bottom w:val="single" w:sz="8" w:space="0" w:color="000000"/>
              <w:right w:val="single" w:sz="8" w:space="0" w:color="000000"/>
            </w:tcBorders>
          </w:tcPr>
          <w:p w:rsidR="00B616B9" w:rsidRPr="00400DA3" w:rsidRDefault="00B616B9">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Всього</w:t>
            </w:r>
          </w:p>
        </w:tc>
        <w:tc>
          <w:tcPr>
            <w:tcW w:w="2674" w:type="dxa"/>
            <w:gridSpan w:val="3"/>
            <w:tcBorders>
              <w:top w:val="single" w:sz="8" w:space="0" w:color="000000"/>
              <w:left w:val="single" w:sz="8" w:space="0" w:color="000000"/>
              <w:bottom w:val="single" w:sz="8" w:space="0" w:color="000000"/>
              <w:right w:val="single" w:sz="8" w:space="0" w:color="000000"/>
            </w:tcBorders>
          </w:tcPr>
          <w:p w:rsidR="00B616B9" w:rsidRPr="00400DA3" w:rsidRDefault="00B616B9">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Виконаних</w:t>
            </w:r>
          </w:p>
        </w:tc>
        <w:tc>
          <w:tcPr>
            <w:tcW w:w="2673" w:type="dxa"/>
            <w:gridSpan w:val="3"/>
            <w:tcBorders>
              <w:top w:val="single" w:sz="8" w:space="0" w:color="000000"/>
              <w:left w:val="single" w:sz="8" w:space="0" w:color="000000"/>
              <w:bottom w:val="single" w:sz="8" w:space="0" w:color="000000"/>
              <w:right w:val="single" w:sz="8" w:space="0" w:color="000000"/>
            </w:tcBorders>
          </w:tcPr>
          <w:p w:rsidR="00B616B9" w:rsidRPr="00400DA3" w:rsidRDefault="00B616B9">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Невиконаних</w:t>
            </w:r>
          </w:p>
        </w:tc>
        <w:tc>
          <w:tcPr>
            <w:tcW w:w="1905" w:type="dxa"/>
            <w:gridSpan w:val="2"/>
            <w:vMerge/>
            <w:tcBorders>
              <w:top w:val="single" w:sz="8" w:space="0" w:color="000000"/>
              <w:left w:val="single" w:sz="8" w:space="0" w:color="000000"/>
              <w:bottom w:val="single" w:sz="8" w:space="0" w:color="000000"/>
              <w:right w:val="single" w:sz="8" w:space="0" w:color="000000"/>
            </w:tcBorders>
          </w:tcPr>
          <w:p w:rsidR="00B616B9" w:rsidRPr="00400DA3" w:rsidRDefault="00B616B9">
            <w:pPr>
              <w:widowControl w:val="0"/>
              <w:autoSpaceDE w:val="0"/>
              <w:autoSpaceDN w:val="0"/>
              <w:adjustRightInd w:val="0"/>
              <w:spacing w:after="0" w:line="240" w:lineRule="auto"/>
              <w:jc w:val="center"/>
              <w:rPr>
                <w:rFonts w:ascii="Tahoma" w:hAnsi="Tahoma" w:cs="Tahoma"/>
                <w:sz w:val="18"/>
                <w:szCs w:val="18"/>
                <w:lang w:val="uk-UA"/>
              </w:rPr>
            </w:pPr>
          </w:p>
        </w:tc>
      </w:tr>
      <w:tr w:rsidR="0013694B" w:rsidRPr="00400DA3" w:rsidTr="001E6973">
        <w:trPr>
          <w:gridAfter w:val="1"/>
          <w:wAfter w:w="143" w:type="dxa"/>
          <w:trHeight w:hRule="exact" w:val="274"/>
        </w:trPr>
        <w:tc>
          <w:tcPr>
            <w:tcW w:w="2670" w:type="dxa"/>
            <w:gridSpan w:val="3"/>
            <w:tcBorders>
              <w:top w:val="single" w:sz="8" w:space="0" w:color="000000"/>
              <w:left w:val="single" w:sz="8" w:space="0" w:color="000000"/>
              <w:bottom w:val="single" w:sz="8" w:space="0" w:color="000000"/>
              <w:right w:val="single" w:sz="8" w:space="0" w:color="000000"/>
            </w:tcBorders>
          </w:tcPr>
          <w:p w:rsidR="0013694B" w:rsidRDefault="0013694B" w:rsidP="004F552D">
            <w:pPr>
              <w:widowControl w:val="0"/>
              <w:autoSpaceDE w:val="0"/>
              <w:autoSpaceDN w:val="0"/>
              <w:adjustRightInd w:val="0"/>
              <w:spacing w:before="30" w:after="0" w:line="265" w:lineRule="exact"/>
              <w:ind w:left="15"/>
              <w:jc w:val="center"/>
              <w:rPr>
                <w:rFonts w:ascii="Times New Roman" w:hAnsi="Times New Roman"/>
                <w:color w:val="000000"/>
                <w:sz w:val="24"/>
                <w:szCs w:val="24"/>
              </w:rPr>
            </w:pPr>
            <w:r>
              <w:rPr>
                <w:rFonts w:ascii="Times New Roman" w:hAnsi="Times New Roman"/>
                <w:color w:val="000000"/>
                <w:sz w:val="24"/>
                <w:szCs w:val="24"/>
              </w:rPr>
              <w:t>33</w:t>
            </w:r>
          </w:p>
        </w:tc>
        <w:tc>
          <w:tcPr>
            <w:tcW w:w="2674" w:type="dxa"/>
            <w:gridSpan w:val="3"/>
            <w:tcBorders>
              <w:top w:val="single" w:sz="8" w:space="0" w:color="000000"/>
              <w:left w:val="single" w:sz="8" w:space="0" w:color="000000"/>
              <w:bottom w:val="single" w:sz="8" w:space="0" w:color="000000"/>
              <w:right w:val="single" w:sz="8" w:space="0" w:color="000000"/>
            </w:tcBorders>
          </w:tcPr>
          <w:p w:rsidR="0013694B" w:rsidRDefault="0013694B" w:rsidP="004F552D">
            <w:pPr>
              <w:widowControl w:val="0"/>
              <w:autoSpaceDE w:val="0"/>
              <w:autoSpaceDN w:val="0"/>
              <w:adjustRightInd w:val="0"/>
              <w:spacing w:before="30" w:after="0" w:line="265" w:lineRule="exact"/>
              <w:ind w:left="15"/>
              <w:jc w:val="center"/>
              <w:rPr>
                <w:rFonts w:ascii="Times New Roman" w:hAnsi="Times New Roman"/>
                <w:color w:val="000000"/>
                <w:sz w:val="24"/>
                <w:szCs w:val="24"/>
              </w:rPr>
            </w:pPr>
            <w:r>
              <w:rPr>
                <w:rFonts w:ascii="Times New Roman" w:hAnsi="Times New Roman"/>
                <w:color w:val="000000"/>
                <w:sz w:val="24"/>
                <w:szCs w:val="24"/>
              </w:rPr>
              <w:t>16</w:t>
            </w:r>
          </w:p>
        </w:tc>
        <w:tc>
          <w:tcPr>
            <w:tcW w:w="2673" w:type="dxa"/>
            <w:gridSpan w:val="3"/>
            <w:tcBorders>
              <w:top w:val="single" w:sz="8" w:space="0" w:color="000000"/>
              <w:left w:val="single" w:sz="8" w:space="0" w:color="000000"/>
              <w:bottom w:val="single" w:sz="8" w:space="0" w:color="000000"/>
              <w:right w:val="single" w:sz="8" w:space="0" w:color="000000"/>
            </w:tcBorders>
          </w:tcPr>
          <w:p w:rsidR="0013694B" w:rsidRDefault="0013694B" w:rsidP="004F552D">
            <w:pPr>
              <w:widowControl w:val="0"/>
              <w:autoSpaceDE w:val="0"/>
              <w:autoSpaceDN w:val="0"/>
              <w:adjustRightInd w:val="0"/>
              <w:spacing w:before="30" w:after="0" w:line="265" w:lineRule="exact"/>
              <w:ind w:left="15"/>
              <w:jc w:val="center"/>
              <w:rPr>
                <w:rFonts w:ascii="Times New Roman" w:hAnsi="Times New Roman"/>
                <w:color w:val="000000"/>
                <w:sz w:val="24"/>
                <w:szCs w:val="24"/>
              </w:rPr>
            </w:pPr>
            <w:r>
              <w:rPr>
                <w:rFonts w:ascii="Times New Roman" w:hAnsi="Times New Roman"/>
                <w:color w:val="000000"/>
                <w:sz w:val="24"/>
                <w:szCs w:val="24"/>
              </w:rPr>
              <w:t>17</w:t>
            </w:r>
          </w:p>
        </w:tc>
        <w:tc>
          <w:tcPr>
            <w:tcW w:w="1905" w:type="dxa"/>
            <w:gridSpan w:val="2"/>
            <w:tcBorders>
              <w:top w:val="single" w:sz="8" w:space="0" w:color="000000"/>
              <w:left w:val="single" w:sz="8" w:space="0" w:color="000000"/>
              <w:bottom w:val="single" w:sz="8" w:space="0" w:color="000000"/>
              <w:right w:val="single" w:sz="8" w:space="0" w:color="000000"/>
            </w:tcBorders>
          </w:tcPr>
          <w:p w:rsidR="0013694B" w:rsidRDefault="0013694B" w:rsidP="004F552D">
            <w:pPr>
              <w:widowControl w:val="0"/>
              <w:autoSpaceDE w:val="0"/>
              <w:autoSpaceDN w:val="0"/>
              <w:adjustRightInd w:val="0"/>
              <w:spacing w:before="30" w:after="0" w:line="265" w:lineRule="exact"/>
              <w:ind w:left="15"/>
              <w:jc w:val="center"/>
              <w:rPr>
                <w:rFonts w:ascii="Times New Roman" w:hAnsi="Times New Roman"/>
                <w:color w:val="000000"/>
                <w:sz w:val="24"/>
                <w:szCs w:val="24"/>
              </w:rPr>
            </w:pPr>
            <w:r>
              <w:rPr>
                <w:rFonts w:ascii="Times New Roman" w:hAnsi="Times New Roman"/>
                <w:color w:val="000000"/>
                <w:sz w:val="24"/>
                <w:szCs w:val="24"/>
              </w:rPr>
              <w:t>48,48</w:t>
            </w:r>
          </w:p>
        </w:tc>
      </w:tr>
      <w:tr w:rsidR="004F552D" w:rsidRPr="004F552D" w:rsidTr="001E6973">
        <w:trPr>
          <w:gridAfter w:val="1"/>
          <w:wAfter w:w="143" w:type="dxa"/>
          <w:trHeight w:val="315"/>
        </w:trPr>
        <w:tc>
          <w:tcPr>
            <w:tcW w:w="9922" w:type="dxa"/>
            <w:gridSpan w:val="11"/>
            <w:tcBorders>
              <w:top w:val="nil"/>
              <w:left w:val="nil"/>
              <w:bottom w:val="nil"/>
              <w:right w:val="nil"/>
            </w:tcBorders>
          </w:tcPr>
          <w:p w:rsidR="004F552D" w:rsidRPr="003F1946" w:rsidRDefault="004F552D" w:rsidP="003F1946">
            <w:pPr>
              <w:pStyle w:val="a3"/>
              <w:widowControl w:val="0"/>
              <w:numPr>
                <w:ilvl w:val="1"/>
                <w:numId w:val="2"/>
              </w:numPr>
              <w:autoSpaceDE w:val="0"/>
              <w:autoSpaceDN w:val="0"/>
              <w:adjustRightInd w:val="0"/>
              <w:spacing w:before="30" w:after="0" w:line="265" w:lineRule="exact"/>
              <w:jc w:val="center"/>
              <w:rPr>
                <w:rFonts w:ascii="Times New Roman" w:hAnsi="Times New Roman"/>
                <w:color w:val="000000"/>
                <w:sz w:val="24"/>
                <w:szCs w:val="24"/>
                <w:lang w:val="uk-UA"/>
              </w:rPr>
            </w:pPr>
            <w:r w:rsidRPr="003F1946">
              <w:rPr>
                <w:rFonts w:ascii="Times New Roman" w:hAnsi="Times New Roman"/>
                <w:color w:val="000000"/>
                <w:sz w:val="24"/>
                <w:szCs w:val="24"/>
                <w:lang w:val="uk-UA"/>
              </w:rPr>
              <w:t>Перелік найбільш вагомих виконаних заходів</w:t>
            </w:r>
          </w:p>
        </w:tc>
      </w:tr>
      <w:tr w:rsidR="004F552D" w:rsidRPr="004F552D" w:rsidTr="001E6973">
        <w:trPr>
          <w:trHeight w:val="315"/>
        </w:trPr>
        <w:tc>
          <w:tcPr>
            <w:tcW w:w="10065" w:type="dxa"/>
            <w:gridSpan w:val="12"/>
            <w:tcBorders>
              <w:top w:val="nil"/>
              <w:left w:val="nil"/>
              <w:bottom w:val="nil"/>
              <w:right w:val="nil"/>
            </w:tcBorders>
          </w:tcPr>
          <w:p w:rsidR="004F552D" w:rsidRPr="004F552D" w:rsidRDefault="004F552D" w:rsidP="00A14BAE">
            <w:pPr>
              <w:widowControl w:val="0"/>
              <w:autoSpaceDE w:val="0"/>
              <w:autoSpaceDN w:val="0"/>
              <w:adjustRightInd w:val="0"/>
              <w:spacing w:before="29" w:after="0" w:line="294" w:lineRule="exact"/>
              <w:ind w:left="15" w:right="126" w:firstLine="396"/>
              <w:jc w:val="both"/>
              <w:rPr>
                <w:rFonts w:ascii="Times New Roman" w:hAnsi="Times New Roman"/>
                <w:b/>
                <w:bCs/>
                <w:color w:val="000000"/>
                <w:sz w:val="24"/>
                <w:szCs w:val="24"/>
                <w:lang w:val="uk-UA"/>
              </w:rPr>
            </w:pPr>
            <w:r w:rsidRPr="004F552D">
              <w:rPr>
                <w:rFonts w:ascii="Times New Roman" w:hAnsi="Times New Roman"/>
                <w:color w:val="000000"/>
                <w:sz w:val="24"/>
                <w:szCs w:val="24"/>
                <w:lang w:val="uk-UA"/>
              </w:rPr>
              <w:t>1.1.1 Правової освіти та виховання, профілактики правопорушень бездоглядності, безпритульності підростаючого покоління тощо</w:t>
            </w:r>
            <w:r w:rsidR="00A14BAE">
              <w:rPr>
                <w:rFonts w:ascii="Times New Roman" w:hAnsi="Times New Roman"/>
                <w:color w:val="000000"/>
                <w:sz w:val="24"/>
                <w:szCs w:val="24"/>
                <w:lang w:val="uk-UA"/>
              </w:rPr>
              <w:t>.</w:t>
            </w:r>
            <w:r w:rsidRPr="004F552D">
              <w:rPr>
                <w:rFonts w:ascii="Times New Roman" w:hAnsi="Times New Roman"/>
                <w:color w:val="000000"/>
                <w:sz w:val="24"/>
                <w:szCs w:val="24"/>
                <w:lang w:val="uk-UA"/>
              </w:rPr>
              <w:t xml:space="preserve">  </w:t>
            </w:r>
          </w:p>
        </w:tc>
      </w:tr>
      <w:tr w:rsidR="004F552D" w:rsidRPr="004F552D" w:rsidTr="001E6973">
        <w:trPr>
          <w:trHeight w:val="854"/>
        </w:trPr>
        <w:tc>
          <w:tcPr>
            <w:tcW w:w="10065" w:type="dxa"/>
            <w:gridSpan w:val="12"/>
            <w:tcBorders>
              <w:top w:val="nil"/>
              <w:left w:val="nil"/>
              <w:bottom w:val="nil"/>
              <w:right w:val="nil"/>
            </w:tcBorders>
          </w:tcPr>
          <w:p w:rsidR="004F552D" w:rsidRPr="004F552D" w:rsidRDefault="004F552D" w:rsidP="003F1946">
            <w:pPr>
              <w:widowControl w:val="0"/>
              <w:autoSpaceDE w:val="0"/>
              <w:autoSpaceDN w:val="0"/>
              <w:adjustRightInd w:val="0"/>
              <w:spacing w:before="30" w:after="0" w:line="265" w:lineRule="exact"/>
              <w:ind w:left="15" w:right="126" w:firstLine="396"/>
              <w:jc w:val="both"/>
              <w:rPr>
                <w:rFonts w:ascii="Times New Roman" w:hAnsi="Times New Roman"/>
                <w:b/>
                <w:bCs/>
                <w:color w:val="000000"/>
                <w:sz w:val="24"/>
                <w:szCs w:val="24"/>
                <w:lang w:val="uk-UA"/>
              </w:rPr>
            </w:pPr>
            <w:r w:rsidRPr="004F552D">
              <w:rPr>
                <w:rFonts w:ascii="Times New Roman" w:hAnsi="Times New Roman"/>
                <w:color w:val="000000"/>
                <w:sz w:val="24"/>
                <w:szCs w:val="24"/>
                <w:lang w:val="uk-UA"/>
              </w:rPr>
              <w:t>1.1.2 Профілактика терористичної і техногенної загрози, поведінки в надзвичайних ситуаціях, надання і отримання допомоги. Організація навчань з евакуації у закладах освіти під час проведення "Дня цивільного захис</w:t>
            </w:r>
            <w:r w:rsidR="003F1946">
              <w:rPr>
                <w:rFonts w:ascii="Times New Roman" w:hAnsi="Times New Roman"/>
                <w:color w:val="000000"/>
                <w:sz w:val="24"/>
                <w:szCs w:val="24"/>
                <w:lang w:val="uk-UA"/>
              </w:rPr>
              <w:t>т</w:t>
            </w:r>
            <w:r w:rsidRPr="004F552D">
              <w:rPr>
                <w:rFonts w:ascii="Times New Roman" w:hAnsi="Times New Roman"/>
                <w:color w:val="000000"/>
                <w:sz w:val="24"/>
                <w:szCs w:val="24"/>
                <w:lang w:val="uk-UA"/>
              </w:rPr>
              <w:t>у" та Тижня безпеки дитини"</w:t>
            </w:r>
            <w:r w:rsidR="00A14BAE">
              <w:rPr>
                <w:rFonts w:ascii="Times New Roman" w:hAnsi="Times New Roman"/>
                <w:color w:val="000000"/>
                <w:sz w:val="24"/>
                <w:szCs w:val="24"/>
                <w:lang w:val="uk-UA"/>
              </w:rPr>
              <w:t>.</w:t>
            </w:r>
            <w:r w:rsidRPr="004F552D">
              <w:rPr>
                <w:rFonts w:ascii="Times New Roman" w:hAnsi="Times New Roman"/>
                <w:color w:val="000000"/>
                <w:sz w:val="24"/>
                <w:szCs w:val="24"/>
                <w:lang w:val="uk-UA"/>
              </w:rPr>
              <w:t xml:space="preserve">  </w:t>
            </w:r>
          </w:p>
        </w:tc>
      </w:tr>
      <w:tr w:rsidR="004F552D" w:rsidRPr="004F552D" w:rsidTr="001E6973">
        <w:trPr>
          <w:trHeight w:val="315"/>
        </w:trPr>
        <w:tc>
          <w:tcPr>
            <w:tcW w:w="10065" w:type="dxa"/>
            <w:gridSpan w:val="12"/>
            <w:tcBorders>
              <w:top w:val="nil"/>
              <w:left w:val="nil"/>
              <w:bottom w:val="nil"/>
              <w:right w:val="nil"/>
            </w:tcBorders>
          </w:tcPr>
          <w:p w:rsidR="004F552D" w:rsidRPr="004F552D" w:rsidRDefault="004F552D" w:rsidP="00A14BAE">
            <w:pPr>
              <w:widowControl w:val="0"/>
              <w:autoSpaceDE w:val="0"/>
              <w:autoSpaceDN w:val="0"/>
              <w:adjustRightInd w:val="0"/>
              <w:spacing w:before="30" w:after="0" w:line="265" w:lineRule="exact"/>
              <w:ind w:left="15" w:right="126" w:firstLine="396"/>
              <w:jc w:val="both"/>
              <w:rPr>
                <w:rFonts w:ascii="Times New Roman" w:hAnsi="Times New Roman"/>
                <w:color w:val="000000"/>
                <w:sz w:val="24"/>
                <w:szCs w:val="24"/>
                <w:lang w:val="uk-UA"/>
              </w:rPr>
            </w:pPr>
            <w:r w:rsidRPr="004F552D">
              <w:rPr>
                <w:rFonts w:ascii="Times New Roman" w:hAnsi="Times New Roman"/>
                <w:color w:val="000000"/>
                <w:sz w:val="24"/>
                <w:szCs w:val="24"/>
                <w:lang w:val="uk-UA"/>
              </w:rPr>
              <w:t>1.7. Раннє виявлення, соціально-правовий захист та облік дітей, які опинились у складних життєвих обставинах через ухиляння батьків від виконання батьківських обов’язків, схильність до систематичного самовільного залишення місця постійного проживання, вчинення насильства над дітьми, залучення до найгірших форм дитячої праці, переміщення дитини-сироти або дитини, позбавленої батьківського піклування, з тимчасово окупованої території або району проведення антитерористичної операції</w:t>
            </w:r>
            <w:r w:rsidR="00A14BAE">
              <w:rPr>
                <w:rFonts w:ascii="Times New Roman" w:hAnsi="Times New Roman"/>
                <w:color w:val="000000"/>
                <w:sz w:val="24"/>
                <w:szCs w:val="24"/>
                <w:lang w:val="uk-UA"/>
              </w:rPr>
              <w:t>.</w:t>
            </w:r>
          </w:p>
        </w:tc>
      </w:tr>
      <w:tr w:rsidR="004F552D" w:rsidRPr="004F552D" w:rsidTr="001E6973">
        <w:trPr>
          <w:trHeight w:val="315"/>
        </w:trPr>
        <w:tc>
          <w:tcPr>
            <w:tcW w:w="10065" w:type="dxa"/>
            <w:gridSpan w:val="12"/>
            <w:tcBorders>
              <w:top w:val="nil"/>
              <w:left w:val="nil"/>
              <w:bottom w:val="nil"/>
              <w:right w:val="nil"/>
            </w:tcBorders>
          </w:tcPr>
          <w:p w:rsidR="004F552D" w:rsidRPr="004F552D" w:rsidRDefault="004F552D" w:rsidP="003F1946">
            <w:pPr>
              <w:widowControl w:val="0"/>
              <w:autoSpaceDE w:val="0"/>
              <w:autoSpaceDN w:val="0"/>
              <w:adjustRightInd w:val="0"/>
              <w:spacing w:before="30" w:after="0" w:line="265" w:lineRule="exact"/>
              <w:ind w:left="15" w:right="126" w:firstLine="396"/>
              <w:jc w:val="both"/>
              <w:rPr>
                <w:rFonts w:ascii="Times New Roman" w:hAnsi="Times New Roman"/>
                <w:color w:val="000000"/>
                <w:sz w:val="24"/>
                <w:szCs w:val="24"/>
                <w:lang w:val="uk-UA"/>
              </w:rPr>
            </w:pPr>
            <w:r w:rsidRPr="004F552D">
              <w:rPr>
                <w:rFonts w:ascii="Times New Roman" w:hAnsi="Times New Roman"/>
                <w:color w:val="000000"/>
                <w:sz w:val="24"/>
                <w:szCs w:val="24"/>
                <w:lang w:val="uk-UA"/>
              </w:rPr>
              <w:t>1.9.2.Виявлення реклами наркотичних засобів та проведення заходів з припинення діяльності вказаних сайтів, встановлення і затримання винних осіб, вирішення питання щодо притягнення до відповідальності рекламодавців та закриття сайтів. Ліквідація такої зовнішньої реклами.</w:t>
            </w:r>
          </w:p>
        </w:tc>
      </w:tr>
      <w:tr w:rsidR="004F552D" w:rsidRPr="004F552D" w:rsidTr="001E6973">
        <w:trPr>
          <w:trHeight w:val="315"/>
        </w:trPr>
        <w:tc>
          <w:tcPr>
            <w:tcW w:w="10065" w:type="dxa"/>
            <w:gridSpan w:val="12"/>
            <w:tcBorders>
              <w:top w:val="nil"/>
              <w:left w:val="nil"/>
              <w:bottom w:val="nil"/>
              <w:right w:val="nil"/>
            </w:tcBorders>
          </w:tcPr>
          <w:p w:rsidR="004F552D" w:rsidRPr="003F1946" w:rsidRDefault="004F552D" w:rsidP="003F1946">
            <w:pPr>
              <w:pStyle w:val="a3"/>
              <w:widowControl w:val="0"/>
              <w:numPr>
                <w:ilvl w:val="1"/>
                <w:numId w:val="1"/>
              </w:numPr>
              <w:autoSpaceDE w:val="0"/>
              <w:autoSpaceDN w:val="0"/>
              <w:adjustRightInd w:val="0"/>
              <w:spacing w:before="29" w:after="0" w:line="294" w:lineRule="exact"/>
              <w:ind w:right="126"/>
              <w:jc w:val="both"/>
              <w:rPr>
                <w:rFonts w:ascii="Times New Roman" w:hAnsi="Times New Roman"/>
                <w:b/>
                <w:bCs/>
                <w:color w:val="000000"/>
                <w:sz w:val="24"/>
                <w:szCs w:val="24"/>
                <w:lang w:val="uk-UA"/>
              </w:rPr>
            </w:pPr>
            <w:r w:rsidRPr="003F1946">
              <w:rPr>
                <w:rFonts w:ascii="Times New Roman" w:hAnsi="Times New Roman"/>
                <w:color w:val="000000"/>
                <w:sz w:val="24"/>
                <w:szCs w:val="24"/>
                <w:lang w:val="uk-UA"/>
              </w:rPr>
              <w:t>Перелік найбільш вагомих невиконаних заходів</w:t>
            </w:r>
          </w:p>
        </w:tc>
      </w:tr>
      <w:tr w:rsidR="004F552D" w:rsidRPr="004F552D" w:rsidTr="001E6973">
        <w:trPr>
          <w:trHeight w:val="315"/>
        </w:trPr>
        <w:tc>
          <w:tcPr>
            <w:tcW w:w="10065" w:type="dxa"/>
            <w:gridSpan w:val="12"/>
            <w:tcBorders>
              <w:top w:val="nil"/>
              <w:left w:val="nil"/>
              <w:bottom w:val="nil"/>
              <w:right w:val="nil"/>
            </w:tcBorders>
          </w:tcPr>
          <w:p w:rsidR="004F552D" w:rsidRPr="004F552D" w:rsidRDefault="004F552D" w:rsidP="00A14BAE">
            <w:pPr>
              <w:widowControl w:val="0"/>
              <w:autoSpaceDE w:val="0"/>
              <w:autoSpaceDN w:val="0"/>
              <w:adjustRightInd w:val="0"/>
              <w:spacing w:before="30" w:after="0" w:line="265" w:lineRule="exact"/>
              <w:ind w:left="15" w:right="126" w:firstLine="396"/>
              <w:jc w:val="both"/>
              <w:rPr>
                <w:rFonts w:ascii="Times New Roman" w:hAnsi="Times New Roman"/>
                <w:color w:val="000000"/>
                <w:sz w:val="24"/>
                <w:szCs w:val="24"/>
                <w:lang w:val="uk-UA"/>
              </w:rPr>
            </w:pPr>
            <w:r w:rsidRPr="004F552D">
              <w:rPr>
                <w:rFonts w:ascii="Times New Roman" w:hAnsi="Times New Roman"/>
                <w:color w:val="000000"/>
                <w:sz w:val="24"/>
                <w:szCs w:val="24"/>
                <w:lang w:val="uk-UA"/>
              </w:rPr>
              <w:t>2.1. Обладнання у 7 районах територіальних управліннях поліції ГУ НП відповідно до міжнародних стандартів «зелених кімнат» для проведення процесуальних заходів з дітьми (крім Голосіївського, Дарницького, Солом’янського)</w:t>
            </w:r>
            <w:r w:rsidR="00A14BAE">
              <w:rPr>
                <w:rFonts w:ascii="Times New Roman" w:hAnsi="Times New Roman"/>
                <w:color w:val="000000"/>
                <w:sz w:val="24"/>
                <w:szCs w:val="24"/>
                <w:lang w:val="uk-UA"/>
              </w:rPr>
              <w:t>.</w:t>
            </w:r>
          </w:p>
        </w:tc>
      </w:tr>
      <w:tr w:rsidR="004F552D" w:rsidRPr="00A14BAE" w:rsidTr="001E6973">
        <w:trPr>
          <w:trHeight w:val="315"/>
        </w:trPr>
        <w:tc>
          <w:tcPr>
            <w:tcW w:w="10065" w:type="dxa"/>
            <w:gridSpan w:val="12"/>
            <w:tcBorders>
              <w:top w:val="nil"/>
              <w:left w:val="nil"/>
              <w:bottom w:val="nil"/>
              <w:right w:val="nil"/>
            </w:tcBorders>
          </w:tcPr>
          <w:p w:rsidR="004F552D" w:rsidRPr="004F552D" w:rsidRDefault="004F552D" w:rsidP="003F1946">
            <w:pPr>
              <w:widowControl w:val="0"/>
              <w:autoSpaceDE w:val="0"/>
              <w:autoSpaceDN w:val="0"/>
              <w:adjustRightInd w:val="0"/>
              <w:spacing w:before="30" w:after="0" w:line="265" w:lineRule="exact"/>
              <w:ind w:left="15" w:firstLine="396"/>
              <w:jc w:val="both"/>
              <w:rPr>
                <w:rFonts w:ascii="Times New Roman" w:hAnsi="Times New Roman"/>
                <w:color w:val="000000"/>
                <w:sz w:val="24"/>
                <w:szCs w:val="24"/>
                <w:lang w:val="uk-UA"/>
              </w:rPr>
            </w:pPr>
            <w:r w:rsidRPr="004F552D">
              <w:rPr>
                <w:rFonts w:ascii="Times New Roman" w:hAnsi="Times New Roman"/>
                <w:color w:val="000000"/>
                <w:sz w:val="24"/>
                <w:szCs w:val="24"/>
                <w:lang w:val="uk-UA"/>
              </w:rPr>
              <w:t xml:space="preserve">      Причини невиконання: </w:t>
            </w:r>
            <w:r w:rsidR="003F1946" w:rsidRPr="004F552D">
              <w:rPr>
                <w:rFonts w:ascii="Times New Roman" w:hAnsi="Times New Roman"/>
                <w:color w:val="000000"/>
                <w:sz w:val="24"/>
                <w:szCs w:val="24"/>
                <w:lang w:val="uk-UA"/>
              </w:rPr>
              <w:t>Відсутн</w:t>
            </w:r>
            <w:r w:rsidR="003F1946">
              <w:rPr>
                <w:rFonts w:ascii="Times New Roman" w:hAnsi="Times New Roman"/>
                <w:color w:val="000000"/>
                <w:sz w:val="24"/>
                <w:szCs w:val="24"/>
                <w:lang w:val="uk-UA"/>
              </w:rPr>
              <w:t>ість</w:t>
            </w:r>
            <w:r w:rsidRPr="004F552D">
              <w:rPr>
                <w:rFonts w:ascii="Times New Roman" w:hAnsi="Times New Roman"/>
                <w:color w:val="000000"/>
                <w:sz w:val="24"/>
                <w:szCs w:val="24"/>
                <w:lang w:val="uk-UA"/>
              </w:rPr>
              <w:t xml:space="preserve"> фінансування</w:t>
            </w:r>
            <w:r w:rsidR="00A14BAE">
              <w:rPr>
                <w:rFonts w:ascii="Times New Roman" w:hAnsi="Times New Roman"/>
                <w:color w:val="000000"/>
                <w:sz w:val="24"/>
                <w:szCs w:val="24"/>
                <w:lang w:val="uk-UA"/>
              </w:rPr>
              <w:t>.</w:t>
            </w:r>
            <w:r w:rsidRPr="004F552D">
              <w:rPr>
                <w:rFonts w:ascii="Times New Roman" w:hAnsi="Times New Roman"/>
                <w:color w:val="000000"/>
                <w:sz w:val="24"/>
                <w:szCs w:val="24"/>
                <w:lang w:val="uk-UA"/>
              </w:rPr>
              <w:t xml:space="preserve"> </w:t>
            </w:r>
          </w:p>
        </w:tc>
      </w:tr>
      <w:tr w:rsidR="004F552D" w:rsidRPr="004F552D" w:rsidTr="001E6973">
        <w:trPr>
          <w:trHeight w:val="315"/>
        </w:trPr>
        <w:tc>
          <w:tcPr>
            <w:tcW w:w="10065" w:type="dxa"/>
            <w:gridSpan w:val="12"/>
            <w:tcBorders>
              <w:top w:val="nil"/>
              <w:left w:val="nil"/>
              <w:bottom w:val="nil"/>
              <w:right w:val="nil"/>
            </w:tcBorders>
          </w:tcPr>
          <w:p w:rsidR="004F552D" w:rsidRPr="004F552D" w:rsidRDefault="004F552D" w:rsidP="00A14BAE">
            <w:pPr>
              <w:widowControl w:val="0"/>
              <w:autoSpaceDE w:val="0"/>
              <w:autoSpaceDN w:val="0"/>
              <w:adjustRightInd w:val="0"/>
              <w:spacing w:before="30" w:after="0" w:line="265" w:lineRule="exact"/>
              <w:ind w:left="15" w:right="126" w:firstLine="396"/>
              <w:jc w:val="both"/>
              <w:rPr>
                <w:rFonts w:ascii="Times New Roman" w:hAnsi="Times New Roman"/>
                <w:color w:val="000000"/>
                <w:sz w:val="24"/>
                <w:szCs w:val="24"/>
                <w:lang w:val="uk-UA"/>
              </w:rPr>
            </w:pPr>
            <w:r w:rsidRPr="004F552D">
              <w:rPr>
                <w:rFonts w:ascii="Times New Roman" w:hAnsi="Times New Roman"/>
                <w:color w:val="000000"/>
                <w:sz w:val="24"/>
                <w:szCs w:val="24"/>
                <w:lang w:val="uk-UA"/>
              </w:rPr>
              <w:t>2.2. Придбання для кінологічного центру:</w:t>
            </w:r>
            <w:r w:rsidRPr="004F552D">
              <w:rPr>
                <w:rFonts w:ascii="Times New Roman" w:hAnsi="Times New Roman"/>
                <w:color w:val="000000"/>
                <w:sz w:val="24"/>
                <w:szCs w:val="24"/>
                <w:lang w:val="uk-UA"/>
              </w:rPr>
              <w:br/>
              <w:t>- мікроавтобусу з обладнаною системою кондиціювання, придатного для перевезення кінологів з шістьма службовими собаками;</w:t>
            </w:r>
            <w:r w:rsidRPr="004F552D">
              <w:rPr>
                <w:rFonts w:ascii="Times New Roman" w:hAnsi="Times New Roman"/>
                <w:color w:val="000000"/>
                <w:sz w:val="24"/>
                <w:szCs w:val="24"/>
                <w:lang w:val="uk-UA"/>
              </w:rPr>
              <w:br/>
              <w:t>- амуніції для службових собак;</w:t>
            </w:r>
            <w:r w:rsidRPr="004F552D">
              <w:rPr>
                <w:rFonts w:ascii="Times New Roman" w:hAnsi="Times New Roman"/>
                <w:color w:val="000000"/>
                <w:sz w:val="24"/>
                <w:szCs w:val="24"/>
                <w:lang w:val="uk-UA"/>
              </w:rPr>
              <w:br/>
              <w:t>- різних замінників запахів для підготовки службових собак та виконання завдань покладених на кінологічний центр;</w:t>
            </w:r>
            <w:r w:rsidRPr="004F552D">
              <w:rPr>
                <w:rFonts w:ascii="Times New Roman" w:hAnsi="Times New Roman"/>
                <w:color w:val="000000"/>
                <w:sz w:val="24"/>
                <w:szCs w:val="24"/>
                <w:lang w:val="uk-UA"/>
              </w:rPr>
              <w:br/>
              <w:t>- інших матеріальних цінностей та оплату інших послуг, необхідних для утримання кінологічного центру та службових собак</w:t>
            </w:r>
            <w:r w:rsidR="00A14BAE">
              <w:rPr>
                <w:rFonts w:ascii="Times New Roman" w:hAnsi="Times New Roman"/>
                <w:color w:val="000000"/>
                <w:sz w:val="24"/>
                <w:szCs w:val="24"/>
                <w:lang w:val="uk-UA"/>
              </w:rPr>
              <w:t>.</w:t>
            </w:r>
          </w:p>
        </w:tc>
      </w:tr>
      <w:tr w:rsidR="004F552D" w:rsidRPr="004F552D" w:rsidTr="001E6973">
        <w:trPr>
          <w:trHeight w:val="315"/>
        </w:trPr>
        <w:tc>
          <w:tcPr>
            <w:tcW w:w="10065" w:type="dxa"/>
            <w:gridSpan w:val="12"/>
            <w:tcBorders>
              <w:top w:val="nil"/>
              <w:left w:val="nil"/>
              <w:bottom w:val="nil"/>
              <w:right w:val="nil"/>
            </w:tcBorders>
          </w:tcPr>
          <w:p w:rsidR="004F552D" w:rsidRPr="004F552D" w:rsidRDefault="004F552D" w:rsidP="003F1946">
            <w:pPr>
              <w:widowControl w:val="0"/>
              <w:autoSpaceDE w:val="0"/>
              <w:autoSpaceDN w:val="0"/>
              <w:adjustRightInd w:val="0"/>
              <w:spacing w:before="30" w:after="0" w:line="265" w:lineRule="exact"/>
              <w:ind w:left="15" w:firstLine="396"/>
              <w:jc w:val="both"/>
              <w:rPr>
                <w:rFonts w:ascii="Times New Roman" w:hAnsi="Times New Roman"/>
                <w:color w:val="000000"/>
                <w:sz w:val="24"/>
                <w:szCs w:val="24"/>
                <w:lang w:val="uk-UA"/>
              </w:rPr>
            </w:pPr>
            <w:r w:rsidRPr="004F552D">
              <w:rPr>
                <w:rFonts w:ascii="Times New Roman" w:hAnsi="Times New Roman"/>
                <w:color w:val="000000"/>
                <w:sz w:val="24"/>
                <w:szCs w:val="24"/>
                <w:lang w:val="uk-UA"/>
              </w:rPr>
              <w:t xml:space="preserve">      Причини невиконання: Відсутн</w:t>
            </w:r>
            <w:r w:rsidR="003F1946">
              <w:rPr>
                <w:rFonts w:ascii="Times New Roman" w:hAnsi="Times New Roman"/>
                <w:color w:val="000000"/>
                <w:sz w:val="24"/>
                <w:szCs w:val="24"/>
                <w:lang w:val="uk-UA"/>
              </w:rPr>
              <w:t>ість</w:t>
            </w:r>
            <w:r w:rsidRPr="004F552D">
              <w:rPr>
                <w:rFonts w:ascii="Times New Roman" w:hAnsi="Times New Roman"/>
                <w:color w:val="000000"/>
                <w:sz w:val="24"/>
                <w:szCs w:val="24"/>
                <w:lang w:val="uk-UA"/>
              </w:rPr>
              <w:t xml:space="preserve"> фінансування</w:t>
            </w:r>
            <w:r w:rsidR="00A14BAE">
              <w:rPr>
                <w:rFonts w:ascii="Times New Roman" w:hAnsi="Times New Roman"/>
                <w:color w:val="000000"/>
                <w:sz w:val="24"/>
                <w:szCs w:val="24"/>
                <w:lang w:val="uk-UA"/>
              </w:rPr>
              <w:t>.</w:t>
            </w:r>
            <w:r w:rsidRPr="004F552D">
              <w:rPr>
                <w:rFonts w:ascii="Times New Roman" w:hAnsi="Times New Roman"/>
                <w:color w:val="000000"/>
                <w:sz w:val="24"/>
                <w:szCs w:val="24"/>
                <w:lang w:val="uk-UA"/>
              </w:rPr>
              <w:t xml:space="preserve"> </w:t>
            </w:r>
          </w:p>
        </w:tc>
      </w:tr>
      <w:tr w:rsidR="004F552D" w:rsidRPr="00A14BAE" w:rsidTr="001E6973">
        <w:trPr>
          <w:trHeight w:val="315"/>
        </w:trPr>
        <w:tc>
          <w:tcPr>
            <w:tcW w:w="10065" w:type="dxa"/>
            <w:gridSpan w:val="12"/>
            <w:tcBorders>
              <w:top w:val="nil"/>
              <w:left w:val="nil"/>
              <w:bottom w:val="nil"/>
              <w:right w:val="nil"/>
            </w:tcBorders>
          </w:tcPr>
          <w:p w:rsidR="004F552D" w:rsidRPr="004F552D" w:rsidRDefault="004F552D" w:rsidP="003F1946">
            <w:pPr>
              <w:widowControl w:val="0"/>
              <w:autoSpaceDE w:val="0"/>
              <w:autoSpaceDN w:val="0"/>
              <w:adjustRightInd w:val="0"/>
              <w:spacing w:before="30" w:after="0" w:line="265" w:lineRule="exact"/>
              <w:ind w:left="15" w:firstLine="396"/>
              <w:jc w:val="both"/>
              <w:rPr>
                <w:rFonts w:ascii="Times New Roman" w:hAnsi="Times New Roman"/>
                <w:color w:val="000000"/>
                <w:sz w:val="24"/>
                <w:szCs w:val="24"/>
                <w:lang w:val="uk-UA"/>
              </w:rPr>
            </w:pPr>
            <w:r w:rsidRPr="004F552D">
              <w:rPr>
                <w:rFonts w:ascii="Times New Roman" w:hAnsi="Times New Roman"/>
                <w:color w:val="000000"/>
                <w:sz w:val="24"/>
                <w:szCs w:val="24"/>
                <w:lang w:val="uk-UA"/>
              </w:rPr>
              <w:t>2.4. Для підрозділів превентивної діяльності (дільничні офіцери поліції (ДОП), підрозділи ювенальної превенції, підрозділи забезпечення публічної безпеки та інші) здійснити:</w:t>
            </w:r>
            <w:r w:rsidRPr="004F552D">
              <w:rPr>
                <w:rFonts w:ascii="Times New Roman" w:hAnsi="Times New Roman"/>
                <w:color w:val="000000"/>
                <w:sz w:val="24"/>
                <w:szCs w:val="24"/>
                <w:lang w:val="uk-UA"/>
              </w:rPr>
              <w:br/>
              <w:t>- придбання паперу та канцелярського приладдя;</w:t>
            </w:r>
            <w:r w:rsidRPr="004F552D">
              <w:rPr>
                <w:rFonts w:ascii="Times New Roman" w:hAnsi="Times New Roman"/>
                <w:color w:val="000000"/>
                <w:sz w:val="24"/>
                <w:szCs w:val="24"/>
                <w:lang w:val="uk-UA"/>
              </w:rPr>
              <w:br/>
              <w:t>- виготовлення типографічної продукції;</w:t>
            </w:r>
            <w:r w:rsidRPr="004F552D">
              <w:rPr>
                <w:rFonts w:ascii="Times New Roman" w:hAnsi="Times New Roman"/>
                <w:color w:val="000000"/>
                <w:sz w:val="24"/>
                <w:szCs w:val="24"/>
                <w:lang w:val="uk-UA"/>
              </w:rPr>
              <w:br/>
              <w:t>- придбання меблів для ДОП;</w:t>
            </w:r>
            <w:r w:rsidRPr="004F552D">
              <w:rPr>
                <w:rFonts w:ascii="Times New Roman" w:hAnsi="Times New Roman"/>
                <w:color w:val="000000"/>
                <w:sz w:val="24"/>
                <w:szCs w:val="24"/>
                <w:lang w:val="uk-UA"/>
              </w:rPr>
              <w:br/>
              <w:t>- придбання оргтехніки та комп'ютерного обладнання;</w:t>
            </w:r>
            <w:r w:rsidRPr="004F552D">
              <w:rPr>
                <w:rFonts w:ascii="Times New Roman" w:hAnsi="Times New Roman"/>
                <w:color w:val="000000"/>
                <w:sz w:val="24"/>
                <w:szCs w:val="24"/>
                <w:lang w:val="uk-UA"/>
              </w:rPr>
              <w:br/>
              <w:t>- проведення ремонтних робіт, утримання адміністративних приміщень та протипожежних заходів комунальної власності;</w:t>
            </w:r>
            <w:r w:rsidRPr="004F552D">
              <w:rPr>
                <w:rFonts w:ascii="Times New Roman" w:hAnsi="Times New Roman"/>
                <w:color w:val="000000"/>
                <w:sz w:val="24"/>
                <w:szCs w:val="24"/>
                <w:lang w:val="uk-UA"/>
              </w:rPr>
              <w:br/>
              <w:t>- сервісне обслуговування та ремонт устаткування, обладнання;</w:t>
            </w:r>
            <w:r w:rsidRPr="004F552D">
              <w:rPr>
                <w:rFonts w:ascii="Times New Roman" w:hAnsi="Times New Roman"/>
                <w:color w:val="000000"/>
                <w:sz w:val="24"/>
                <w:szCs w:val="24"/>
                <w:lang w:val="uk-UA"/>
              </w:rPr>
              <w:br/>
              <w:t xml:space="preserve">- придбання </w:t>
            </w:r>
            <w:proofErr w:type="spellStart"/>
            <w:r w:rsidRPr="004F552D">
              <w:rPr>
                <w:rFonts w:ascii="Times New Roman" w:hAnsi="Times New Roman"/>
                <w:color w:val="000000"/>
                <w:sz w:val="24"/>
                <w:szCs w:val="24"/>
                <w:lang w:val="uk-UA"/>
              </w:rPr>
              <w:t>термопринтерів</w:t>
            </w:r>
            <w:proofErr w:type="spellEnd"/>
            <w:r w:rsidRPr="004F552D">
              <w:rPr>
                <w:rFonts w:ascii="Times New Roman" w:hAnsi="Times New Roman"/>
                <w:color w:val="000000"/>
                <w:sz w:val="24"/>
                <w:szCs w:val="24"/>
                <w:lang w:val="uk-UA"/>
              </w:rPr>
              <w:t>;</w:t>
            </w:r>
            <w:r w:rsidRPr="004F552D">
              <w:rPr>
                <w:rFonts w:ascii="Times New Roman" w:hAnsi="Times New Roman"/>
                <w:color w:val="000000"/>
                <w:sz w:val="24"/>
                <w:szCs w:val="24"/>
                <w:lang w:val="uk-UA"/>
              </w:rPr>
              <w:br/>
              <w:t>-придбання форменого одягу та речового майна для ДОП</w:t>
            </w:r>
            <w:r w:rsidR="00A14BAE">
              <w:rPr>
                <w:rFonts w:ascii="Times New Roman" w:hAnsi="Times New Roman"/>
                <w:color w:val="000000"/>
                <w:sz w:val="24"/>
                <w:szCs w:val="24"/>
                <w:lang w:val="uk-UA"/>
              </w:rPr>
              <w:t>.</w:t>
            </w:r>
            <w:r w:rsidRPr="004F552D">
              <w:rPr>
                <w:rFonts w:ascii="Times New Roman" w:hAnsi="Times New Roman"/>
                <w:color w:val="000000"/>
                <w:sz w:val="24"/>
                <w:szCs w:val="24"/>
                <w:lang w:val="uk-UA"/>
              </w:rPr>
              <w:t xml:space="preserve">   </w:t>
            </w:r>
          </w:p>
        </w:tc>
      </w:tr>
      <w:tr w:rsidR="004F552D" w:rsidRPr="004F552D" w:rsidTr="001E6973">
        <w:trPr>
          <w:trHeight w:val="315"/>
        </w:trPr>
        <w:tc>
          <w:tcPr>
            <w:tcW w:w="10065" w:type="dxa"/>
            <w:gridSpan w:val="12"/>
            <w:tcBorders>
              <w:top w:val="nil"/>
              <w:left w:val="nil"/>
              <w:bottom w:val="nil"/>
              <w:right w:val="nil"/>
            </w:tcBorders>
          </w:tcPr>
          <w:p w:rsidR="004F552D" w:rsidRPr="004F552D" w:rsidRDefault="004F552D" w:rsidP="003F1946">
            <w:pPr>
              <w:widowControl w:val="0"/>
              <w:autoSpaceDE w:val="0"/>
              <w:autoSpaceDN w:val="0"/>
              <w:adjustRightInd w:val="0"/>
              <w:spacing w:before="30" w:after="0" w:line="265" w:lineRule="exact"/>
              <w:ind w:left="15" w:firstLine="396"/>
              <w:jc w:val="both"/>
              <w:rPr>
                <w:rFonts w:ascii="Times New Roman" w:hAnsi="Times New Roman"/>
                <w:color w:val="000000"/>
                <w:sz w:val="24"/>
                <w:szCs w:val="24"/>
                <w:lang w:val="uk-UA"/>
              </w:rPr>
            </w:pPr>
            <w:r w:rsidRPr="004F552D">
              <w:rPr>
                <w:rFonts w:ascii="Times New Roman" w:hAnsi="Times New Roman"/>
                <w:color w:val="000000"/>
                <w:sz w:val="24"/>
                <w:szCs w:val="24"/>
                <w:lang w:val="uk-UA"/>
              </w:rPr>
              <w:t xml:space="preserve">      Причини невиконання: Відсутн</w:t>
            </w:r>
            <w:r w:rsidR="003F1946">
              <w:rPr>
                <w:rFonts w:ascii="Times New Roman" w:hAnsi="Times New Roman"/>
                <w:color w:val="000000"/>
                <w:sz w:val="24"/>
                <w:szCs w:val="24"/>
                <w:lang w:val="uk-UA"/>
              </w:rPr>
              <w:t>ість</w:t>
            </w:r>
            <w:r w:rsidRPr="004F552D">
              <w:rPr>
                <w:rFonts w:ascii="Times New Roman" w:hAnsi="Times New Roman"/>
                <w:color w:val="000000"/>
                <w:sz w:val="24"/>
                <w:szCs w:val="24"/>
                <w:lang w:val="uk-UA"/>
              </w:rPr>
              <w:t xml:space="preserve"> фінансування</w:t>
            </w:r>
            <w:r w:rsidR="00A14BAE">
              <w:rPr>
                <w:rFonts w:ascii="Times New Roman" w:hAnsi="Times New Roman"/>
                <w:color w:val="000000"/>
                <w:sz w:val="24"/>
                <w:szCs w:val="24"/>
                <w:lang w:val="uk-UA"/>
              </w:rPr>
              <w:t>.</w:t>
            </w:r>
            <w:r w:rsidRPr="004F552D">
              <w:rPr>
                <w:rFonts w:ascii="Times New Roman" w:hAnsi="Times New Roman"/>
                <w:color w:val="000000"/>
                <w:sz w:val="24"/>
                <w:szCs w:val="24"/>
                <w:lang w:val="uk-UA"/>
              </w:rPr>
              <w:t xml:space="preserve"> </w:t>
            </w:r>
          </w:p>
        </w:tc>
      </w:tr>
      <w:tr w:rsidR="004F552D" w:rsidRPr="00A14BAE" w:rsidTr="001E6973">
        <w:trPr>
          <w:trHeight w:val="315"/>
        </w:trPr>
        <w:tc>
          <w:tcPr>
            <w:tcW w:w="10065" w:type="dxa"/>
            <w:gridSpan w:val="12"/>
            <w:tcBorders>
              <w:top w:val="nil"/>
              <w:left w:val="nil"/>
              <w:bottom w:val="nil"/>
              <w:right w:val="nil"/>
            </w:tcBorders>
          </w:tcPr>
          <w:p w:rsidR="00A14BAE" w:rsidRDefault="004F552D" w:rsidP="003F1946">
            <w:pPr>
              <w:widowControl w:val="0"/>
              <w:autoSpaceDE w:val="0"/>
              <w:autoSpaceDN w:val="0"/>
              <w:adjustRightInd w:val="0"/>
              <w:spacing w:before="30" w:after="0" w:line="265" w:lineRule="exact"/>
              <w:ind w:left="15" w:firstLine="396"/>
              <w:jc w:val="both"/>
              <w:rPr>
                <w:rFonts w:ascii="Times New Roman" w:hAnsi="Times New Roman"/>
                <w:color w:val="000000"/>
                <w:sz w:val="24"/>
                <w:szCs w:val="24"/>
                <w:lang w:val="uk-UA"/>
              </w:rPr>
            </w:pPr>
            <w:r w:rsidRPr="004F552D">
              <w:rPr>
                <w:rFonts w:ascii="Times New Roman" w:hAnsi="Times New Roman"/>
                <w:color w:val="000000"/>
                <w:sz w:val="24"/>
                <w:szCs w:val="24"/>
                <w:lang w:val="uk-UA"/>
              </w:rPr>
              <w:lastRenderedPageBreak/>
              <w:t xml:space="preserve">2.9.Забезпечення діяльності Київського міського громадського  формування з охорони громадського порядку і державного кордону «Муніципальна Варта»: </w:t>
            </w:r>
          </w:p>
          <w:p w:rsidR="004F552D" w:rsidRPr="004F552D" w:rsidRDefault="004F552D" w:rsidP="00A14BAE">
            <w:pPr>
              <w:widowControl w:val="0"/>
              <w:autoSpaceDE w:val="0"/>
              <w:autoSpaceDN w:val="0"/>
              <w:adjustRightInd w:val="0"/>
              <w:spacing w:before="30" w:after="0" w:line="265" w:lineRule="exact"/>
              <w:ind w:left="15"/>
              <w:jc w:val="both"/>
              <w:rPr>
                <w:rFonts w:ascii="Times New Roman" w:hAnsi="Times New Roman"/>
                <w:color w:val="000000"/>
                <w:sz w:val="24"/>
                <w:szCs w:val="24"/>
                <w:lang w:val="uk-UA"/>
              </w:rPr>
            </w:pPr>
            <w:r w:rsidRPr="004F552D">
              <w:rPr>
                <w:rFonts w:ascii="Times New Roman" w:hAnsi="Times New Roman"/>
                <w:color w:val="000000"/>
                <w:sz w:val="24"/>
                <w:szCs w:val="24"/>
                <w:lang w:val="uk-UA"/>
              </w:rPr>
              <w:t>- оплата праці та утримання;</w:t>
            </w:r>
            <w:r w:rsidRPr="004F552D">
              <w:rPr>
                <w:rFonts w:ascii="Times New Roman" w:hAnsi="Times New Roman"/>
                <w:color w:val="000000"/>
                <w:sz w:val="24"/>
                <w:szCs w:val="24"/>
                <w:lang w:val="uk-UA"/>
              </w:rPr>
              <w:br/>
              <w:t>- придбання форменого одягу;</w:t>
            </w:r>
            <w:r w:rsidRPr="004F552D">
              <w:rPr>
                <w:rFonts w:ascii="Times New Roman" w:hAnsi="Times New Roman"/>
                <w:color w:val="000000"/>
                <w:sz w:val="24"/>
                <w:szCs w:val="24"/>
                <w:lang w:val="uk-UA"/>
              </w:rPr>
              <w:br/>
              <w:t>- придбання спеціальних засобів;</w:t>
            </w:r>
            <w:r w:rsidRPr="004F552D">
              <w:rPr>
                <w:rFonts w:ascii="Times New Roman" w:hAnsi="Times New Roman"/>
                <w:color w:val="000000"/>
                <w:sz w:val="24"/>
                <w:szCs w:val="24"/>
                <w:lang w:val="uk-UA"/>
              </w:rPr>
              <w:br/>
              <w:t>- закупівлі пально-мастильних матеріалів;</w:t>
            </w:r>
            <w:r w:rsidRPr="004F552D">
              <w:rPr>
                <w:rFonts w:ascii="Times New Roman" w:hAnsi="Times New Roman"/>
                <w:color w:val="000000"/>
                <w:sz w:val="24"/>
                <w:szCs w:val="24"/>
                <w:lang w:val="uk-UA"/>
              </w:rPr>
              <w:br/>
              <w:t>- придбання оргтехніки та канцелярського приладдя;</w:t>
            </w:r>
            <w:r w:rsidRPr="004F552D">
              <w:rPr>
                <w:rFonts w:ascii="Times New Roman" w:hAnsi="Times New Roman"/>
                <w:color w:val="000000"/>
                <w:sz w:val="24"/>
                <w:szCs w:val="24"/>
                <w:lang w:val="uk-UA"/>
              </w:rPr>
              <w:br/>
              <w:t>- оренда приміщення комунальної власності</w:t>
            </w:r>
            <w:r w:rsidR="00A14BAE">
              <w:rPr>
                <w:rFonts w:ascii="Times New Roman" w:hAnsi="Times New Roman"/>
                <w:color w:val="000000"/>
                <w:sz w:val="24"/>
                <w:szCs w:val="24"/>
                <w:lang w:val="uk-UA"/>
              </w:rPr>
              <w:t>.</w:t>
            </w:r>
          </w:p>
        </w:tc>
      </w:tr>
      <w:tr w:rsidR="004F552D" w:rsidRPr="004F552D" w:rsidTr="001E6973">
        <w:trPr>
          <w:trHeight w:val="315"/>
        </w:trPr>
        <w:tc>
          <w:tcPr>
            <w:tcW w:w="10065" w:type="dxa"/>
            <w:gridSpan w:val="12"/>
            <w:tcBorders>
              <w:top w:val="nil"/>
              <w:left w:val="nil"/>
              <w:bottom w:val="nil"/>
              <w:right w:val="nil"/>
            </w:tcBorders>
          </w:tcPr>
          <w:p w:rsidR="004F552D" w:rsidRPr="004F552D" w:rsidRDefault="004F552D" w:rsidP="003F1946">
            <w:pPr>
              <w:widowControl w:val="0"/>
              <w:autoSpaceDE w:val="0"/>
              <w:autoSpaceDN w:val="0"/>
              <w:adjustRightInd w:val="0"/>
              <w:spacing w:before="30" w:after="0" w:line="265" w:lineRule="exact"/>
              <w:ind w:left="15" w:firstLine="396"/>
              <w:jc w:val="both"/>
              <w:rPr>
                <w:rFonts w:ascii="Times New Roman" w:hAnsi="Times New Roman"/>
                <w:color w:val="000000"/>
                <w:sz w:val="24"/>
                <w:szCs w:val="24"/>
                <w:lang w:val="uk-UA"/>
              </w:rPr>
            </w:pPr>
            <w:r w:rsidRPr="004F552D">
              <w:rPr>
                <w:rFonts w:ascii="Times New Roman" w:hAnsi="Times New Roman"/>
                <w:color w:val="000000"/>
                <w:sz w:val="24"/>
                <w:szCs w:val="24"/>
                <w:lang w:val="uk-UA"/>
              </w:rPr>
              <w:t xml:space="preserve">      Причини невиконання: Профінансовано на 7 % від запланованого</w:t>
            </w:r>
            <w:r w:rsidR="00A14BAE">
              <w:rPr>
                <w:rFonts w:ascii="Times New Roman" w:hAnsi="Times New Roman"/>
                <w:color w:val="000000"/>
                <w:sz w:val="24"/>
                <w:szCs w:val="24"/>
                <w:lang w:val="uk-UA"/>
              </w:rPr>
              <w:t>.</w:t>
            </w:r>
            <w:r w:rsidRPr="004F552D">
              <w:rPr>
                <w:rFonts w:ascii="Times New Roman" w:hAnsi="Times New Roman"/>
                <w:color w:val="000000"/>
                <w:sz w:val="24"/>
                <w:szCs w:val="24"/>
                <w:lang w:val="uk-UA"/>
              </w:rPr>
              <w:t xml:space="preserve"> </w:t>
            </w:r>
          </w:p>
        </w:tc>
      </w:tr>
      <w:tr w:rsidR="004F552D" w:rsidRPr="004F552D" w:rsidTr="001E6973">
        <w:trPr>
          <w:trHeight w:val="315"/>
        </w:trPr>
        <w:tc>
          <w:tcPr>
            <w:tcW w:w="10065" w:type="dxa"/>
            <w:gridSpan w:val="12"/>
            <w:tcBorders>
              <w:top w:val="nil"/>
              <w:left w:val="nil"/>
              <w:bottom w:val="nil"/>
              <w:right w:val="nil"/>
            </w:tcBorders>
          </w:tcPr>
          <w:p w:rsidR="004F552D" w:rsidRPr="004F552D" w:rsidRDefault="004F552D" w:rsidP="003F1946">
            <w:pPr>
              <w:widowControl w:val="0"/>
              <w:autoSpaceDE w:val="0"/>
              <w:autoSpaceDN w:val="0"/>
              <w:adjustRightInd w:val="0"/>
              <w:spacing w:before="30" w:after="0" w:line="265" w:lineRule="exact"/>
              <w:ind w:left="15" w:firstLine="396"/>
              <w:jc w:val="both"/>
              <w:rPr>
                <w:rFonts w:ascii="Times New Roman" w:hAnsi="Times New Roman"/>
                <w:color w:val="000000"/>
                <w:sz w:val="24"/>
                <w:szCs w:val="24"/>
                <w:lang w:val="uk-UA"/>
              </w:rPr>
            </w:pPr>
            <w:r w:rsidRPr="004F552D">
              <w:rPr>
                <w:rFonts w:ascii="Times New Roman" w:hAnsi="Times New Roman"/>
                <w:color w:val="000000"/>
                <w:sz w:val="24"/>
                <w:szCs w:val="24"/>
                <w:lang w:val="uk-UA"/>
              </w:rPr>
              <w:t>3.6.Придбання та оновлення комп’ютерної техніки та периферичного обладнання, радіостанцій, нагрудних камер (</w:t>
            </w:r>
            <w:proofErr w:type="spellStart"/>
            <w:r w:rsidRPr="004F552D">
              <w:rPr>
                <w:rFonts w:ascii="Times New Roman" w:hAnsi="Times New Roman"/>
                <w:color w:val="000000"/>
                <w:sz w:val="24"/>
                <w:szCs w:val="24"/>
                <w:lang w:val="uk-UA"/>
              </w:rPr>
              <w:t>боді</w:t>
            </w:r>
            <w:proofErr w:type="spellEnd"/>
            <w:r w:rsidRPr="004F552D">
              <w:rPr>
                <w:rFonts w:ascii="Times New Roman" w:hAnsi="Times New Roman"/>
                <w:color w:val="000000"/>
                <w:sz w:val="24"/>
                <w:szCs w:val="24"/>
                <w:lang w:val="uk-UA"/>
              </w:rPr>
              <w:t>-камери), зарядні пристрої, БФП, спеціальної техніки та обладнання</w:t>
            </w:r>
            <w:r w:rsidR="00A14BAE">
              <w:rPr>
                <w:rFonts w:ascii="Times New Roman" w:hAnsi="Times New Roman"/>
                <w:color w:val="000000"/>
                <w:sz w:val="24"/>
                <w:szCs w:val="24"/>
                <w:lang w:val="uk-UA"/>
              </w:rPr>
              <w:t>.</w:t>
            </w:r>
            <w:r w:rsidRPr="004F552D">
              <w:rPr>
                <w:rFonts w:ascii="Times New Roman" w:hAnsi="Times New Roman"/>
                <w:color w:val="000000"/>
                <w:sz w:val="24"/>
                <w:szCs w:val="24"/>
                <w:lang w:val="uk-UA"/>
              </w:rPr>
              <w:t xml:space="preserve"> </w:t>
            </w:r>
          </w:p>
        </w:tc>
      </w:tr>
      <w:tr w:rsidR="004F552D" w:rsidRPr="004F552D" w:rsidTr="001E6973">
        <w:trPr>
          <w:trHeight w:val="315"/>
        </w:trPr>
        <w:tc>
          <w:tcPr>
            <w:tcW w:w="10065" w:type="dxa"/>
            <w:gridSpan w:val="12"/>
            <w:tcBorders>
              <w:top w:val="nil"/>
              <w:left w:val="nil"/>
              <w:bottom w:val="nil"/>
              <w:right w:val="nil"/>
            </w:tcBorders>
          </w:tcPr>
          <w:p w:rsidR="004F552D" w:rsidRPr="004F552D" w:rsidRDefault="004F552D" w:rsidP="003F1946">
            <w:pPr>
              <w:widowControl w:val="0"/>
              <w:autoSpaceDE w:val="0"/>
              <w:autoSpaceDN w:val="0"/>
              <w:adjustRightInd w:val="0"/>
              <w:spacing w:before="30" w:after="0" w:line="265" w:lineRule="exact"/>
              <w:ind w:left="15" w:firstLine="821"/>
              <w:rPr>
                <w:rFonts w:ascii="Times New Roman" w:hAnsi="Times New Roman"/>
                <w:color w:val="000000"/>
                <w:sz w:val="24"/>
                <w:szCs w:val="24"/>
                <w:lang w:val="uk-UA"/>
              </w:rPr>
            </w:pPr>
            <w:r w:rsidRPr="004F552D">
              <w:rPr>
                <w:rFonts w:ascii="Times New Roman" w:hAnsi="Times New Roman"/>
                <w:color w:val="000000"/>
                <w:sz w:val="24"/>
                <w:szCs w:val="24"/>
                <w:lang w:val="uk-UA"/>
              </w:rPr>
              <w:t xml:space="preserve">      Причини невиконання: Відсутн</w:t>
            </w:r>
            <w:r w:rsidR="003F1946">
              <w:rPr>
                <w:rFonts w:ascii="Times New Roman" w:hAnsi="Times New Roman"/>
                <w:color w:val="000000"/>
                <w:sz w:val="24"/>
                <w:szCs w:val="24"/>
                <w:lang w:val="uk-UA"/>
              </w:rPr>
              <w:t>ість</w:t>
            </w:r>
            <w:r w:rsidRPr="004F552D">
              <w:rPr>
                <w:rFonts w:ascii="Times New Roman" w:hAnsi="Times New Roman"/>
                <w:color w:val="000000"/>
                <w:sz w:val="24"/>
                <w:szCs w:val="24"/>
                <w:lang w:val="uk-UA"/>
              </w:rPr>
              <w:t xml:space="preserve"> фінансування</w:t>
            </w:r>
            <w:r w:rsidR="00A14BAE">
              <w:rPr>
                <w:rFonts w:ascii="Times New Roman" w:hAnsi="Times New Roman"/>
                <w:color w:val="000000"/>
                <w:sz w:val="24"/>
                <w:szCs w:val="24"/>
                <w:lang w:val="uk-UA"/>
              </w:rPr>
              <w:t>.</w:t>
            </w:r>
            <w:r w:rsidRPr="004F552D">
              <w:rPr>
                <w:rFonts w:ascii="Times New Roman" w:hAnsi="Times New Roman"/>
                <w:color w:val="000000"/>
                <w:sz w:val="24"/>
                <w:szCs w:val="24"/>
                <w:lang w:val="uk-UA"/>
              </w:rPr>
              <w:t xml:space="preserve"> </w:t>
            </w:r>
          </w:p>
        </w:tc>
      </w:tr>
      <w:tr w:rsidR="004F552D" w:rsidRPr="004F552D" w:rsidTr="001E6973">
        <w:trPr>
          <w:trHeight w:hRule="exact" w:val="403"/>
        </w:trPr>
        <w:tc>
          <w:tcPr>
            <w:tcW w:w="10065" w:type="dxa"/>
            <w:gridSpan w:val="12"/>
            <w:tcBorders>
              <w:top w:val="nil"/>
              <w:left w:val="nil"/>
              <w:bottom w:val="nil"/>
              <w:right w:val="nil"/>
            </w:tcBorders>
          </w:tcPr>
          <w:p w:rsidR="004F552D" w:rsidRPr="004F552D" w:rsidRDefault="004F552D" w:rsidP="00644DD1">
            <w:pPr>
              <w:widowControl w:val="0"/>
              <w:autoSpaceDE w:val="0"/>
              <w:autoSpaceDN w:val="0"/>
              <w:adjustRightInd w:val="0"/>
              <w:spacing w:before="29" w:after="0" w:line="294" w:lineRule="exact"/>
              <w:ind w:left="15"/>
              <w:jc w:val="center"/>
              <w:rPr>
                <w:rFonts w:ascii="Times New Roman" w:hAnsi="Times New Roman"/>
                <w:b/>
                <w:bCs/>
                <w:color w:val="000000"/>
                <w:sz w:val="24"/>
                <w:szCs w:val="24"/>
                <w:lang w:val="uk-UA"/>
              </w:rPr>
            </w:pPr>
            <w:r w:rsidRPr="004F552D">
              <w:rPr>
                <w:rFonts w:ascii="Times New Roman" w:hAnsi="Times New Roman"/>
                <w:b/>
                <w:bCs/>
                <w:color w:val="000000"/>
                <w:sz w:val="24"/>
                <w:szCs w:val="24"/>
                <w:lang w:val="uk-UA"/>
              </w:rPr>
              <w:t>2.Оцінка ефективності виконання програми</w:t>
            </w:r>
          </w:p>
        </w:tc>
      </w:tr>
      <w:tr w:rsidR="001E6973" w:rsidRPr="00400DA3" w:rsidTr="001E6973">
        <w:trPr>
          <w:gridAfter w:val="1"/>
          <w:wAfter w:w="143" w:type="dxa"/>
          <w:trHeight w:hRule="exact" w:val="274"/>
        </w:trPr>
        <w:tc>
          <w:tcPr>
            <w:tcW w:w="5103" w:type="dxa"/>
            <w:gridSpan w:val="5"/>
            <w:tcBorders>
              <w:top w:val="single" w:sz="8" w:space="0" w:color="000000"/>
              <w:left w:val="single" w:sz="8" w:space="0" w:color="000000"/>
              <w:bottom w:val="single" w:sz="8" w:space="0" w:color="000000"/>
              <w:right w:val="single" w:sz="8" w:space="0" w:color="000000"/>
            </w:tcBorders>
          </w:tcPr>
          <w:p w:rsidR="001E6973" w:rsidRPr="00400DA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Результативні показники</w:t>
            </w:r>
          </w:p>
        </w:tc>
        <w:tc>
          <w:tcPr>
            <w:tcW w:w="4819" w:type="dxa"/>
            <w:gridSpan w:val="6"/>
            <w:tcBorders>
              <w:top w:val="single" w:sz="8" w:space="0" w:color="000000"/>
              <w:left w:val="single" w:sz="8" w:space="0" w:color="000000"/>
              <w:bottom w:val="single" w:sz="8" w:space="0" w:color="000000"/>
              <w:right w:val="single" w:sz="8" w:space="0" w:color="000000"/>
            </w:tcBorders>
          </w:tcPr>
          <w:p w:rsidR="001E6973" w:rsidRPr="00400DA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Індикатори програми</w:t>
            </w:r>
          </w:p>
        </w:tc>
      </w:tr>
      <w:tr w:rsidR="001E6973" w:rsidRPr="00400DA3" w:rsidTr="001E6973">
        <w:trPr>
          <w:gridAfter w:val="1"/>
          <w:wAfter w:w="143" w:type="dxa"/>
          <w:trHeight w:hRule="exact" w:val="548"/>
        </w:trPr>
        <w:tc>
          <w:tcPr>
            <w:tcW w:w="3827" w:type="dxa"/>
            <w:gridSpan w:val="4"/>
            <w:tcBorders>
              <w:top w:val="single" w:sz="8" w:space="0" w:color="000000"/>
              <w:left w:val="single" w:sz="8" w:space="0" w:color="000000"/>
              <w:bottom w:val="single" w:sz="8" w:space="0" w:color="000000"/>
              <w:right w:val="single" w:sz="8" w:space="0" w:color="000000"/>
            </w:tcBorders>
            <w:vAlign w:val="center"/>
          </w:tcPr>
          <w:p w:rsidR="001E6973" w:rsidRPr="00400DA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 xml:space="preserve">Кількість результативних </w:t>
            </w:r>
            <w:r w:rsidRPr="00400DA3">
              <w:rPr>
                <w:rFonts w:ascii="Times New Roman" w:hAnsi="Times New Roman"/>
                <w:color w:val="000000"/>
                <w:sz w:val="24"/>
                <w:szCs w:val="24"/>
                <w:lang w:val="uk-UA"/>
              </w:rPr>
              <w:br/>
              <w:t>показників, од.</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rsidR="001E6973" w:rsidRPr="00400DA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Відсоток виконаних, %</w:t>
            </w:r>
          </w:p>
        </w:tc>
        <w:tc>
          <w:tcPr>
            <w:tcW w:w="3544" w:type="dxa"/>
            <w:gridSpan w:val="5"/>
            <w:tcBorders>
              <w:top w:val="single" w:sz="8" w:space="0" w:color="000000"/>
              <w:left w:val="single" w:sz="8" w:space="0" w:color="000000"/>
              <w:bottom w:val="single" w:sz="8" w:space="0" w:color="000000"/>
              <w:right w:val="single" w:sz="8" w:space="0" w:color="000000"/>
            </w:tcBorders>
            <w:vAlign w:val="center"/>
          </w:tcPr>
          <w:p w:rsidR="001E6973" w:rsidRPr="00400DA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Кількість індикаторів</w:t>
            </w:r>
            <w:r w:rsidRPr="00400DA3">
              <w:rPr>
                <w:rFonts w:ascii="Times New Roman" w:hAnsi="Times New Roman"/>
                <w:color w:val="000000"/>
                <w:sz w:val="24"/>
                <w:szCs w:val="24"/>
                <w:lang w:val="uk-UA"/>
              </w:rPr>
              <w:br/>
              <w:t>програми, од.</w:t>
            </w:r>
          </w:p>
        </w:tc>
        <w:tc>
          <w:tcPr>
            <w:tcW w:w="1275" w:type="dxa"/>
            <w:vMerge w:val="restart"/>
            <w:tcBorders>
              <w:top w:val="single" w:sz="8" w:space="0" w:color="000000"/>
              <w:left w:val="single" w:sz="8" w:space="0" w:color="000000"/>
              <w:bottom w:val="single" w:sz="8" w:space="0" w:color="000000"/>
              <w:right w:val="single" w:sz="8" w:space="0" w:color="000000"/>
            </w:tcBorders>
          </w:tcPr>
          <w:p w:rsidR="001E6973" w:rsidRPr="00400DA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Відсоток досягнутих, %</w:t>
            </w:r>
          </w:p>
        </w:tc>
      </w:tr>
      <w:tr w:rsidR="001E6973" w:rsidTr="001E6973">
        <w:trPr>
          <w:gridAfter w:val="1"/>
          <w:wAfter w:w="143" w:type="dxa"/>
          <w:trHeight w:hRule="exact" w:val="274"/>
        </w:trPr>
        <w:tc>
          <w:tcPr>
            <w:tcW w:w="1134" w:type="dxa"/>
            <w:tcBorders>
              <w:top w:val="single" w:sz="8" w:space="0" w:color="000000"/>
              <w:left w:val="single" w:sz="8" w:space="0" w:color="000000"/>
              <w:bottom w:val="single" w:sz="8" w:space="0" w:color="000000"/>
              <w:right w:val="single" w:sz="8" w:space="0" w:color="000000"/>
            </w:tcBorders>
          </w:tcPr>
          <w:p w:rsidR="001E697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rPr>
            </w:pPr>
            <w:proofErr w:type="spellStart"/>
            <w:r>
              <w:rPr>
                <w:rFonts w:ascii="Times New Roman" w:hAnsi="Times New Roman"/>
                <w:color w:val="000000"/>
                <w:sz w:val="24"/>
                <w:szCs w:val="24"/>
              </w:rPr>
              <w:t>Всього</w:t>
            </w:r>
            <w:proofErr w:type="spellEnd"/>
          </w:p>
        </w:tc>
        <w:tc>
          <w:tcPr>
            <w:tcW w:w="1276" w:type="dxa"/>
            <w:tcBorders>
              <w:top w:val="single" w:sz="8" w:space="0" w:color="000000"/>
              <w:left w:val="single" w:sz="8" w:space="0" w:color="000000"/>
              <w:bottom w:val="single" w:sz="8" w:space="0" w:color="000000"/>
              <w:right w:val="single" w:sz="8" w:space="0" w:color="000000"/>
            </w:tcBorders>
          </w:tcPr>
          <w:p w:rsidR="001E697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rPr>
            </w:pPr>
            <w:proofErr w:type="spellStart"/>
            <w:r>
              <w:rPr>
                <w:rFonts w:ascii="Times New Roman" w:hAnsi="Times New Roman"/>
                <w:color w:val="000000"/>
                <w:sz w:val="24"/>
                <w:szCs w:val="24"/>
              </w:rPr>
              <w:t>Виконано</w:t>
            </w:r>
            <w:proofErr w:type="spellEnd"/>
          </w:p>
        </w:tc>
        <w:tc>
          <w:tcPr>
            <w:tcW w:w="1417" w:type="dxa"/>
            <w:gridSpan w:val="2"/>
            <w:tcBorders>
              <w:top w:val="single" w:sz="8" w:space="0" w:color="000000"/>
              <w:left w:val="single" w:sz="8" w:space="0" w:color="000000"/>
              <w:bottom w:val="single" w:sz="8" w:space="0" w:color="000000"/>
              <w:right w:val="single" w:sz="8" w:space="0" w:color="000000"/>
            </w:tcBorders>
          </w:tcPr>
          <w:p w:rsidR="001E697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rPr>
            </w:pPr>
            <w:proofErr w:type="spellStart"/>
            <w:r>
              <w:rPr>
                <w:rFonts w:ascii="Times New Roman" w:hAnsi="Times New Roman"/>
                <w:color w:val="000000"/>
                <w:sz w:val="24"/>
                <w:szCs w:val="24"/>
              </w:rPr>
              <w:t>Невиконано</w:t>
            </w:r>
            <w:proofErr w:type="spellEnd"/>
          </w:p>
        </w:tc>
        <w:tc>
          <w:tcPr>
            <w:tcW w:w="1276" w:type="dxa"/>
            <w:vMerge/>
            <w:tcBorders>
              <w:top w:val="single" w:sz="8" w:space="0" w:color="000000"/>
              <w:left w:val="single" w:sz="8" w:space="0" w:color="000000"/>
              <w:bottom w:val="single" w:sz="8" w:space="0" w:color="000000"/>
              <w:right w:val="single" w:sz="8" w:space="0" w:color="000000"/>
            </w:tcBorders>
          </w:tcPr>
          <w:p w:rsidR="001E6973" w:rsidRDefault="001E6973" w:rsidP="00B04C3A">
            <w:pPr>
              <w:widowControl w:val="0"/>
              <w:autoSpaceDE w:val="0"/>
              <w:autoSpaceDN w:val="0"/>
              <w:adjustRightInd w:val="0"/>
              <w:spacing w:after="0" w:line="240" w:lineRule="auto"/>
              <w:jc w:val="center"/>
              <w:rPr>
                <w:rFonts w:ascii="Tahoma" w:hAnsi="Tahoma" w:cs="Tahoma"/>
                <w:sz w:val="18"/>
                <w:szCs w:val="18"/>
              </w:rPr>
            </w:pPr>
          </w:p>
        </w:tc>
        <w:tc>
          <w:tcPr>
            <w:tcW w:w="850" w:type="dxa"/>
            <w:gridSpan w:val="2"/>
            <w:tcBorders>
              <w:top w:val="single" w:sz="8" w:space="0" w:color="000000"/>
              <w:left w:val="single" w:sz="8" w:space="0" w:color="000000"/>
              <w:bottom w:val="single" w:sz="8" w:space="0" w:color="000000"/>
              <w:right w:val="single" w:sz="8" w:space="0" w:color="000000"/>
            </w:tcBorders>
          </w:tcPr>
          <w:p w:rsidR="001E697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rPr>
            </w:pPr>
            <w:proofErr w:type="spellStart"/>
            <w:r>
              <w:rPr>
                <w:rFonts w:ascii="Times New Roman" w:hAnsi="Times New Roman"/>
                <w:color w:val="000000"/>
                <w:sz w:val="24"/>
                <w:szCs w:val="24"/>
              </w:rPr>
              <w:t>Всього</w:t>
            </w:r>
            <w:proofErr w:type="spellEnd"/>
          </w:p>
        </w:tc>
        <w:tc>
          <w:tcPr>
            <w:tcW w:w="1276" w:type="dxa"/>
            <w:tcBorders>
              <w:top w:val="single" w:sz="8" w:space="0" w:color="000000"/>
              <w:left w:val="single" w:sz="8" w:space="0" w:color="000000"/>
              <w:bottom w:val="single" w:sz="8" w:space="0" w:color="000000"/>
              <w:right w:val="single" w:sz="8" w:space="0" w:color="000000"/>
            </w:tcBorders>
          </w:tcPr>
          <w:p w:rsidR="001E697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rPr>
            </w:pPr>
            <w:proofErr w:type="spellStart"/>
            <w:r>
              <w:rPr>
                <w:rFonts w:ascii="Times New Roman" w:hAnsi="Times New Roman"/>
                <w:color w:val="000000"/>
                <w:sz w:val="24"/>
                <w:szCs w:val="24"/>
              </w:rPr>
              <w:t>Досягнуто</w:t>
            </w:r>
            <w:proofErr w:type="spellEnd"/>
          </w:p>
        </w:tc>
        <w:tc>
          <w:tcPr>
            <w:tcW w:w="1418" w:type="dxa"/>
            <w:gridSpan w:val="2"/>
            <w:tcBorders>
              <w:top w:val="single" w:sz="8" w:space="0" w:color="000000"/>
              <w:left w:val="single" w:sz="8" w:space="0" w:color="000000"/>
              <w:bottom w:val="single" w:sz="8" w:space="0" w:color="000000"/>
              <w:right w:val="single" w:sz="8" w:space="0" w:color="000000"/>
            </w:tcBorders>
          </w:tcPr>
          <w:p w:rsidR="001E697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rPr>
            </w:pPr>
            <w:proofErr w:type="spellStart"/>
            <w:r>
              <w:rPr>
                <w:rFonts w:ascii="Times New Roman" w:hAnsi="Times New Roman"/>
                <w:color w:val="000000"/>
                <w:sz w:val="24"/>
                <w:szCs w:val="24"/>
              </w:rPr>
              <w:t>Недосягнуто</w:t>
            </w:r>
            <w:proofErr w:type="spellEnd"/>
          </w:p>
        </w:tc>
        <w:tc>
          <w:tcPr>
            <w:tcW w:w="1275" w:type="dxa"/>
            <w:vMerge/>
            <w:tcBorders>
              <w:top w:val="single" w:sz="8" w:space="0" w:color="000000"/>
              <w:left w:val="single" w:sz="8" w:space="0" w:color="000000"/>
              <w:bottom w:val="single" w:sz="8" w:space="0" w:color="000000"/>
              <w:right w:val="single" w:sz="8" w:space="0" w:color="000000"/>
            </w:tcBorders>
          </w:tcPr>
          <w:p w:rsidR="001E6973" w:rsidRDefault="001E6973" w:rsidP="00B04C3A">
            <w:pPr>
              <w:widowControl w:val="0"/>
              <w:autoSpaceDE w:val="0"/>
              <w:autoSpaceDN w:val="0"/>
              <w:adjustRightInd w:val="0"/>
              <w:spacing w:after="0" w:line="240" w:lineRule="auto"/>
              <w:jc w:val="center"/>
              <w:rPr>
                <w:rFonts w:ascii="Tahoma" w:hAnsi="Tahoma" w:cs="Tahoma"/>
                <w:sz w:val="18"/>
                <w:szCs w:val="18"/>
              </w:rPr>
            </w:pPr>
          </w:p>
        </w:tc>
      </w:tr>
      <w:tr w:rsidR="001E6973" w:rsidTr="001E6973">
        <w:trPr>
          <w:gridAfter w:val="1"/>
          <w:wAfter w:w="143" w:type="dxa"/>
          <w:trHeight w:hRule="exact" w:val="274"/>
        </w:trPr>
        <w:tc>
          <w:tcPr>
            <w:tcW w:w="1134" w:type="dxa"/>
            <w:tcBorders>
              <w:top w:val="single" w:sz="8" w:space="0" w:color="000000"/>
              <w:left w:val="single" w:sz="8" w:space="0" w:color="000000"/>
              <w:bottom w:val="single" w:sz="8" w:space="0" w:color="000000"/>
              <w:right w:val="single" w:sz="8" w:space="0" w:color="000000"/>
            </w:tcBorders>
          </w:tcPr>
          <w:p w:rsidR="001E697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rPr>
            </w:pPr>
            <w:r>
              <w:rPr>
                <w:rFonts w:ascii="Times New Roman" w:hAnsi="Times New Roman"/>
                <w:color w:val="000000"/>
                <w:sz w:val="24"/>
                <w:szCs w:val="24"/>
              </w:rPr>
              <w:t>15</w:t>
            </w:r>
          </w:p>
        </w:tc>
        <w:tc>
          <w:tcPr>
            <w:tcW w:w="1276" w:type="dxa"/>
            <w:tcBorders>
              <w:top w:val="single" w:sz="8" w:space="0" w:color="000000"/>
              <w:left w:val="single" w:sz="8" w:space="0" w:color="000000"/>
              <w:bottom w:val="single" w:sz="8" w:space="0" w:color="000000"/>
              <w:right w:val="single" w:sz="8" w:space="0" w:color="000000"/>
            </w:tcBorders>
          </w:tcPr>
          <w:p w:rsidR="001E6973" w:rsidRDefault="001E6973" w:rsidP="001E6973">
            <w:pPr>
              <w:widowControl w:val="0"/>
              <w:autoSpaceDE w:val="0"/>
              <w:autoSpaceDN w:val="0"/>
              <w:adjustRightInd w:val="0"/>
              <w:spacing w:before="29" w:after="0" w:line="256" w:lineRule="exact"/>
              <w:ind w:left="15"/>
              <w:jc w:val="center"/>
              <w:rPr>
                <w:rFonts w:ascii="Times New Roman" w:hAnsi="Times New Roman"/>
                <w:color w:val="000000"/>
                <w:sz w:val="24"/>
                <w:szCs w:val="24"/>
              </w:rPr>
            </w:pPr>
            <w:r>
              <w:rPr>
                <w:rFonts w:ascii="Times New Roman" w:hAnsi="Times New Roman"/>
                <w:color w:val="000000"/>
                <w:sz w:val="24"/>
                <w:szCs w:val="24"/>
                <w:lang w:val="uk-UA"/>
              </w:rPr>
              <w:t>0</w:t>
            </w:r>
          </w:p>
        </w:tc>
        <w:tc>
          <w:tcPr>
            <w:tcW w:w="1417" w:type="dxa"/>
            <w:gridSpan w:val="2"/>
            <w:tcBorders>
              <w:top w:val="single" w:sz="8" w:space="0" w:color="000000"/>
              <w:left w:val="single" w:sz="8" w:space="0" w:color="000000"/>
              <w:bottom w:val="single" w:sz="8" w:space="0" w:color="000000"/>
              <w:right w:val="single" w:sz="8" w:space="0" w:color="000000"/>
            </w:tcBorders>
          </w:tcPr>
          <w:p w:rsidR="001E6973" w:rsidRDefault="001E6973" w:rsidP="001E6973">
            <w:pPr>
              <w:widowControl w:val="0"/>
              <w:autoSpaceDE w:val="0"/>
              <w:autoSpaceDN w:val="0"/>
              <w:adjustRightInd w:val="0"/>
              <w:spacing w:before="29" w:after="0" w:line="256" w:lineRule="exact"/>
              <w:ind w:left="15"/>
              <w:jc w:val="center"/>
              <w:rPr>
                <w:rFonts w:ascii="Times New Roman" w:hAnsi="Times New Roman"/>
                <w:color w:val="000000"/>
                <w:sz w:val="24"/>
                <w:szCs w:val="24"/>
              </w:rPr>
            </w:pPr>
            <w:r>
              <w:rPr>
                <w:rFonts w:ascii="Times New Roman" w:hAnsi="Times New Roman"/>
                <w:color w:val="000000"/>
                <w:sz w:val="24"/>
                <w:szCs w:val="24"/>
                <w:lang w:val="uk-UA"/>
              </w:rPr>
              <w:t>15</w:t>
            </w:r>
          </w:p>
        </w:tc>
        <w:tc>
          <w:tcPr>
            <w:tcW w:w="1276" w:type="dxa"/>
            <w:tcBorders>
              <w:top w:val="single" w:sz="8" w:space="0" w:color="000000"/>
              <w:left w:val="single" w:sz="8" w:space="0" w:color="000000"/>
              <w:bottom w:val="single" w:sz="8" w:space="0" w:color="000000"/>
              <w:right w:val="single" w:sz="8" w:space="0" w:color="000000"/>
            </w:tcBorders>
          </w:tcPr>
          <w:p w:rsidR="001E6973" w:rsidRDefault="001E6973" w:rsidP="001E6973">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Pr>
                <w:rFonts w:ascii="Times New Roman" w:hAnsi="Times New Roman"/>
                <w:color w:val="000000"/>
                <w:sz w:val="24"/>
                <w:szCs w:val="24"/>
                <w:lang w:val="uk-UA"/>
              </w:rPr>
              <w:t>0</w:t>
            </w:r>
          </w:p>
          <w:p w:rsidR="001E6973" w:rsidRDefault="001E6973" w:rsidP="001E6973">
            <w:pPr>
              <w:widowControl w:val="0"/>
              <w:autoSpaceDE w:val="0"/>
              <w:autoSpaceDN w:val="0"/>
              <w:adjustRightInd w:val="0"/>
              <w:spacing w:before="29" w:after="0" w:line="256" w:lineRule="exact"/>
              <w:ind w:left="15"/>
              <w:jc w:val="center"/>
              <w:rPr>
                <w:rFonts w:ascii="Times New Roman" w:hAnsi="Times New Roman"/>
                <w:color w:val="000000"/>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tcPr>
          <w:p w:rsidR="001E6973" w:rsidRDefault="001E6973" w:rsidP="00B04C3A">
            <w:pPr>
              <w:widowControl w:val="0"/>
              <w:autoSpaceDE w:val="0"/>
              <w:autoSpaceDN w:val="0"/>
              <w:adjustRightInd w:val="0"/>
              <w:spacing w:before="29" w:after="0" w:line="256" w:lineRule="exact"/>
              <w:ind w:left="15"/>
              <w:jc w:val="center"/>
              <w:rPr>
                <w:rFonts w:ascii="Times New Roman" w:hAnsi="Times New Roman"/>
                <w:color w:val="000000"/>
                <w:sz w:val="24"/>
                <w:szCs w:val="24"/>
              </w:rPr>
            </w:pPr>
            <w:r>
              <w:rPr>
                <w:rFonts w:ascii="Times New Roman" w:hAnsi="Times New Roman"/>
                <w:color w:val="000000"/>
                <w:sz w:val="24"/>
                <w:szCs w:val="24"/>
              </w:rPr>
              <w:t>5</w:t>
            </w:r>
          </w:p>
        </w:tc>
        <w:tc>
          <w:tcPr>
            <w:tcW w:w="1276" w:type="dxa"/>
            <w:tcBorders>
              <w:top w:val="single" w:sz="8" w:space="0" w:color="000000"/>
              <w:left w:val="single" w:sz="8" w:space="0" w:color="000000"/>
              <w:bottom w:val="single" w:sz="8" w:space="0" w:color="000000"/>
              <w:right w:val="single" w:sz="8" w:space="0" w:color="000000"/>
            </w:tcBorders>
          </w:tcPr>
          <w:p w:rsidR="001E6973" w:rsidRDefault="001E6973" w:rsidP="001E6973">
            <w:pPr>
              <w:widowControl w:val="0"/>
              <w:autoSpaceDE w:val="0"/>
              <w:autoSpaceDN w:val="0"/>
              <w:adjustRightInd w:val="0"/>
              <w:spacing w:before="29" w:after="0" w:line="256" w:lineRule="exact"/>
              <w:ind w:left="15"/>
              <w:jc w:val="center"/>
              <w:rPr>
                <w:rFonts w:ascii="Times New Roman" w:hAnsi="Times New Roman"/>
                <w:color w:val="000000"/>
                <w:sz w:val="24"/>
                <w:szCs w:val="24"/>
              </w:rPr>
            </w:pPr>
            <w:r>
              <w:rPr>
                <w:rFonts w:ascii="Times New Roman" w:hAnsi="Times New Roman"/>
                <w:color w:val="000000"/>
                <w:sz w:val="24"/>
                <w:szCs w:val="24"/>
                <w:lang w:val="uk-UA"/>
              </w:rPr>
              <w:t>0</w:t>
            </w:r>
          </w:p>
        </w:tc>
        <w:tc>
          <w:tcPr>
            <w:tcW w:w="1418" w:type="dxa"/>
            <w:gridSpan w:val="2"/>
            <w:tcBorders>
              <w:top w:val="single" w:sz="8" w:space="0" w:color="000000"/>
              <w:left w:val="single" w:sz="8" w:space="0" w:color="000000"/>
              <w:bottom w:val="single" w:sz="8" w:space="0" w:color="000000"/>
              <w:right w:val="single" w:sz="8" w:space="0" w:color="000000"/>
            </w:tcBorders>
          </w:tcPr>
          <w:p w:rsidR="001E6973" w:rsidRDefault="001E6973" w:rsidP="001E6973">
            <w:pPr>
              <w:widowControl w:val="0"/>
              <w:autoSpaceDE w:val="0"/>
              <w:autoSpaceDN w:val="0"/>
              <w:adjustRightInd w:val="0"/>
              <w:spacing w:before="29" w:after="0" w:line="256" w:lineRule="exact"/>
              <w:ind w:left="15"/>
              <w:jc w:val="center"/>
              <w:rPr>
                <w:rFonts w:ascii="Times New Roman" w:hAnsi="Times New Roman"/>
                <w:color w:val="000000"/>
                <w:sz w:val="24"/>
                <w:szCs w:val="24"/>
              </w:rPr>
            </w:pPr>
            <w:r>
              <w:rPr>
                <w:rFonts w:ascii="Times New Roman" w:hAnsi="Times New Roman"/>
                <w:color w:val="000000"/>
                <w:sz w:val="24"/>
                <w:szCs w:val="24"/>
                <w:lang w:val="uk-UA"/>
              </w:rPr>
              <w:t>0</w:t>
            </w:r>
          </w:p>
        </w:tc>
        <w:tc>
          <w:tcPr>
            <w:tcW w:w="1275" w:type="dxa"/>
            <w:tcBorders>
              <w:top w:val="single" w:sz="8" w:space="0" w:color="000000"/>
              <w:left w:val="single" w:sz="8" w:space="0" w:color="000000"/>
              <w:bottom w:val="single" w:sz="8" w:space="0" w:color="000000"/>
              <w:right w:val="single" w:sz="8" w:space="0" w:color="000000"/>
            </w:tcBorders>
          </w:tcPr>
          <w:p w:rsidR="001E6973" w:rsidRDefault="001E6973" w:rsidP="001E6973">
            <w:pPr>
              <w:widowControl w:val="0"/>
              <w:autoSpaceDE w:val="0"/>
              <w:autoSpaceDN w:val="0"/>
              <w:adjustRightInd w:val="0"/>
              <w:spacing w:before="29" w:after="0" w:line="256" w:lineRule="exact"/>
              <w:ind w:left="15"/>
              <w:jc w:val="center"/>
              <w:rPr>
                <w:rFonts w:ascii="Times New Roman" w:hAnsi="Times New Roman"/>
                <w:color w:val="000000"/>
                <w:sz w:val="24"/>
                <w:szCs w:val="24"/>
              </w:rPr>
            </w:pPr>
            <w:r>
              <w:rPr>
                <w:rFonts w:ascii="Times New Roman" w:hAnsi="Times New Roman"/>
                <w:color w:val="000000"/>
                <w:sz w:val="24"/>
                <w:szCs w:val="24"/>
                <w:lang w:val="uk-UA"/>
              </w:rPr>
              <w:t>0</w:t>
            </w:r>
          </w:p>
        </w:tc>
      </w:tr>
    </w:tbl>
    <w:p w:rsidR="00466C2F" w:rsidRPr="00B705E1" w:rsidRDefault="00466C2F" w:rsidP="000B4379">
      <w:pPr>
        <w:widowControl w:val="0"/>
        <w:autoSpaceDE w:val="0"/>
        <w:autoSpaceDN w:val="0"/>
        <w:adjustRightInd w:val="0"/>
        <w:spacing w:after="0" w:line="240" w:lineRule="auto"/>
        <w:ind w:left="15" w:firstLine="694"/>
        <w:jc w:val="both"/>
        <w:rPr>
          <w:rFonts w:ascii="Times New Roman" w:hAnsi="Times New Roman"/>
          <w:color w:val="000000"/>
          <w:sz w:val="24"/>
          <w:szCs w:val="24"/>
          <w:lang w:val="uk-UA"/>
        </w:rPr>
      </w:pPr>
      <w:r w:rsidRPr="00B705E1">
        <w:rPr>
          <w:rFonts w:ascii="Times New Roman" w:hAnsi="Times New Roman"/>
          <w:color w:val="000000"/>
          <w:sz w:val="24"/>
          <w:szCs w:val="24"/>
          <w:lang w:val="uk-UA"/>
        </w:rPr>
        <w:t xml:space="preserve">Упродовж звітного періоду на виконання пунктів заходів програми структурними підрозділами виконавчого органу Київської міської ради (Київської міської державної адміністрації), правоохоронними органами міста та громадськими формуваннями здійснювалися організаційні та практичні заходи, спрямовані на створення безпеки громадян, подальше покращення стану профілактичної роботи та запобігання злочинності в місті Києві, які відображені у Додатку 2. </w:t>
      </w:r>
    </w:p>
    <w:p w:rsidR="00466C2F" w:rsidRPr="00B705E1" w:rsidRDefault="00466C2F" w:rsidP="000B4379">
      <w:pPr>
        <w:spacing w:after="0" w:line="240" w:lineRule="auto"/>
        <w:ind w:right="-28" w:firstLine="694"/>
        <w:jc w:val="both"/>
        <w:rPr>
          <w:rFonts w:ascii="Times New Roman" w:hAnsi="Times New Roman"/>
          <w:sz w:val="24"/>
          <w:szCs w:val="24"/>
          <w:lang w:val="uk-UA"/>
        </w:rPr>
      </w:pPr>
      <w:r w:rsidRPr="00B705E1">
        <w:rPr>
          <w:rFonts w:ascii="Times New Roman" w:hAnsi="Times New Roman"/>
          <w:sz w:val="24"/>
          <w:szCs w:val="24"/>
          <w:lang w:val="uk-UA"/>
        </w:rPr>
        <w:t xml:space="preserve">Протягом останніх років відбувається тенденція до зниження кількості вчинених кримінальних правопорушень. </w:t>
      </w:r>
      <w:r w:rsidRPr="00B705E1">
        <w:rPr>
          <w:rStyle w:val="FontStyle18"/>
          <w:sz w:val="24"/>
          <w:szCs w:val="24"/>
          <w:lang w:val="uk-UA" w:eastAsia="uk-UA"/>
        </w:rPr>
        <w:t xml:space="preserve">Згідно даних ГУНП у м. Києві упродовж </w:t>
      </w:r>
      <w:r w:rsidR="00DC663B" w:rsidRPr="00B705E1">
        <w:rPr>
          <w:rStyle w:val="FontStyle18"/>
          <w:sz w:val="24"/>
          <w:szCs w:val="24"/>
          <w:lang w:val="uk-UA" w:eastAsia="uk-UA"/>
        </w:rPr>
        <w:t xml:space="preserve">першого кварталу </w:t>
      </w:r>
      <w:r w:rsidRPr="00B705E1">
        <w:rPr>
          <w:rStyle w:val="FontStyle18"/>
          <w:sz w:val="24"/>
          <w:szCs w:val="24"/>
          <w:lang w:val="uk-UA" w:eastAsia="uk-UA"/>
        </w:rPr>
        <w:t>20</w:t>
      </w:r>
      <w:r w:rsidR="00DC663B" w:rsidRPr="00B705E1">
        <w:rPr>
          <w:rStyle w:val="FontStyle18"/>
          <w:sz w:val="24"/>
          <w:szCs w:val="24"/>
          <w:lang w:val="uk-UA" w:eastAsia="uk-UA"/>
        </w:rPr>
        <w:t>20</w:t>
      </w:r>
      <w:r w:rsidRPr="00B705E1">
        <w:rPr>
          <w:rStyle w:val="FontStyle18"/>
          <w:sz w:val="24"/>
          <w:szCs w:val="24"/>
          <w:lang w:val="uk-UA" w:eastAsia="uk-UA"/>
        </w:rPr>
        <w:t xml:space="preserve"> року </w:t>
      </w:r>
      <w:r w:rsidRPr="00B705E1">
        <w:rPr>
          <w:rFonts w:ascii="Times New Roman" w:hAnsi="Times New Roman"/>
          <w:sz w:val="24"/>
          <w:szCs w:val="24"/>
          <w:lang w:val="uk-UA"/>
        </w:rPr>
        <w:t>на території столиці вчинено на 1</w:t>
      </w:r>
      <w:r w:rsidR="00DC663B" w:rsidRPr="00B705E1">
        <w:rPr>
          <w:rFonts w:ascii="Times New Roman" w:hAnsi="Times New Roman"/>
          <w:sz w:val="24"/>
          <w:szCs w:val="24"/>
          <w:lang w:val="uk-UA"/>
        </w:rPr>
        <w:t>2</w:t>
      </w:r>
      <w:r w:rsidRPr="00B705E1">
        <w:rPr>
          <w:rFonts w:ascii="Times New Roman" w:hAnsi="Times New Roman"/>
          <w:sz w:val="24"/>
          <w:szCs w:val="24"/>
          <w:lang w:val="uk-UA"/>
        </w:rPr>
        <w:t>% менше кримінальних правопорушень, ніж за аналогічний період минулого року (</w:t>
      </w:r>
      <w:r w:rsidR="00DC663B" w:rsidRPr="00B705E1">
        <w:rPr>
          <w:rFonts w:ascii="Times New Roman" w:hAnsi="Times New Roman"/>
          <w:sz w:val="24"/>
          <w:szCs w:val="24"/>
          <w:lang w:val="uk-UA"/>
        </w:rPr>
        <w:t>1</w:t>
      </w:r>
      <w:r w:rsidRPr="00B705E1">
        <w:rPr>
          <w:rFonts w:ascii="Times New Roman" w:hAnsi="Times New Roman"/>
          <w:sz w:val="24"/>
          <w:szCs w:val="24"/>
          <w:lang w:val="uk-UA"/>
        </w:rPr>
        <w:t xml:space="preserve">4 </w:t>
      </w:r>
      <w:r w:rsidR="00DC663B" w:rsidRPr="00B705E1">
        <w:rPr>
          <w:rFonts w:ascii="Times New Roman" w:hAnsi="Times New Roman"/>
          <w:sz w:val="24"/>
          <w:szCs w:val="24"/>
          <w:lang w:val="uk-UA"/>
        </w:rPr>
        <w:t>231</w:t>
      </w:r>
      <w:r w:rsidRPr="00B705E1">
        <w:rPr>
          <w:rFonts w:ascii="Times New Roman" w:hAnsi="Times New Roman"/>
          <w:sz w:val="24"/>
          <w:szCs w:val="24"/>
          <w:lang w:val="uk-UA"/>
        </w:rPr>
        <w:t xml:space="preserve"> проти </w:t>
      </w:r>
      <w:r w:rsidR="00DC663B" w:rsidRPr="00B705E1">
        <w:rPr>
          <w:rFonts w:ascii="Times New Roman" w:hAnsi="Times New Roman"/>
          <w:sz w:val="24"/>
          <w:szCs w:val="24"/>
          <w:lang w:val="uk-UA"/>
        </w:rPr>
        <w:t>16</w:t>
      </w:r>
      <w:r w:rsidRPr="00B705E1">
        <w:rPr>
          <w:rFonts w:ascii="Times New Roman" w:hAnsi="Times New Roman"/>
          <w:sz w:val="24"/>
          <w:szCs w:val="24"/>
          <w:lang w:val="uk-UA"/>
        </w:rPr>
        <w:t xml:space="preserve"> 1</w:t>
      </w:r>
      <w:r w:rsidR="00DC663B" w:rsidRPr="00B705E1">
        <w:rPr>
          <w:rFonts w:ascii="Times New Roman" w:hAnsi="Times New Roman"/>
          <w:sz w:val="24"/>
          <w:szCs w:val="24"/>
          <w:lang w:val="uk-UA"/>
        </w:rPr>
        <w:t>81</w:t>
      </w:r>
      <w:r w:rsidRPr="00B705E1">
        <w:rPr>
          <w:rFonts w:ascii="Times New Roman" w:hAnsi="Times New Roman"/>
          <w:sz w:val="24"/>
          <w:szCs w:val="24"/>
          <w:lang w:val="uk-UA"/>
        </w:rPr>
        <w:t xml:space="preserve">), в тому числі </w:t>
      </w:r>
      <w:r w:rsidR="00DC663B" w:rsidRPr="00B705E1">
        <w:rPr>
          <w:rFonts w:ascii="Times New Roman" w:hAnsi="Times New Roman"/>
          <w:sz w:val="24"/>
          <w:szCs w:val="24"/>
          <w:lang w:val="uk-UA"/>
        </w:rPr>
        <w:t>3 991</w:t>
      </w:r>
      <w:r w:rsidRPr="00B705E1">
        <w:rPr>
          <w:rFonts w:ascii="Times New Roman" w:hAnsi="Times New Roman"/>
          <w:sz w:val="24"/>
          <w:szCs w:val="24"/>
          <w:lang w:val="uk-UA"/>
        </w:rPr>
        <w:t xml:space="preserve"> тяжких та особливо тяжких злочинів, що на 1</w:t>
      </w:r>
      <w:r w:rsidR="00DC663B" w:rsidRPr="00B705E1">
        <w:rPr>
          <w:rFonts w:ascii="Times New Roman" w:hAnsi="Times New Roman"/>
          <w:sz w:val="24"/>
          <w:szCs w:val="24"/>
          <w:lang w:val="uk-UA"/>
        </w:rPr>
        <w:t>7</w:t>
      </w:r>
      <w:r w:rsidRPr="00B705E1">
        <w:rPr>
          <w:rFonts w:ascii="Times New Roman" w:hAnsi="Times New Roman"/>
          <w:sz w:val="24"/>
          <w:szCs w:val="24"/>
          <w:lang w:val="uk-UA"/>
        </w:rPr>
        <w:t>% менше 201</w:t>
      </w:r>
      <w:r w:rsidR="00DC663B" w:rsidRPr="00B705E1">
        <w:rPr>
          <w:rFonts w:ascii="Times New Roman" w:hAnsi="Times New Roman"/>
          <w:sz w:val="24"/>
          <w:szCs w:val="24"/>
          <w:lang w:val="uk-UA"/>
        </w:rPr>
        <w:t>9</w:t>
      </w:r>
      <w:r w:rsidRPr="00B705E1">
        <w:rPr>
          <w:rFonts w:ascii="Times New Roman" w:hAnsi="Times New Roman"/>
          <w:sz w:val="24"/>
          <w:szCs w:val="24"/>
          <w:lang w:val="uk-UA"/>
        </w:rPr>
        <w:t xml:space="preserve"> року (</w:t>
      </w:r>
      <w:r w:rsidR="00DC663B" w:rsidRPr="00B705E1">
        <w:rPr>
          <w:rFonts w:ascii="Times New Roman" w:hAnsi="Times New Roman"/>
          <w:sz w:val="24"/>
          <w:szCs w:val="24"/>
          <w:lang w:val="uk-UA"/>
        </w:rPr>
        <w:t>4</w:t>
      </w:r>
      <w:r w:rsidRPr="00B705E1">
        <w:rPr>
          <w:rFonts w:ascii="Times New Roman" w:hAnsi="Times New Roman"/>
          <w:sz w:val="24"/>
          <w:szCs w:val="24"/>
          <w:lang w:val="uk-UA"/>
        </w:rPr>
        <w:t> </w:t>
      </w:r>
      <w:r w:rsidR="00DC663B" w:rsidRPr="00B705E1">
        <w:rPr>
          <w:rFonts w:ascii="Times New Roman" w:hAnsi="Times New Roman"/>
          <w:sz w:val="24"/>
          <w:szCs w:val="24"/>
          <w:lang w:val="uk-UA"/>
        </w:rPr>
        <w:t>824</w:t>
      </w:r>
      <w:r w:rsidRPr="00B705E1">
        <w:rPr>
          <w:rFonts w:ascii="Times New Roman" w:hAnsi="Times New Roman"/>
          <w:sz w:val="24"/>
          <w:szCs w:val="24"/>
          <w:lang w:val="uk-UA"/>
        </w:rPr>
        <w:t>).</w:t>
      </w:r>
    </w:p>
    <w:p w:rsidR="00466C2F" w:rsidRPr="00B705E1" w:rsidRDefault="00466C2F" w:rsidP="000B4379">
      <w:pPr>
        <w:spacing w:after="0" w:line="240" w:lineRule="auto"/>
        <w:ind w:right="-28" w:firstLine="694"/>
        <w:jc w:val="both"/>
        <w:rPr>
          <w:rFonts w:ascii="Times New Roman" w:hAnsi="Times New Roman"/>
          <w:sz w:val="24"/>
          <w:szCs w:val="24"/>
          <w:lang w:val="uk-UA"/>
        </w:rPr>
      </w:pPr>
      <w:r w:rsidRPr="00B705E1">
        <w:rPr>
          <w:rFonts w:ascii="Times New Roman" w:hAnsi="Times New Roman"/>
          <w:sz w:val="24"/>
          <w:szCs w:val="24"/>
          <w:lang w:val="uk-UA"/>
        </w:rPr>
        <w:t>Рівень злочинності на 10 тис. населення зменшився та становить</w:t>
      </w:r>
      <w:r w:rsidR="00DC663B" w:rsidRPr="00B705E1">
        <w:rPr>
          <w:rFonts w:ascii="Times New Roman" w:hAnsi="Times New Roman"/>
          <w:sz w:val="24"/>
          <w:szCs w:val="24"/>
          <w:lang w:val="uk-UA"/>
        </w:rPr>
        <w:t xml:space="preserve"> 48</w:t>
      </w:r>
      <w:r w:rsidRPr="00B705E1">
        <w:rPr>
          <w:rFonts w:ascii="Times New Roman" w:hAnsi="Times New Roman"/>
          <w:sz w:val="24"/>
          <w:szCs w:val="24"/>
          <w:lang w:val="uk-UA"/>
        </w:rPr>
        <w:t xml:space="preserve"> кримінальних правопорушень (у 201</w:t>
      </w:r>
      <w:r w:rsidR="00DC663B" w:rsidRPr="00B705E1">
        <w:rPr>
          <w:rFonts w:ascii="Times New Roman" w:hAnsi="Times New Roman"/>
          <w:sz w:val="24"/>
          <w:szCs w:val="24"/>
          <w:lang w:val="uk-UA"/>
        </w:rPr>
        <w:t>9</w:t>
      </w:r>
      <w:r w:rsidRPr="00B705E1">
        <w:rPr>
          <w:rFonts w:ascii="Times New Roman" w:hAnsi="Times New Roman"/>
          <w:sz w:val="24"/>
          <w:szCs w:val="24"/>
          <w:lang w:val="uk-UA"/>
        </w:rPr>
        <w:t xml:space="preserve"> році – </w:t>
      </w:r>
      <w:r w:rsidR="00DC663B" w:rsidRPr="00B705E1">
        <w:rPr>
          <w:rFonts w:ascii="Times New Roman" w:hAnsi="Times New Roman"/>
          <w:sz w:val="24"/>
          <w:szCs w:val="24"/>
          <w:lang w:val="uk-UA"/>
        </w:rPr>
        <w:t>55</w:t>
      </w:r>
      <w:r w:rsidRPr="00B705E1">
        <w:rPr>
          <w:rFonts w:ascii="Times New Roman" w:hAnsi="Times New Roman"/>
          <w:sz w:val="24"/>
          <w:szCs w:val="24"/>
          <w:lang w:val="uk-UA"/>
        </w:rPr>
        <w:t>).</w:t>
      </w:r>
      <w:r w:rsidR="00DC663B" w:rsidRPr="00B705E1">
        <w:rPr>
          <w:sz w:val="24"/>
          <w:szCs w:val="24"/>
          <w:lang w:val="uk-UA"/>
        </w:rPr>
        <w:t xml:space="preserve"> </w:t>
      </w:r>
    </w:p>
    <w:p w:rsidR="00DC663B" w:rsidRPr="00B705E1" w:rsidRDefault="00466C2F" w:rsidP="000B4379">
      <w:pPr>
        <w:widowControl w:val="0"/>
        <w:autoSpaceDE w:val="0"/>
        <w:autoSpaceDN w:val="0"/>
        <w:adjustRightInd w:val="0"/>
        <w:spacing w:after="0" w:line="240" w:lineRule="auto"/>
        <w:ind w:left="15" w:firstLine="694"/>
        <w:jc w:val="both"/>
        <w:rPr>
          <w:rFonts w:ascii="Times New Roman" w:hAnsi="Times New Roman"/>
          <w:sz w:val="24"/>
          <w:szCs w:val="24"/>
          <w:lang w:val="uk-UA"/>
        </w:rPr>
      </w:pPr>
      <w:r w:rsidRPr="00B705E1">
        <w:rPr>
          <w:rFonts w:ascii="Times New Roman" w:hAnsi="Times New Roman"/>
          <w:color w:val="000000"/>
          <w:sz w:val="24"/>
          <w:szCs w:val="24"/>
          <w:lang w:val="uk-UA"/>
        </w:rPr>
        <w:t xml:space="preserve">На території столиці упродовж </w:t>
      </w:r>
      <w:r w:rsidR="00DC663B" w:rsidRPr="00B705E1">
        <w:rPr>
          <w:rFonts w:ascii="Times New Roman" w:hAnsi="Times New Roman"/>
          <w:color w:val="000000"/>
          <w:sz w:val="24"/>
          <w:szCs w:val="24"/>
          <w:lang w:val="uk-UA"/>
        </w:rPr>
        <w:t xml:space="preserve"> першого кварталу </w:t>
      </w:r>
      <w:r w:rsidRPr="00B705E1">
        <w:rPr>
          <w:rFonts w:ascii="Times New Roman" w:hAnsi="Times New Roman"/>
          <w:color w:val="000000"/>
          <w:sz w:val="24"/>
          <w:szCs w:val="24"/>
          <w:lang w:val="uk-UA"/>
        </w:rPr>
        <w:t>20</w:t>
      </w:r>
      <w:r w:rsidR="00DC663B" w:rsidRPr="00B705E1">
        <w:rPr>
          <w:rFonts w:ascii="Times New Roman" w:hAnsi="Times New Roman"/>
          <w:color w:val="000000"/>
          <w:sz w:val="24"/>
          <w:szCs w:val="24"/>
          <w:lang w:val="uk-UA"/>
        </w:rPr>
        <w:t>20</w:t>
      </w:r>
      <w:r w:rsidRPr="00B705E1">
        <w:rPr>
          <w:rFonts w:ascii="Times New Roman" w:hAnsi="Times New Roman"/>
          <w:color w:val="000000"/>
          <w:sz w:val="24"/>
          <w:szCs w:val="24"/>
          <w:lang w:val="uk-UA"/>
        </w:rPr>
        <w:t xml:space="preserve"> року спостерігається зменшення</w:t>
      </w:r>
      <w:r w:rsidR="004D1510" w:rsidRPr="00B705E1">
        <w:rPr>
          <w:rFonts w:ascii="Times New Roman" w:hAnsi="Times New Roman"/>
          <w:color w:val="000000"/>
          <w:sz w:val="24"/>
          <w:szCs w:val="24"/>
          <w:lang w:val="uk-UA"/>
        </w:rPr>
        <w:t>, у порівнянні з 201</w:t>
      </w:r>
      <w:r w:rsidR="00DC663B" w:rsidRPr="00B705E1">
        <w:rPr>
          <w:rFonts w:ascii="Times New Roman" w:hAnsi="Times New Roman"/>
          <w:color w:val="000000"/>
          <w:sz w:val="24"/>
          <w:szCs w:val="24"/>
          <w:lang w:val="uk-UA"/>
        </w:rPr>
        <w:t>9</w:t>
      </w:r>
      <w:r w:rsidR="004D1510" w:rsidRPr="00B705E1">
        <w:rPr>
          <w:rFonts w:ascii="Times New Roman" w:hAnsi="Times New Roman"/>
          <w:color w:val="000000"/>
          <w:sz w:val="24"/>
          <w:szCs w:val="24"/>
          <w:lang w:val="uk-UA"/>
        </w:rPr>
        <w:t xml:space="preserve"> роком,</w:t>
      </w:r>
      <w:r w:rsidRPr="00B705E1">
        <w:rPr>
          <w:rFonts w:ascii="Times New Roman" w:hAnsi="Times New Roman"/>
          <w:color w:val="000000"/>
          <w:sz w:val="24"/>
          <w:szCs w:val="24"/>
          <w:lang w:val="uk-UA"/>
        </w:rPr>
        <w:t xml:space="preserve"> кількості зареєстрованих </w:t>
      </w:r>
      <w:r w:rsidR="00DC663B" w:rsidRPr="00B705E1">
        <w:rPr>
          <w:rFonts w:ascii="Times New Roman" w:hAnsi="Times New Roman"/>
          <w:sz w:val="24"/>
          <w:szCs w:val="24"/>
          <w:lang w:val="uk-UA"/>
        </w:rPr>
        <w:t xml:space="preserve"> умисних вбивств (18 проти 22), зґвалтувань (3 проти 4), розбійних нападів (60 проти 69), грабежів (357 проти 432), крадіжок (6111 проти 7784),</w:t>
      </w:r>
      <w:r w:rsidR="00221BAD" w:rsidRPr="00B705E1">
        <w:rPr>
          <w:rFonts w:ascii="Times New Roman" w:hAnsi="Times New Roman"/>
          <w:sz w:val="24"/>
          <w:szCs w:val="24"/>
          <w:lang w:val="uk-UA"/>
        </w:rPr>
        <w:t xml:space="preserve"> </w:t>
      </w:r>
      <w:r w:rsidR="00DC663B" w:rsidRPr="00B705E1">
        <w:rPr>
          <w:rFonts w:ascii="Times New Roman" w:hAnsi="Times New Roman"/>
          <w:sz w:val="24"/>
          <w:szCs w:val="24"/>
          <w:lang w:val="uk-UA"/>
        </w:rPr>
        <w:t xml:space="preserve">у </w:t>
      </w:r>
      <w:proofErr w:type="spellStart"/>
      <w:r w:rsidR="00DC663B" w:rsidRPr="00B705E1">
        <w:rPr>
          <w:rFonts w:ascii="Times New Roman" w:hAnsi="Times New Roman"/>
          <w:sz w:val="24"/>
          <w:szCs w:val="24"/>
          <w:lang w:val="uk-UA"/>
        </w:rPr>
        <w:t>т.ч</w:t>
      </w:r>
      <w:proofErr w:type="spellEnd"/>
      <w:r w:rsidR="00DC663B" w:rsidRPr="00B705E1">
        <w:rPr>
          <w:rFonts w:ascii="Times New Roman" w:hAnsi="Times New Roman"/>
          <w:sz w:val="24"/>
          <w:szCs w:val="24"/>
          <w:lang w:val="uk-UA"/>
        </w:rPr>
        <w:t xml:space="preserve">.: з автотранспорту (615 проти 701), з квартир (812 проти 1102), кишенькових </w:t>
      </w:r>
      <w:r w:rsidR="00221BAD" w:rsidRPr="00B705E1">
        <w:rPr>
          <w:rFonts w:ascii="Times New Roman" w:hAnsi="Times New Roman"/>
          <w:sz w:val="24"/>
          <w:szCs w:val="24"/>
          <w:lang w:val="uk-UA"/>
        </w:rPr>
        <w:t xml:space="preserve"> </w:t>
      </w:r>
      <w:r w:rsidR="00DC663B" w:rsidRPr="00B705E1">
        <w:rPr>
          <w:rFonts w:ascii="Times New Roman" w:hAnsi="Times New Roman"/>
          <w:sz w:val="24"/>
          <w:szCs w:val="24"/>
          <w:lang w:val="uk-UA"/>
        </w:rPr>
        <w:t xml:space="preserve">(635 проти 1069), </w:t>
      </w:r>
      <w:proofErr w:type="spellStart"/>
      <w:r w:rsidR="00DC663B" w:rsidRPr="00B705E1">
        <w:rPr>
          <w:rFonts w:ascii="Times New Roman" w:hAnsi="Times New Roman"/>
          <w:sz w:val="24"/>
          <w:szCs w:val="24"/>
          <w:lang w:val="uk-UA"/>
        </w:rPr>
        <w:t>шахрайств</w:t>
      </w:r>
      <w:proofErr w:type="spellEnd"/>
      <w:r w:rsidR="00DC663B" w:rsidRPr="00B705E1">
        <w:rPr>
          <w:rFonts w:ascii="Times New Roman" w:hAnsi="Times New Roman"/>
          <w:sz w:val="24"/>
          <w:szCs w:val="24"/>
          <w:lang w:val="uk-UA"/>
        </w:rPr>
        <w:t xml:space="preserve"> (1506 проти 1875), </w:t>
      </w:r>
      <w:proofErr w:type="spellStart"/>
      <w:r w:rsidR="00DC663B" w:rsidRPr="00B705E1">
        <w:rPr>
          <w:rFonts w:ascii="Times New Roman" w:hAnsi="Times New Roman"/>
          <w:sz w:val="24"/>
          <w:szCs w:val="24"/>
          <w:lang w:val="uk-UA"/>
        </w:rPr>
        <w:t>хуліганств</w:t>
      </w:r>
      <w:proofErr w:type="spellEnd"/>
      <w:r w:rsidR="00DC663B" w:rsidRPr="00B705E1">
        <w:rPr>
          <w:rFonts w:ascii="Times New Roman" w:hAnsi="Times New Roman"/>
          <w:sz w:val="24"/>
          <w:szCs w:val="24"/>
          <w:lang w:val="uk-UA"/>
        </w:rPr>
        <w:t xml:space="preserve"> (108 проти 128) та незаконних заволодінь </w:t>
      </w:r>
      <w:r w:rsidR="00DC663B" w:rsidRPr="00B705E1">
        <w:rPr>
          <w:rFonts w:ascii="Times New Roman" w:hAnsi="Times New Roman"/>
          <w:spacing w:val="-1"/>
          <w:sz w:val="24"/>
          <w:szCs w:val="24"/>
          <w:lang w:val="uk-UA"/>
        </w:rPr>
        <w:t>транспортними засобами (157 проти 189)</w:t>
      </w:r>
      <w:r w:rsidR="00DC663B" w:rsidRPr="00B705E1">
        <w:rPr>
          <w:rFonts w:ascii="Times New Roman" w:hAnsi="Times New Roman"/>
          <w:sz w:val="24"/>
          <w:szCs w:val="24"/>
          <w:lang w:val="uk-UA"/>
        </w:rPr>
        <w:t>.</w:t>
      </w:r>
    </w:p>
    <w:p w:rsidR="00221BAD" w:rsidRPr="00B705E1" w:rsidRDefault="00221BAD" w:rsidP="000B4379">
      <w:pPr>
        <w:widowControl w:val="0"/>
        <w:autoSpaceDE w:val="0"/>
        <w:autoSpaceDN w:val="0"/>
        <w:adjustRightInd w:val="0"/>
        <w:spacing w:after="0" w:line="240" w:lineRule="auto"/>
        <w:ind w:left="15" w:firstLine="694"/>
        <w:jc w:val="both"/>
        <w:rPr>
          <w:rFonts w:ascii="Times New Roman" w:hAnsi="Times New Roman"/>
          <w:sz w:val="24"/>
          <w:szCs w:val="24"/>
          <w:lang w:val="uk-UA"/>
        </w:rPr>
      </w:pPr>
      <w:r w:rsidRPr="00B705E1">
        <w:rPr>
          <w:rFonts w:ascii="Times New Roman" w:hAnsi="Times New Roman"/>
          <w:sz w:val="24"/>
          <w:szCs w:val="24"/>
          <w:lang w:val="uk-UA"/>
        </w:rPr>
        <w:t>На 35,3 % зменшилось кількість кримінальних правопорушень, учинених неповнолітніми у порівняні з минулим роком (60 проти 93).</w:t>
      </w:r>
    </w:p>
    <w:p w:rsidR="000B4379" w:rsidRPr="00B705E1" w:rsidRDefault="000B4379" w:rsidP="000B4379">
      <w:pPr>
        <w:spacing w:after="0" w:line="240" w:lineRule="auto"/>
        <w:ind w:firstLine="694"/>
        <w:jc w:val="both"/>
        <w:rPr>
          <w:rFonts w:ascii="Times New Roman" w:hAnsi="Times New Roman"/>
          <w:color w:val="000000"/>
          <w:sz w:val="24"/>
          <w:szCs w:val="24"/>
          <w:lang w:val="uk-UA"/>
        </w:rPr>
      </w:pPr>
      <w:r w:rsidRPr="00B705E1">
        <w:rPr>
          <w:rFonts w:ascii="Times New Roman" w:hAnsi="Times New Roman"/>
          <w:color w:val="000000"/>
          <w:sz w:val="24"/>
          <w:szCs w:val="24"/>
          <w:lang w:val="uk-UA"/>
        </w:rPr>
        <w:t>З метою попередження порушень чинного законодавства у сфері державної безпеки Головним управління СБУ у м. Києві та Київській області проведено 316 профілактичних заходів, у т. ч. 29 у формі офіційного застереження.</w:t>
      </w:r>
    </w:p>
    <w:p w:rsidR="004F552D" w:rsidRPr="00B705E1" w:rsidRDefault="004F552D" w:rsidP="000B4379">
      <w:pPr>
        <w:spacing w:after="0" w:line="240" w:lineRule="auto"/>
        <w:ind w:firstLine="694"/>
        <w:jc w:val="both"/>
        <w:rPr>
          <w:rFonts w:ascii="Times New Roman" w:hAnsi="Times New Roman"/>
          <w:color w:val="000000"/>
          <w:sz w:val="24"/>
          <w:szCs w:val="24"/>
          <w:lang w:val="uk-UA"/>
        </w:rPr>
      </w:pPr>
    </w:p>
    <w:tbl>
      <w:tblPr>
        <w:tblW w:w="10065" w:type="dxa"/>
        <w:tblInd w:w="15" w:type="dxa"/>
        <w:tblLayout w:type="fixed"/>
        <w:tblCellMar>
          <w:left w:w="15" w:type="dxa"/>
          <w:right w:w="15" w:type="dxa"/>
        </w:tblCellMar>
        <w:tblLook w:val="0000" w:firstRow="0" w:lastRow="0" w:firstColumn="0" w:lastColumn="0" w:noHBand="0" w:noVBand="0"/>
      </w:tblPr>
      <w:tblGrid>
        <w:gridCol w:w="10065"/>
      </w:tblGrid>
      <w:tr w:rsidR="004F552D" w:rsidRPr="004F552D" w:rsidTr="004F552D">
        <w:trPr>
          <w:trHeight w:hRule="exact" w:val="329"/>
        </w:trPr>
        <w:tc>
          <w:tcPr>
            <w:tcW w:w="10065" w:type="dxa"/>
            <w:tcBorders>
              <w:top w:val="nil"/>
              <w:left w:val="nil"/>
              <w:bottom w:val="nil"/>
              <w:right w:val="nil"/>
            </w:tcBorders>
          </w:tcPr>
          <w:p w:rsidR="004F552D" w:rsidRPr="003F1946" w:rsidRDefault="004F552D" w:rsidP="00B705E1">
            <w:pPr>
              <w:widowControl w:val="0"/>
              <w:autoSpaceDE w:val="0"/>
              <w:autoSpaceDN w:val="0"/>
              <w:adjustRightInd w:val="0"/>
              <w:spacing w:before="29" w:after="0" w:line="256" w:lineRule="exact"/>
              <w:ind w:left="15" w:right="127"/>
              <w:jc w:val="center"/>
              <w:rPr>
                <w:rFonts w:ascii="Times New Roman" w:hAnsi="Times New Roman"/>
                <w:b/>
                <w:bCs/>
                <w:color w:val="000000"/>
                <w:sz w:val="24"/>
                <w:szCs w:val="24"/>
                <w:lang w:val="uk-UA"/>
              </w:rPr>
            </w:pPr>
            <w:r w:rsidRPr="003F1946">
              <w:rPr>
                <w:rFonts w:ascii="Times New Roman" w:hAnsi="Times New Roman"/>
                <w:b/>
                <w:bCs/>
                <w:color w:val="000000"/>
                <w:sz w:val="24"/>
                <w:szCs w:val="24"/>
                <w:lang w:val="uk-UA"/>
              </w:rPr>
              <w:t xml:space="preserve">3.Обґрунтування причин невиконання (низького виконання) програми в цілому </w:t>
            </w:r>
          </w:p>
        </w:tc>
      </w:tr>
      <w:tr w:rsidR="004F552D" w:rsidRPr="004F552D" w:rsidTr="004F552D">
        <w:trPr>
          <w:trHeight w:hRule="exact" w:val="551"/>
        </w:trPr>
        <w:tc>
          <w:tcPr>
            <w:tcW w:w="10065" w:type="dxa"/>
            <w:tcBorders>
              <w:top w:val="nil"/>
              <w:left w:val="nil"/>
              <w:bottom w:val="nil"/>
              <w:right w:val="nil"/>
            </w:tcBorders>
          </w:tcPr>
          <w:p w:rsidR="004F552D" w:rsidRPr="00B705E1" w:rsidRDefault="004F552D" w:rsidP="00A14BAE">
            <w:pPr>
              <w:widowControl w:val="0"/>
              <w:autoSpaceDE w:val="0"/>
              <w:autoSpaceDN w:val="0"/>
              <w:adjustRightInd w:val="0"/>
              <w:spacing w:before="29" w:after="0" w:line="256" w:lineRule="exact"/>
              <w:ind w:left="15" w:firstLine="679"/>
              <w:jc w:val="both"/>
              <w:rPr>
                <w:rFonts w:ascii="Times New Roman" w:hAnsi="Times New Roman"/>
                <w:color w:val="000000"/>
                <w:sz w:val="24"/>
                <w:szCs w:val="24"/>
                <w:lang w:val="uk-UA"/>
              </w:rPr>
            </w:pPr>
            <w:r w:rsidRPr="00B705E1">
              <w:rPr>
                <w:rFonts w:ascii="Times New Roman" w:hAnsi="Times New Roman"/>
                <w:color w:val="000000"/>
                <w:sz w:val="24"/>
                <w:szCs w:val="24"/>
                <w:lang w:val="uk-UA"/>
              </w:rPr>
              <w:t>Протягом першого кварталу 2020 року заходи програми профіна</w:t>
            </w:r>
            <w:r w:rsidR="003F1946" w:rsidRPr="00B705E1">
              <w:rPr>
                <w:rFonts w:ascii="Times New Roman" w:hAnsi="Times New Roman"/>
                <w:color w:val="000000"/>
                <w:sz w:val="24"/>
                <w:szCs w:val="24"/>
                <w:lang w:val="uk-UA"/>
              </w:rPr>
              <w:t>н</w:t>
            </w:r>
            <w:r w:rsidRPr="00B705E1">
              <w:rPr>
                <w:rFonts w:ascii="Times New Roman" w:hAnsi="Times New Roman"/>
                <w:color w:val="000000"/>
                <w:sz w:val="24"/>
                <w:szCs w:val="24"/>
                <w:lang w:val="uk-UA"/>
              </w:rPr>
              <w:t>совано на суму 1718,37</w:t>
            </w:r>
            <w:r w:rsidR="003F1946" w:rsidRPr="00B705E1">
              <w:rPr>
                <w:rFonts w:ascii="Times New Roman" w:hAnsi="Times New Roman"/>
                <w:color w:val="000000"/>
                <w:sz w:val="24"/>
                <w:szCs w:val="24"/>
                <w:lang w:val="uk-UA"/>
              </w:rPr>
              <w:t xml:space="preserve"> </w:t>
            </w:r>
            <w:r w:rsidRPr="00B705E1">
              <w:rPr>
                <w:rFonts w:ascii="Times New Roman" w:hAnsi="Times New Roman"/>
                <w:color w:val="000000"/>
                <w:sz w:val="24"/>
                <w:szCs w:val="24"/>
                <w:lang w:val="uk-UA"/>
              </w:rPr>
              <w:t>тис. грн, шо становить 1,8 % від заплановано</w:t>
            </w:r>
            <w:r w:rsidR="00A14BAE">
              <w:rPr>
                <w:rFonts w:ascii="Times New Roman" w:hAnsi="Times New Roman"/>
                <w:color w:val="000000"/>
                <w:sz w:val="24"/>
                <w:szCs w:val="24"/>
                <w:lang w:val="uk-UA"/>
              </w:rPr>
              <w:t>го</w:t>
            </w:r>
            <w:r w:rsidRPr="00B705E1">
              <w:rPr>
                <w:rFonts w:ascii="Times New Roman" w:hAnsi="Times New Roman"/>
                <w:color w:val="000000"/>
                <w:sz w:val="24"/>
                <w:szCs w:val="24"/>
                <w:lang w:val="uk-UA"/>
              </w:rPr>
              <w:t xml:space="preserve">.   </w:t>
            </w:r>
          </w:p>
        </w:tc>
      </w:tr>
    </w:tbl>
    <w:p w:rsidR="003F1946" w:rsidRPr="00A14BAE" w:rsidRDefault="003F1946" w:rsidP="000B4379">
      <w:pPr>
        <w:spacing w:after="0" w:line="240" w:lineRule="auto"/>
        <w:jc w:val="both"/>
        <w:rPr>
          <w:rFonts w:ascii="Times New Roman" w:hAnsi="Times New Roman"/>
          <w:color w:val="000000"/>
          <w:sz w:val="24"/>
          <w:szCs w:val="24"/>
        </w:rPr>
      </w:pPr>
    </w:p>
    <w:p w:rsidR="00B705E1" w:rsidRDefault="00B705E1" w:rsidP="000B4379">
      <w:pPr>
        <w:spacing w:after="0" w:line="240" w:lineRule="auto"/>
        <w:jc w:val="both"/>
        <w:rPr>
          <w:rFonts w:ascii="Times New Roman" w:hAnsi="Times New Roman"/>
          <w:sz w:val="28"/>
          <w:szCs w:val="28"/>
          <w:lang w:val="uk-UA"/>
        </w:rPr>
      </w:pPr>
    </w:p>
    <w:p w:rsidR="007A0F61" w:rsidRPr="00B705E1" w:rsidRDefault="007A0F61" w:rsidP="000B4379">
      <w:pPr>
        <w:spacing w:after="0" w:line="240" w:lineRule="auto"/>
        <w:jc w:val="both"/>
        <w:rPr>
          <w:rFonts w:ascii="Times New Roman" w:hAnsi="Times New Roman"/>
          <w:color w:val="000000"/>
          <w:sz w:val="24"/>
          <w:szCs w:val="24"/>
          <w:lang w:val="uk-UA"/>
        </w:rPr>
      </w:pPr>
      <w:r w:rsidRPr="00B705E1">
        <w:rPr>
          <w:rFonts w:ascii="Times New Roman" w:hAnsi="Times New Roman"/>
          <w:sz w:val="24"/>
          <w:szCs w:val="24"/>
          <w:lang w:val="uk-UA"/>
        </w:rPr>
        <w:t xml:space="preserve">Начальник управління з питань взаємодії </w:t>
      </w:r>
    </w:p>
    <w:p w:rsidR="007A0F61" w:rsidRPr="00B705E1" w:rsidRDefault="007A0F61" w:rsidP="000B4379">
      <w:pPr>
        <w:spacing w:after="0" w:line="240" w:lineRule="auto"/>
        <w:jc w:val="both"/>
        <w:rPr>
          <w:rFonts w:ascii="Times New Roman" w:hAnsi="Times New Roman"/>
          <w:sz w:val="24"/>
          <w:szCs w:val="24"/>
          <w:lang w:val="uk-UA"/>
        </w:rPr>
      </w:pPr>
      <w:r w:rsidRPr="00B705E1">
        <w:rPr>
          <w:rFonts w:ascii="Times New Roman" w:hAnsi="Times New Roman"/>
          <w:sz w:val="24"/>
          <w:szCs w:val="24"/>
          <w:lang w:val="uk-UA"/>
        </w:rPr>
        <w:t xml:space="preserve">з правоохоронними органами по забезпеченню </w:t>
      </w:r>
    </w:p>
    <w:p w:rsidR="007A0F61" w:rsidRPr="00B705E1" w:rsidRDefault="007A0F61" w:rsidP="004F552D">
      <w:pPr>
        <w:spacing w:after="0" w:line="240" w:lineRule="auto"/>
        <w:jc w:val="both"/>
        <w:rPr>
          <w:sz w:val="24"/>
          <w:szCs w:val="24"/>
          <w:lang w:val="uk-UA"/>
        </w:rPr>
      </w:pPr>
      <w:r w:rsidRPr="00B705E1">
        <w:rPr>
          <w:rFonts w:ascii="Times New Roman" w:hAnsi="Times New Roman"/>
          <w:sz w:val="24"/>
          <w:szCs w:val="24"/>
          <w:lang w:val="uk-UA"/>
        </w:rPr>
        <w:t>правопорядку та муніципальної безпеки</w:t>
      </w:r>
      <w:r w:rsidRPr="00B705E1">
        <w:rPr>
          <w:rFonts w:ascii="Times New Roman" w:hAnsi="Times New Roman"/>
          <w:b/>
          <w:sz w:val="24"/>
          <w:szCs w:val="24"/>
          <w:lang w:val="uk-UA"/>
        </w:rPr>
        <w:t xml:space="preserve">             </w:t>
      </w:r>
      <w:r w:rsidR="003F1946" w:rsidRPr="00B705E1">
        <w:rPr>
          <w:rFonts w:ascii="Times New Roman" w:hAnsi="Times New Roman"/>
          <w:b/>
          <w:sz w:val="24"/>
          <w:szCs w:val="24"/>
          <w:lang w:val="uk-UA"/>
        </w:rPr>
        <w:t xml:space="preserve"> </w:t>
      </w:r>
      <w:r w:rsidR="004F552D" w:rsidRPr="00B705E1">
        <w:rPr>
          <w:rFonts w:ascii="Times New Roman" w:hAnsi="Times New Roman"/>
          <w:b/>
          <w:sz w:val="24"/>
          <w:szCs w:val="24"/>
          <w:lang w:val="uk-UA"/>
        </w:rPr>
        <w:t xml:space="preserve">    </w:t>
      </w:r>
      <w:r w:rsidR="00B705E1">
        <w:rPr>
          <w:rFonts w:ascii="Times New Roman" w:hAnsi="Times New Roman"/>
          <w:b/>
          <w:sz w:val="24"/>
          <w:szCs w:val="24"/>
          <w:lang w:val="uk-UA"/>
        </w:rPr>
        <w:t xml:space="preserve">              </w:t>
      </w:r>
      <w:r w:rsidR="004F552D" w:rsidRPr="00B705E1">
        <w:rPr>
          <w:rFonts w:ascii="Times New Roman" w:hAnsi="Times New Roman"/>
          <w:b/>
          <w:sz w:val="24"/>
          <w:szCs w:val="24"/>
          <w:lang w:val="uk-UA"/>
        </w:rPr>
        <w:t xml:space="preserve"> </w:t>
      </w:r>
      <w:r w:rsidRPr="00B705E1">
        <w:rPr>
          <w:rFonts w:ascii="Times New Roman" w:hAnsi="Times New Roman"/>
          <w:b/>
          <w:sz w:val="24"/>
          <w:szCs w:val="24"/>
          <w:lang w:val="uk-UA"/>
        </w:rPr>
        <w:t xml:space="preserve">    </w:t>
      </w:r>
      <w:r w:rsidRPr="00B705E1">
        <w:rPr>
          <w:rFonts w:ascii="Times New Roman" w:hAnsi="Times New Roman"/>
          <w:sz w:val="24"/>
          <w:szCs w:val="24"/>
          <w:lang w:val="uk-UA"/>
        </w:rPr>
        <w:t xml:space="preserve">Олег КУЯВСЬКИЙ </w:t>
      </w:r>
    </w:p>
    <w:sectPr w:rsidR="007A0F61" w:rsidRPr="00B705E1" w:rsidSect="00B705E1">
      <w:pgSz w:w="11926" w:h="16867"/>
      <w:pgMar w:top="567" w:right="444" w:bottom="565"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1703"/>
    <w:multiLevelType w:val="multilevel"/>
    <w:tmpl w:val="2C6C77F6"/>
    <w:lvl w:ilvl="0">
      <w:start w:val="1"/>
      <w:numFmt w:val="decimal"/>
      <w:lvlText w:val="%1."/>
      <w:lvlJc w:val="left"/>
      <w:pPr>
        <w:ind w:left="375" w:hanging="360"/>
      </w:pPr>
      <w:rPr>
        <w:rFonts w:cs="Times New Roman" w:hint="default"/>
      </w:rPr>
    </w:lvl>
    <w:lvl w:ilvl="1">
      <w:start w:val="2"/>
      <w:numFmt w:val="decimal"/>
      <w:isLgl/>
      <w:lvlText w:val="%1.%2."/>
      <w:lvlJc w:val="left"/>
      <w:pPr>
        <w:ind w:left="771" w:hanging="360"/>
      </w:pPr>
      <w:rPr>
        <w:rFonts w:hint="default"/>
        <w:b w:val="0"/>
      </w:rPr>
    </w:lvl>
    <w:lvl w:ilvl="2">
      <w:start w:val="1"/>
      <w:numFmt w:val="decimal"/>
      <w:isLgl/>
      <w:lvlText w:val="%1.%2.%3."/>
      <w:lvlJc w:val="left"/>
      <w:pPr>
        <w:ind w:left="1527" w:hanging="720"/>
      </w:pPr>
      <w:rPr>
        <w:rFonts w:hint="default"/>
        <w:b w:val="0"/>
      </w:rPr>
    </w:lvl>
    <w:lvl w:ilvl="3">
      <w:start w:val="1"/>
      <w:numFmt w:val="decimal"/>
      <w:isLgl/>
      <w:lvlText w:val="%1.%2.%3.%4."/>
      <w:lvlJc w:val="left"/>
      <w:pPr>
        <w:ind w:left="1923" w:hanging="720"/>
      </w:pPr>
      <w:rPr>
        <w:rFonts w:hint="default"/>
        <w:b w:val="0"/>
      </w:rPr>
    </w:lvl>
    <w:lvl w:ilvl="4">
      <w:start w:val="1"/>
      <w:numFmt w:val="decimal"/>
      <w:isLgl/>
      <w:lvlText w:val="%1.%2.%3.%4.%5."/>
      <w:lvlJc w:val="left"/>
      <w:pPr>
        <w:ind w:left="2679" w:hanging="1080"/>
      </w:pPr>
      <w:rPr>
        <w:rFonts w:hint="default"/>
        <w:b w:val="0"/>
      </w:rPr>
    </w:lvl>
    <w:lvl w:ilvl="5">
      <w:start w:val="1"/>
      <w:numFmt w:val="decimal"/>
      <w:isLgl/>
      <w:lvlText w:val="%1.%2.%3.%4.%5.%6."/>
      <w:lvlJc w:val="left"/>
      <w:pPr>
        <w:ind w:left="3075" w:hanging="1080"/>
      </w:pPr>
      <w:rPr>
        <w:rFonts w:hint="default"/>
        <w:b w:val="0"/>
      </w:rPr>
    </w:lvl>
    <w:lvl w:ilvl="6">
      <w:start w:val="1"/>
      <w:numFmt w:val="decimal"/>
      <w:isLgl/>
      <w:lvlText w:val="%1.%2.%3.%4.%5.%6.%7."/>
      <w:lvlJc w:val="left"/>
      <w:pPr>
        <w:ind w:left="3831" w:hanging="1440"/>
      </w:pPr>
      <w:rPr>
        <w:rFonts w:hint="default"/>
        <w:b w:val="0"/>
      </w:rPr>
    </w:lvl>
    <w:lvl w:ilvl="7">
      <w:start w:val="1"/>
      <w:numFmt w:val="decimal"/>
      <w:isLgl/>
      <w:lvlText w:val="%1.%2.%3.%4.%5.%6.%7.%8."/>
      <w:lvlJc w:val="left"/>
      <w:pPr>
        <w:ind w:left="4227" w:hanging="1440"/>
      </w:pPr>
      <w:rPr>
        <w:rFonts w:hint="default"/>
        <w:b w:val="0"/>
      </w:rPr>
    </w:lvl>
    <w:lvl w:ilvl="8">
      <w:start w:val="1"/>
      <w:numFmt w:val="decimal"/>
      <w:isLgl/>
      <w:lvlText w:val="%1.%2.%3.%4.%5.%6.%7.%8.%9."/>
      <w:lvlJc w:val="left"/>
      <w:pPr>
        <w:ind w:left="4983" w:hanging="1800"/>
      </w:pPr>
      <w:rPr>
        <w:rFonts w:hint="default"/>
        <w:b w:val="0"/>
      </w:rPr>
    </w:lvl>
  </w:abstractNum>
  <w:abstractNum w:abstractNumId="1" w15:restartNumberingAfterBreak="0">
    <w:nsid w:val="3D1813EC"/>
    <w:multiLevelType w:val="multilevel"/>
    <w:tmpl w:val="179AF5F2"/>
    <w:lvl w:ilvl="0">
      <w:start w:val="1"/>
      <w:numFmt w:val="decimal"/>
      <w:lvlText w:val="%1."/>
      <w:lvlJc w:val="left"/>
      <w:pPr>
        <w:ind w:left="360" w:hanging="360"/>
      </w:pPr>
      <w:rPr>
        <w:rFonts w:hint="default"/>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0E"/>
    <w:rsid w:val="000B4379"/>
    <w:rsid w:val="001013FE"/>
    <w:rsid w:val="0013694B"/>
    <w:rsid w:val="001E6973"/>
    <w:rsid w:val="00221BAD"/>
    <w:rsid w:val="002421CF"/>
    <w:rsid w:val="003F1946"/>
    <w:rsid w:val="00400DA3"/>
    <w:rsid w:val="00466C2F"/>
    <w:rsid w:val="004D1510"/>
    <w:rsid w:val="004F552D"/>
    <w:rsid w:val="00562E46"/>
    <w:rsid w:val="00644DD1"/>
    <w:rsid w:val="006466D5"/>
    <w:rsid w:val="00663445"/>
    <w:rsid w:val="007A0F61"/>
    <w:rsid w:val="007B33DC"/>
    <w:rsid w:val="009979E5"/>
    <w:rsid w:val="009B6A7D"/>
    <w:rsid w:val="00A14BAE"/>
    <w:rsid w:val="00A36FD0"/>
    <w:rsid w:val="00A43D6D"/>
    <w:rsid w:val="00B616B9"/>
    <w:rsid w:val="00B705E1"/>
    <w:rsid w:val="00BE0D0D"/>
    <w:rsid w:val="00C308FB"/>
    <w:rsid w:val="00C5796B"/>
    <w:rsid w:val="00C731EC"/>
    <w:rsid w:val="00D9050E"/>
    <w:rsid w:val="00DA0CE3"/>
    <w:rsid w:val="00DC663B"/>
    <w:rsid w:val="00DC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27D69C-11E8-44E9-8234-463A4CAE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A43D6D"/>
    <w:rPr>
      <w:rFonts w:ascii="Times New Roman" w:hAnsi="Times New Roman"/>
      <w:sz w:val="26"/>
    </w:rPr>
  </w:style>
  <w:style w:type="paragraph" w:styleId="a3">
    <w:name w:val="List Paragraph"/>
    <w:basedOn w:val="a"/>
    <w:uiPriority w:val="34"/>
    <w:qFormat/>
    <w:rsid w:val="003F1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3970</Words>
  <Characters>2263</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cp:lastModifiedBy>Торопенко Тетяна Вадимівна</cp:lastModifiedBy>
  <cp:revision>2</cp:revision>
  <cp:lastPrinted>2020-01-30T12:14:00Z</cp:lastPrinted>
  <dcterms:created xsi:type="dcterms:W3CDTF">2020-05-26T12:44:00Z</dcterms:created>
  <dcterms:modified xsi:type="dcterms:W3CDTF">2020-05-26T12:44:00Z</dcterms:modified>
</cp:coreProperties>
</file>