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24</w:t>
      </w:r>
      <w:r>
        <w:rPr>
          <w:rFonts w:cs="Times New Roman" w:ascii="Times New Roman" w:hAnsi="Times New Roman"/>
          <w:b/>
          <w:lang w:val="uk-UA"/>
        </w:rPr>
        <w:t>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 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bookmarkStart w:id="0" w:name="__DdeLink__1911_5102660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Громадської організації “Передові правові ініціативи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2015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Громадської організації “Передові правові ініціативи”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13 частини 5 статті 25, частинами 1, 4-6, 8 статті 66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Громадської організації “Передові правові ініціативи”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Громадської організації “Передові правові ініціативи”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53716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2015-09-25T06:52:00Z</dcterms:created>
  <dc:creator>users</dc:creator>
  <dc:language>ru-RU</dc:language>
  <dcterms:modified xsi:type="dcterms:W3CDTF">2015-10-20T12:26:01Z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