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125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партійн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Політичної Партії “5.10”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30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партійн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Політичної Партії “5.10”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партійн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ої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Політичної Партії “5.10”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Орлову Сергію Сергійовичу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Орлову Сергію Сергійовичу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2015-10-01T16:05:16Z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