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51" w:rsidRDefault="00FF1351" w:rsidP="00FF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351" w:rsidRPr="00FF1351" w:rsidRDefault="00FF1351" w:rsidP="00FF1351">
      <w:pPr>
        <w:widowControl w:val="0"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0" w:line="240" w:lineRule="auto"/>
        <w:jc w:val="center"/>
        <w:rPr>
          <w:rFonts w:eastAsia="SimSun"/>
          <w:b/>
          <w:kern w:val="1"/>
          <w:sz w:val="56"/>
          <w:szCs w:val="56"/>
          <w:lang w:eastAsia="zh-CN" w:bidi="hi-IN"/>
        </w:rPr>
      </w:pPr>
      <w:r>
        <w:rPr>
          <w:rFonts w:eastAsia="SimSun"/>
          <w:b/>
          <w:noProof/>
          <w:kern w:val="1"/>
          <w:sz w:val="56"/>
          <w:szCs w:val="56"/>
        </w:rPr>
        <w:drawing>
          <wp:inline distT="0" distB="0" distL="0" distR="0" wp14:anchorId="57F1220E">
            <wp:extent cx="408305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351" w:rsidRPr="00FF1351" w:rsidRDefault="00FF1351" w:rsidP="00FF1351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ind w:firstLine="850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FF1351" w:rsidRPr="00FF1351" w:rsidRDefault="00FF1351" w:rsidP="00FF1351">
      <w:pPr>
        <w:widowControl w:val="0"/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kern w:val="1"/>
          <w:sz w:val="56"/>
          <w:szCs w:val="56"/>
          <w:lang w:eastAsia="zh-CN" w:bidi="hi-IN"/>
        </w:rPr>
      </w:pPr>
      <w:r w:rsidRPr="00FF1351">
        <w:rPr>
          <w:rFonts w:ascii="Liberation Serif" w:eastAsia="Liberation Serif" w:hAnsi="Liberation Serif" w:cs="Liberation Serif"/>
          <w:b/>
          <w:kern w:val="1"/>
          <w:sz w:val="56"/>
          <w:szCs w:val="56"/>
          <w:lang w:eastAsia="zh-CN" w:bidi="hi-IN"/>
        </w:rPr>
        <w:t>КИЇВСЬКА МІСЬКА РАДА</w:t>
      </w:r>
    </w:p>
    <w:p w:rsidR="00FF1351" w:rsidRPr="00FF1351" w:rsidRDefault="00FF1351" w:rsidP="00FF1351">
      <w:pPr>
        <w:keepNext/>
        <w:keepLines/>
        <w:pBdr>
          <w:top w:val="none" w:sz="0" w:space="0" w:color="000000"/>
          <w:left w:val="none" w:sz="0" w:space="0" w:color="000000"/>
          <w:bottom w:val="single" w:sz="40" w:space="6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center"/>
        <w:rPr>
          <w:rFonts w:ascii="Liberation Serif" w:eastAsia="Times New Roman" w:hAnsi="Liberation Serif" w:cs="Mangal"/>
          <w:b/>
          <w:kern w:val="1"/>
          <w:sz w:val="24"/>
          <w:szCs w:val="24"/>
          <w:lang w:eastAsia="zh-CN" w:bidi="hi-IN"/>
        </w:rPr>
      </w:pPr>
      <w:r w:rsidRPr="00FF1351">
        <w:rPr>
          <w:rFonts w:ascii="Liberation Serif" w:eastAsia="Times New Roman" w:hAnsi="Liberation Serif" w:cs="Mangal"/>
          <w:b/>
          <w:kern w:val="1"/>
          <w:sz w:val="24"/>
          <w:szCs w:val="24"/>
          <w:lang w:eastAsia="zh-CN" w:bidi="hi-IN"/>
        </w:rPr>
        <w:t>ІІ СЕСІЯ ІХ СКЛИКАННЯ</w:t>
      </w:r>
    </w:p>
    <w:p w:rsidR="00FF1351" w:rsidRPr="00FF1351" w:rsidRDefault="00FF1351" w:rsidP="00FF1351">
      <w:pPr>
        <w:tabs>
          <w:tab w:val="left" w:pos="900"/>
          <w:tab w:val="left" w:pos="1080"/>
          <w:tab w:val="left" w:pos="1260"/>
          <w:tab w:val="left" w:pos="5387"/>
        </w:tabs>
        <w:suppressAutoHyphens/>
        <w:spacing w:after="0" w:line="240" w:lineRule="auto"/>
        <w:ind w:firstLine="850"/>
        <w:rPr>
          <w:rFonts w:eastAsia="SimSun"/>
          <w:i/>
          <w:kern w:val="1"/>
          <w:sz w:val="10"/>
          <w:szCs w:val="10"/>
          <w:lang w:eastAsia="zh-CN" w:bidi="hi-IN"/>
        </w:rPr>
      </w:pPr>
    </w:p>
    <w:p w:rsidR="00FF1351" w:rsidRPr="00FF1351" w:rsidRDefault="00FF1351" w:rsidP="00FF1351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center"/>
        <w:rPr>
          <w:rFonts w:eastAsia="Liberation Serif" w:cs="Liberation Serif"/>
          <w:b/>
          <w:kern w:val="1"/>
          <w:sz w:val="44"/>
          <w:szCs w:val="44"/>
          <w:lang w:eastAsia="zh-CN" w:bidi="hi-IN"/>
        </w:rPr>
      </w:pPr>
      <w:r w:rsidRPr="00FF1351">
        <w:rPr>
          <w:rFonts w:ascii="Liberation Serif" w:eastAsia="Liberation Serif" w:hAnsi="Liberation Serif" w:cs="Liberation Serif"/>
          <w:b/>
          <w:kern w:val="1"/>
          <w:sz w:val="44"/>
          <w:szCs w:val="44"/>
          <w:lang w:eastAsia="zh-CN" w:bidi="hi-IN"/>
        </w:rPr>
        <w:t>РІШЕННЯ</w:t>
      </w:r>
    </w:p>
    <w:p w:rsidR="00FF1351" w:rsidRPr="00FF1351" w:rsidRDefault="00FF1351" w:rsidP="00FF1351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center"/>
        <w:rPr>
          <w:rFonts w:eastAsia="Liberation Serif" w:cs="Liberation Serif"/>
          <w:b/>
          <w:kern w:val="1"/>
          <w:sz w:val="44"/>
          <w:szCs w:val="44"/>
          <w:lang w:eastAsia="zh-CN" w:bidi="hi-IN"/>
        </w:rPr>
      </w:pPr>
    </w:p>
    <w:p w:rsidR="00FF1351" w:rsidRPr="00FF1351" w:rsidRDefault="00FF1351" w:rsidP="00FF1351">
      <w:pPr>
        <w:tabs>
          <w:tab w:val="left" w:pos="900"/>
          <w:tab w:val="left" w:pos="1080"/>
        </w:tabs>
        <w:suppressAutoHyphens/>
        <w:spacing w:after="0" w:line="240" w:lineRule="auto"/>
        <w:rPr>
          <w:rFonts w:ascii="Liberation Serif" w:eastAsia="Times New Roman" w:hAnsi="Liberation Serif" w:cs="Mangal"/>
          <w:b/>
          <w:kern w:val="1"/>
          <w:sz w:val="24"/>
          <w:szCs w:val="24"/>
          <w:lang w:eastAsia="zh-CN" w:bidi="hi-IN"/>
        </w:rPr>
      </w:pPr>
      <w:r w:rsidRPr="00FF1351">
        <w:rPr>
          <w:rFonts w:ascii="Liberation Serif" w:eastAsia="Times New Roman" w:hAnsi="Liberation Serif" w:cs="Mangal"/>
          <w:kern w:val="1"/>
          <w:lang w:eastAsia="zh-CN" w:bidi="hi-IN"/>
        </w:rPr>
        <w:t>_______________№_____________</w:t>
      </w:r>
    </w:p>
    <w:p w:rsidR="00FF1351" w:rsidRDefault="00FF1351" w:rsidP="00FF13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F1351" w:rsidRDefault="00FF1351" w:rsidP="00C07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відмову приватному підприємству 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ХАРОН-ВЕСТОІЛ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в поновленні договору </w:t>
      </w:r>
    </w:p>
    <w:p w:rsidR="00C074EC" w:rsidRDefault="00C074EC" w:rsidP="00C074EC">
      <w:pPr>
        <w:spacing w:after="0" w:line="240" w:lineRule="auto"/>
        <w:rPr>
          <w:rFonts w:ascii="Source Sans Pro" w:eastAsia="Source Sans Pro" w:hAnsi="Source Sans Pro" w:cs="Source Sans Pro"/>
          <w:b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оренди земельної ділянки площею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4.6526 га</w:t>
      </w:r>
      <w:r>
        <w:rPr>
          <w:rFonts w:ascii="Source Sans Pro" w:eastAsia="Source Sans Pro" w:hAnsi="Source Sans Pro" w:cs="Source Sans Pro"/>
          <w:b/>
          <w:color w:val="000000"/>
          <w:sz w:val="21"/>
          <w:szCs w:val="21"/>
          <w:highlight w:val="white"/>
        </w:rPr>
        <w:t xml:space="preserve"> 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 29.08.2012 № 78-6-00691 (зі змінами)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та 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поділ цієї земельної ділянки 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Відповідно до статей 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83, 93, 141 Земельного кодексу України, статті 31 Закону України «Про оренду землі», Закону України «Про землеустрій», пункту 34 частини першої статті 26 Закону України «Про місцеве самоврядування в Україні», враховуючи, що 13.10.2022 завершився термін дії договору оренди земельної ділянки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4.6526 га</w:t>
      </w:r>
      <w:r>
        <w:rPr>
          <w:rFonts w:ascii="Source Sans Pro" w:eastAsia="Source Sans Pro" w:hAnsi="Source Sans Pro" w:cs="Source Sans Pro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укладеного 23.08.2012 між Київською міською радою та приватним підприємством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ХАРОН-ВЕСТОІЛ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зареєстрованого Головним управлінням земельних ресурсів виконавчого органу Київської міської ради (Київської міської державної адміністрації) 29.08.2012 № 78-6-00691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зі змінами, внесеними угодою від 13.10.2017 № 327), неналежне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приватним підприємством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ХАРОН-ВЕСТОІЛ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своїх обов’язків за вказаним вище договором оренди земельної ділянки, з метою врегулювання земельних відносин та положень містобудівної документації, а також враховуючи електронну петицію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№10738 «Проти знесення ТЦ «Полярний» та будівництва на його місці 5 житлових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багатоверхівок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!»,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Відмовити приватному підприємству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ХАРОН-ВЕСТОІЛ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поновленні договору оренди земельної ділянки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4.6526 га</w:t>
      </w:r>
      <w:r>
        <w:rPr>
          <w:rFonts w:ascii="Source Sans Pro" w:eastAsia="Source Sans Pro" w:hAnsi="Source Sans Pro" w:cs="Source Sans Pro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(кадастровий номер 8000000000:78:134:0064) на вул. Калнишевського Петра, 2 в Оболонському районі міста Києва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29.08.2012 № 78-6-00691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зі змінами, внесеними угодою від 13.10.2017 № 327).</w:t>
      </w: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Здійснити поділ земельної ділянки комунальної власності територіальної громади міста Києва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4.6526 га</w:t>
      </w:r>
      <w:r>
        <w:rPr>
          <w:rFonts w:ascii="Source Sans Pro" w:eastAsia="Source Sans Pro" w:hAnsi="Source Sans Pro" w:cs="Source Sans Pro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(кадастровий номер 8000000000:78:134:0064) на вул. Калнишевського Петра, 2 в Оболонському районі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Департаменту земельних ресурсів виконавчого органу Київської міської ради (Київської міської державної адміністрації):</w:t>
      </w: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Поінформувати приватне підприємство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ХАРОН-ВЕСТОІЛ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про прийняття цього рішення.</w:t>
      </w: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Вжити заходів щодо розроблення технічної документації із землеустрою щодо поділу земельної ділянки комунальної власності територіальної громади міста Києва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4.6526 га</w:t>
      </w:r>
      <w:r>
        <w:rPr>
          <w:rFonts w:ascii="Source Sans Pro" w:eastAsia="Source Sans Pro" w:hAnsi="Source Sans Pro" w:cs="Source Sans Pro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(кадастровий номер 8000000000:78:134:0064), враховуючи наявність на ній двох зданих в експлуатацію багатоквартирних житлових будинків з поштовою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вул. Калнишевського Петра, 6 та вул. Калнишевського Петра, 8 в Оболонському районі міста Києва, підземного паркінгу та окремої будівлі торгівельного центру «Полярний» на вул. Калнишевського Петра, 2 в Оболонському районі міста Києва.</w:t>
      </w: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Офіційно оприлюднити це рішення у спосіб, визначений чинним законодавством України.</w:t>
      </w: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C074EC" w:rsidRDefault="00C074EC" w:rsidP="00C0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 Контроль за виконанням цього рішення покласти на постійну комісію Київської міської ради з питань </w:t>
      </w:r>
      <w:r w:rsidR="00E469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архітектури</w:t>
      </w:r>
      <w:r w:rsidR="00E469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містобудування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r w:rsidR="00E469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земельних відносин.</w:t>
      </w: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C074EC" w:rsidRDefault="00C074EC" w:rsidP="00C0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Київський міських голова                                                                          В. Кличко</w:t>
      </w: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ПОДАННЯ: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Київської міської ради                                           Владислав ТРУБІЦИН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351" w:rsidRDefault="00FF1351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351" w:rsidRDefault="00FF1351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351" w:rsidRDefault="00FF1351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351" w:rsidRDefault="00FF1351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ПОГОДЖЕНО: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Постійна комісію Київської міської ради 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 питань </w:t>
      </w:r>
      <w:r w:rsidR="00845D5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архітектури,</w:t>
      </w:r>
      <w:r w:rsidR="00E469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містобудування, 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 </w:t>
      </w:r>
      <w:r w:rsidR="00845D5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відносин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                                                                                   Михайло ТЕРЕНТЬЄВ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                                                                                Юрій ФЕДОРЕНКО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351" w:rsidRDefault="00FF1351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351" w:rsidRDefault="00FF1351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Виконувач обов’язків начальника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74EC" w:rsidRDefault="00C074EC" w:rsidP="00C07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правового забезпечення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74EC" w:rsidRDefault="00C074EC" w:rsidP="00C07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 Київської міської ради                               Валентина ПОЛОЖИШНИК</w:t>
      </w:r>
    </w:p>
    <w:p w:rsidR="00C074EC" w:rsidRDefault="00C074EC" w:rsidP="00C07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4EC" w:rsidRDefault="00C074EC" w:rsidP="00C074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DAB" w:rsidRDefault="00A50DAB"/>
    <w:sectPr w:rsidR="00A50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EC"/>
    <w:rsid w:val="00845D5A"/>
    <w:rsid w:val="00A50DAB"/>
    <w:rsid w:val="00C074EC"/>
    <w:rsid w:val="00E46900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EFE"/>
  <w15:chartTrackingRefBased/>
  <w15:docId w15:val="{DE3239E6-2AE1-454D-9C9F-B578390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74EC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5D5A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Balanyuk Tatyana</dc:creator>
  <cp:keywords/>
  <dc:description/>
  <cp:lastModifiedBy>Balanyuk Tatyana</cp:lastModifiedBy>
  <cp:revision>3</cp:revision>
  <cp:lastPrinted>2023-03-23T12:38:00Z</cp:lastPrinted>
  <dcterms:created xsi:type="dcterms:W3CDTF">2023-03-21T12:59:00Z</dcterms:created>
  <dcterms:modified xsi:type="dcterms:W3CDTF">2023-03-23T12:39:00Z</dcterms:modified>
</cp:coreProperties>
</file>