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40" w:after="0"/>
        <w:ind w:left="820" w:hanging="0"/>
        <w:jc w:val="center"/>
        <w:rPr>
          <w:rFonts w:ascii="Times New Roman" w:hAnsi="Times New Roman" w:eastAsia="Times New Roman" w:cs="Times New Roman"/>
          <w:b/>
          <w:b/>
          <w:sz w:val="68"/>
          <w:szCs w:val="68"/>
        </w:rPr>
      </w:pPr>
      <w:r>
        <w:rPr/>
        <w:drawing>
          <wp:inline distT="0" distB="0" distL="0" distR="0">
            <wp:extent cx="728980" cy="91694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728980" cy="916940"/>
                    </a:xfrm>
                    <a:prstGeom prst="rect">
                      <a:avLst/>
                    </a:prstGeom>
                  </pic:spPr>
                </pic:pic>
              </a:graphicData>
            </a:graphic>
          </wp:inline>
        </w:drawing>
      </w:r>
    </w:p>
    <w:p>
      <w:pPr>
        <w:pStyle w:val="Normal"/>
        <w:spacing w:before="140" w:after="0"/>
        <w:ind w:left="820" w:hanging="0"/>
        <w:jc w:val="center"/>
        <w:rPr>
          <w:rFonts w:ascii="Times New Roman" w:hAnsi="Times New Roman" w:eastAsia="Times New Roman" w:cs="Times New Roman"/>
          <w:b/>
          <w:b/>
          <w:sz w:val="28"/>
          <w:szCs w:val="28"/>
          <w:lang w:val="ru-RU"/>
        </w:rPr>
      </w:pPr>
      <w:r>
        <w:rPr>
          <w:rFonts w:eastAsia="Times New Roman" w:cs="Times New Roman" w:ascii="Times New Roman" w:hAnsi="Times New Roman"/>
          <w:b/>
          <w:sz w:val="68"/>
          <w:szCs w:val="68"/>
          <w:lang w:val="ru-RU"/>
        </w:rPr>
        <w:t>КИЇВСЬКА МІСЬКА РАДА</w:t>
      </w:r>
    </w:p>
    <w:p>
      <w:pPr>
        <w:pStyle w:val="Normal"/>
        <w:spacing w:before="40" w:after="0"/>
        <w:ind w:left="620" w:hanging="0"/>
        <w:jc w:val="center"/>
        <w:rPr>
          <w:rFonts w:ascii="Times New Roman" w:hAnsi="Times New Roman" w:eastAsia="Times New Roman" w:cs="Times New Roman"/>
          <w:b/>
          <w:b/>
          <w:sz w:val="29"/>
          <w:szCs w:val="29"/>
          <w:lang w:val="ru-RU"/>
        </w:rPr>
      </w:pPr>
      <w:r>
        <w:rPr>
          <w:rFonts w:eastAsia="Times New Roman" w:cs="Times New Roman" w:ascii="Times New Roman" w:hAnsi="Times New Roman"/>
          <w:b/>
          <w:sz w:val="29"/>
          <w:szCs w:val="29"/>
        </w:rPr>
        <w:t>II</w:t>
      </w:r>
      <w:r>
        <w:rPr>
          <w:rFonts w:eastAsia="Times New Roman" w:cs="Times New Roman" w:ascii="Times New Roman" w:hAnsi="Times New Roman"/>
          <w:b/>
          <w:sz w:val="29"/>
          <w:szCs w:val="29"/>
          <w:lang w:val="ru-RU"/>
        </w:rPr>
        <w:t xml:space="preserve"> сесія </w:t>
      </w:r>
      <w:r>
        <w:rPr>
          <w:rFonts w:eastAsia="Times New Roman" w:cs="Times New Roman" w:ascii="Times New Roman" w:hAnsi="Times New Roman"/>
          <w:b/>
          <w:sz w:val="29"/>
          <w:szCs w:val="29"/>
        </w:rPr>
        <w:t>IX</w:t>
      </w:r>
      <w:r>
        <w:rPr>
          <w:rFonts w:eastAsia="Times New Roman" w:cs="Times New Roman" w:ascii="Times New Roman" w:hAnsi="Times New Roman"/>
          <w:b/>
          <w:sz w:val="29"/>
          <w:szCs w:val="29"/>
          <w:lang w:val="ru-RU"/>
        </w:rPr>
        <w:t xml:space="preserve"> скликання</w:t>
      </w:r>
    </w:p>
    <w:p>
      <w:pPr>
        <w:pStyle w:val="Normal"/>
        <w:spacing w:before="40" w:after="0"/>
        <w:ind w:left="620" w:hanging="0"/>
        <w:jc w:val="center"/>
        <w:rPr>
          <w:rFonts w:ascii="Times New Roman" w:hAnsi="Times New Roman" w:eastAsia="Times New Roman" w:cs="Times New Roman"/>
          <w:b/>
          <w:b/>
          <w:sz w:val="29"/>
          <w:szCs w:val="29"/>
        </w:rPr>
      </w:pPr>
      <w:r>
        <w:rPr/>
        <w:drawing>
          <wp:inline distT="0" distB="0" distL="0" distR="0">
            <wp:extent cx="5943600" cy="889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5943600" cy="88900"/>
                    </a:xfrm>
                    <a:prstGeom prst="rect">
                      <a:avLst/>
                    </a:prstGeom>
                  </pic:spPr>
                </pic:pic>
              </a:graphicData>
            </a:graphic>
          </wp:inline>
        </w:drawing>
      </w:r>
    </w:p>
    <w:p>
      <w:pPr>
        <w:pStyle w:val="Normal"/>
        <w:ind w:right="580" w:hanging="0"/>
        <w:rPr>
          <w:rFonts w:ascii="Times New Roman" w:hAnsi="Times New Roman" w:eastAsia="Times New Roman" w:cs="Times New Roman"/>
          <w:b/>
          <w:b/>
          <w:sz w:val="21"/>
          <w:szCs w:val="21"/>
        </w:rPr>
      </w:pPr>
      <w:r>
        <w:rPr>
          <w:rFonts w:eastAsia="Times New Roman" w:cs="Times New Roman" w:ascii="Times New Roman" w:hAnsi="Times New Roman"/>
          <w:b/>
          <w:sz w:val="21"/>
          <w:szCs w:val="21"/>
        </w:rPr>
        <w:t xml:space="preserve"> </w:t>
      </w:r>
    </w:p>
    <w:p>
      <w:pPr>
        <w:pStyle w:val="Normal"/>
        <w:spacing w:before="80" w:after="240"/>
        <w:jc w:val="center"/>
        <w:rPr>
          <w:rFonts w:ascii="Times New Roman" w:hAnsi="Times New Roman" w:eastAsia="Times New Roman" w:cs="Times New Roman"/>
          <w:b/>
          <w:b/>
          <w:sz w:val="48"/>
          <w:szCs w:val="48"/>
        </w:rPr>
      </w:pPr>
      <w:r>
        <w:rPr>
          <w:rFonts w:eastAsia="Times New Roman" w:cs="Times New Roman" w:ascii="Times New Roman" w:hAnsi="Times New Roman"/>
          <w:b/>
          <w:sz w:val="48"/>
          <w:szCs w:val="48"/>
        </w:rPr>
        <w:t>РІШЕННЯ</w:t>
      </w:r>
    </w:p>
    <w:p>
      <w:pPr>
        <w:pStyle w:val="Normal"/>
        <w:widowControl w:val="false"/>
        <w:suppressLineNumbers/>
        <w:tabs>
          <w:tab w:val="clear" w:pos="720"/>
          <w:tab w:val="left" w:pos="900" w:leader="none"/>
          <w:tab w:val="left" w:pos="1080" w:leader="none"/>
        </w:tabs>
        <w:suppressAutoHyphens w:val="true"/>
        <w:jc w:val="both"/>
        <w:rPr>
          <w:rFonts w:eastAsia="Calibri"/>
          <w:sz w:val="28"/>
          <w:szCs w:val="28"/>
        </w:rPr>
      </w:pPr>
      <w:r>
        <w:rPr>
          <w:rFonts w:eastAsia="Calibri"/>
          <w:sz w:val="28"/>
          <w:szCs w:val="28"/>
        </w:rPr>
        <w:t>_______________</w:t>
      </w:r>
      <w:r>
        <w:rPr>
          <w:rFonts w:eastAsia="Calibri" w:ascii="Times New Roman" w:hAnsi="Times New Roman"/>
          <w:sz w:val="28"/>
          <w:szCs w:val="28"/>
        </w:rPr>
        <w:t>№_____________</w:t>
      </w:r>
      <w:r>
        <w:rPr>
          <w:rFonts w:ascii="Times New Roman" w:hAnsi="Times New Roman"/>
          <w:sz w:val="28"/>
          <w:szCs w:val="28"/>
        </w:rPr>
        <w:t xml:space="preserve">                                                          ПРОЄКТ</w:t>
      </w:r>
    </w:p>
    <w:p>
      <w:pPr>
        <w:pStyle w:val="Normal"/>
        <w:rPr>
          <w:rFonts w:ascii="Times New Roman" w:hAnsi="Times New Roman"/>
          <w:sz w:val="28"/>
          <w:szCs w:val="28"/>
        </w:rPr>
      </w:pPr>
      <w:r>
        <w:rPr>
          <w:rFonts w:ascii="Times New Roman" w:hAnsi="Times New Roman"/>
          <w:sz w:val="28"/>
          <w:szCs w:val="28"/>
        </w:rPr>
      </w:r>
    </w:p>
    <w:p>
      <w:pPr>
        <w:pStyle w:val="Normal"/>
        <w:ind w:right="4472" w:hanging="0"/>
        <w:jc w:val="both"/>
        <w:rPr>
          <w:rFonts w:ascii="Times New Roman" w:hAnsi="Times New Roman"/>
          <w:sz w:val="28"/>
          <w:szCs w:val="28"/>
        </w:rPr>
      </w:pPr>
      <w:r>
        <w:rPr>
          <w:rFonts w:ascii="Times New Roman" w:hAnsi="Times New Roman"/>
          <w:b/>
          <w:sz w:val="28"/>
          <w:szCs w:val="28"/>
        </w:rPr>
        <w:t>Про безоплатне прийняття до комунальної власності територіальної громади міста Києва гуртожитку та зовнішніх інженерних мереж ПрАТ «АТЕК» та внесення змін у додаток до рішення Київської міської ради від 24 травня 2012 року № 596/7933 «Про приватизацію жилих приміщень у гуртожитках м. Києва»</w:t>
      </w:r>
    </w:p>
    <w:p>
      <w:pPr>
        <w:pStyle w:val="Normal"/>
        <w:ind w:right="4472" w:hanging="0"/>
        <w:jc w:val="both"/>
        <w:rPr>
          <w:rFonts w:ascii="Times New Roman" w:hAnsi="Times New Roman"/>
          <w:b/>
          <w:b/>
          <w:sz w:val="28"/>
          <w:szCs w:val="28"/>
        </w:rPr>
      </w:pPr>
      <w:r>
        <w:rPr>
          <w:rFonts w:ascii="Times New Roman" w:hAnsi="Times New Roman"/>
          <w:b/>
          <w:sz w:val="28"/>
          <w:szCs w:val="28"/>
        </w:rPr>
      </w:r>
    </w:p>
    <w:p>
      <w:pPr>
        <w:pStyle w:val="Normal"/>
        <w:ind w:firstLine="567"/>
        <w:jc w:val="both"/>
        <w:rPr/>
      </w:pPr>
      <w:r>
        <w:rPr>
          <w:rFonts w:ascii="Times New Roman" w:hAnsi="Times New Roman"/>
          <w:sz w:val="28"/>
          <w:szCs w:val="28"/>
        </w:rPr>
        <w:t>Відповідно до статей 7, 19 Конституції України, статей 319, 327 Цивільного кодексу України, статті 60 Закону України «Про місцеве самоврядування в Україні», Закон</w:t>
      </w:r>
      <w:bookmarkStart w:id="0" w:name="_GoBack"/>
      <w:bookmarkEnd w:id="0"/>
      <w:r>
        <w:rPr>
          <w:rFonts w:ascii="Times New Roman" w:hAnsi="Times New Roman"/>
          <w:sz w:val="28"/>
          <w:szCs w:val="28"/>
        </w:rPr>
        <w:t xml:space="preserve">у України «Про забезпечення реалізації житлових прав мешканців гуртожитків», статей 2, 3 Закону України «Про приватизацію державного житлового фонду», постанови Кабінету Міністрів України від 06 листопада 1995 року № 891 «Про затвердження Положення про порядок передачі в комунальну власність державного житлового фонду, що перебував у повному господарському віданні або в оперативному управлінні підприємств, установ та організацій», рішень Київської міської ради </w:t>
      </w:r>
      <w:r>
        <w:rPr>
          <w:rStyle w:val="Strong"/>
          <w:rFonts w:ascii="Times New Roman" w:hAnsi="Times New Roman"/>
          <w:b w:val="false"/>
          <w:sz w:val="28"/>
          <w:szCs w:val="28"/>
        </w:rPr>
        <w:t>від 15 грудня 2011 року № 844/7080 «Про впорядкування прийняття майна до комунальної власності територіальної громади міста Києва, передачі його у володіння та користування, передачі до сфери управління районних в місті Києві державних адміністрацій, закріплення майна на праві господарського відання або оперативного управління</w:t>
      </w:r>
      <w:r>
        <w:rPr>
          <w:rFonts w:ascii="Times New Roman" w:hAnsi="Times New Roman"/>
          <w:sz w:val="28"/>
          <w:szCs w:val="28"/>
        </w:rPr>
        <w:t>», від 06 грудня 2018 року № 260/6311 «Про надання згоди на безоплатне прийняття до комунальної власності територіальної громади міста Києва гуртожитків, включених до статутних капіталів товариств», враховуючи рішення Господарського суду міста Києва від 28 березня 2019 року у справі № 910/17698/18, з метою залишення будинків у статусі «гуртожиток» та надання дозволу на приватизацію їх жилих і нежилих приміщень Київська міська рада</w:t>
      </w:r>
    </w:p>
    <w:p>
      <w:pPr>
        <w:pStyle w:val="Normal"/>
        <w:ind w:firstLine="567"/>
        <w:jc w:val="both"/>
        <w:rPr>
          <w:rFonts w:ascii="Times New Roman" w:hAnsi="Times New Roman"/>
          <w:sz w:val="28"/>
          <w:szCs w:val="28"/>
        </w:rPr>
      </w:pPr>
      <w:r>
        <w:rPr>
          <w:rFonts w:ascii="Times New Roman" w:hAnsi="Times New Roman"/>
          <w:sz w:val="28"/>
          <w:szCs w:val="28"/>
        </w:rPr>
      </w:r>
    </w:p>
    <w:p>
      <w:pPr>
        <w:pStyle w:val="NormalWeb"/>
        <w:tabs>
          <w:tab w:val="clear" w:pos="720"/>
          <w:tab w:val="left" w:pos="709" w:leader="none"/>
        </w:tabs>
        <w:spacing w:beforeAutospacing="0" w:before="0" w:afterAutospacing="0" w:after="0"/>
        <w:ind w:firstLine="567"/>
        <w:jc w:val="both"/>
        <w:rPr>
          <w:rFonts w:ascii="Times New Roman" w:hAnsi="Times New Roman"/>
          <w:sz w:val="28"/>
          <w:szCs w:val="28"/>
        </w:rPr>
      </w:pPr>
      <w:r>
        <w:rPr>
          <w:rFonts w:ascii="Times New Roman" w:hAnsi="Times New Roman"/>
          <w:b/>
          <w:bCs/>
          <w:sz w:val="28"/>
          <w:szCs w:val="28"/>
        </w:rPr>
        <w:t>ВИРІШИЛА</w:t>
      </w:r>
      <w:r>
        <w:rPr>
          <w:rFonts w:ascii="Times New Roman" w:hAnsi="Times New Roman"/>
          <w:b/>
          <w:sz w:val="28"/>
          <w:szCs w:val="28"/>
        </w:rPr>
        <w:t>:</w:t>
      </w:r>
    </w:p>
    <w:p>
      <w:pPr>
        <w:pStyle w:val="NormalWeb"/>
        <w:tabs>
          <w:tab w:val="clear" w:pos="720"/>
          <w:tab w:val="left" w:pos="709" w:leader="none"/>
        </w:tabs>
        <w:spacing w:beforeAutospacing="0" w:before="0" w:afterAutospacing="0" w:after="0"/>
        <w:ind w:firstLine="567"/>
        <w:jc w:val="both"/>
        <w:rPr>
          <w:rFonts w:ascii="Times New Roman" w:hAnsi="Times New Roman"/>
          <w:b/>
          <w:b/>
          <w:sz w:val="28"/>
          <w:szCs w:val="28"/>
        </w:rPr>
      </w:pPr>
      <w:r>
        <w:rPr>
          <w:rFonts w:ascii="Times New Roman" w:hAnsi="Times New Roman"/>
          <w:b/>
          <w:sz w:val="28"/>
          <w:szCs w:val="28"/>
        </w:rPr>
      </w:r>
    </w:p>
    <w:p>
      <w:pPr>
        <w:pStyle w:val="Normal"/>
        <w:tabs>
          <w:tab w:val="clear" w:pos="720"/>
          <w:tab w:val="left" w:pos="851" w:leader="none"/>
        </w:tabs>
        <w:ind w:firstLine="567"/>
        <w:jc w:val="both"/>
        <w:rPr>
          <w:rFonts w:ascii="Times New Roman" w:hAnsi="Times New Roman"/>
          <w:sz w:val="28"/>
          <w:szCs w:val="28"/>
        </w:rPr>
      </w:pPr>
      <w:bookmarkStart w:id="1" w:name="7"/>
      <w:bookmarkEnd w:id="1"/>
      <w:r>
        <w:rPr>
          <w:rFonts w:ascii="Times New Roman" w:hAnsi="Times New Roman"/>
          <w:sz w:val="28"/>
          <w:szCs w:val="28"/>
        </w:rPr>
        <w:t>1. Прийняти безоплатно до комунальної власності територіальної громади міста Києва та віднести до сфери управління Святошинської районної в місті Києві державної адміністрації будівлю гуртожитку приватного акціонерного товариства «АТЕК» згідно з додатком 1 до цього рішення.</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t>2. Прийняти безоплатно до комунальної власності територіальної громади міста Києва і передати у володіння та користування ПрАТ «АК «Київводоканал» зовнішні каналізаційні мережі гуртожитку приватного акціонерного товариства «АТЕК» у межах та на умовах, визначених угодою про передачу в управління відкритому акціонерному товариству «Акціонерна компанія «Київводоканал» майна, що є комунальною власністю територіальної громади міста Києва, від 20 листопада 2003 року (у редакції договору на володіння та користування майном територіальної громади міста Києва від 01 грудня 2006 року), укладеною між відкритим акціонерним товариством «Акціонерна компанія «Київводоканал» та Київською міською державною адміністрацією, згідно з додатком 2 до цього рішення.</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t>3. Прийняти безоплатно до комунальної власності територіальної громади міста Києва та передати у володіння і користування АТ «Київгаз» зовнішні мережі газопроводів гуртожитку приватного акціонерного товариства «АТЕК» у межах та на умовах, визначених договором на володіння та користування майном територіальної громади міста Києва від 21 квітня 2006 року (зі змінами), укладеним між відкритим акціонерним товариством «Київгаз» та виконавчим органом Київської міської ради (Київською міською державною адміністрацією), згідно з додатком 3 до цього рішення.</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r>
    </w:p>
    <w:p>
      <w:pPr>
        <w:pStyle w:val="1"/>
        <w:spacing w:before="0" w:after="0"/>
        <w:ind w:firstLine="567"/>
        <w:jc w:val="both"/>
        <w:rPr>
          <w:rFonts w:ascii="Times New Roman" w:hAnsi="Times New Roman"/>
          <w:sz w:val="28"/>
          <w:szCs w:val="28"/>
        </w:rPr>
      </w:pPr>
      <w:r>
        <w:rPr>
          <w:rFonts w:ascii="Times New Roman" w:hAnsi="Times New Roman"/>
          <w:b w:val="false"/>
          <w:bCs w:val="false"/>
          <w:kern w:val="0"/>
          <w:sz w:val="28"/>
          <w:szCs w:val="28"/>
        </w:rPr>
        <w:t>4. Прийняти безоплатно до комунальної власності територіальної громади міста Києва та закріпити на праві господарського відання за комунальним підприємством виконавчого органу Київської міської ради (Київської міської державної адміністрації) «КИЇВТЕПЛОЕНЕРГО» зовнішні теплові мережі гуртожитку приватного акціонерного товариства «АТЕК» згідно з додатком 4 до цього рішення.</w:t>
      </w:r>
    </w:p>
    <w:p>
      <w:pPr>
        <w:pStyle w:val="Normal"/>
        <w:rPr>
          <w:rFonts w:ascii="Times New Roman" w:hAnsi="Times New Roman"/>
          <w:sz w:val="28"/>
          <w:szCs w:val="28"/>
        </w:rPr>
      </w:pPr>
      <w:r>
        <w:rPr>
          <w:rFonts w:ascii="Times New Roman" w:hAnsi="Times New Roman"/>
          <w:sz w:val="28"/>
          <w:szCs w:val="28"/>
        </w:rPr>
      </w:r>
    </w:p>
    <w:p>
      <w:pPr>
        <w:pStyle w:val="Normal"/>
        <w:ind w:firstLine="567"/>
        <w:jc w:val="both"/>
        <w:rPr>
          <w:rFonts w:ascii="Times New Roman" w:hAnsi="Times New Roman"/>
          <w:sz w:val="28"/>
          <w:szCs w:val="28"/>
        </w:rPr>
      </w:pPr>
      <w:r>
        <w:rPr>
          <w:rFonts w:ascii="Times New Roman" w:hAnsi="Times New Roman"/>
          <w:sz w:val="28"/>
          <w:szCs w:val="28"/>
          <w:lang w:val="ru-RU"/>
        </w:rPr>
        <w:t xml:space="preserve">5. </w:t>
      </w:r>
      <w:r>
        <w:rPr>
          <w:rFonts w:ascii="Times New Roman" w:hAnsi="Times New Roman"/>
          <w:bCs/>
          <w:sz w:val="28"/>
          <w:szCs w:val="28"/>
          <w:lang w:val="ru-RU"/>
        </w:rPr>
        <w:t>Прийняти безоплатно до комунальної власності територіальної громади міста Києва та закріпити на праві господарського відання за приватним акціонерним товариством «ДТЕК» зовнішні електричні мережі гуртожитку приватного акціонерного товариства «АТЕК» згідно з додатком 5 до цього рішення.</w:t>
      </w:r>
    </w:p>
    <w:p>
      <w:pPr>
        <w:pStyle w:val="Normal"/>
        <w:tabs>
          <w:tab w:val="clear" w:pos="720"/>
          <w:tab w:val="left" w:pos="851" w:leader="none"/>
        </w:tabs>
        <w:ind w:firstLine="567"/>
        <w:jc w:val="both"/>
        <w:rPr>
          <w:rFonts w:ascii="Times New Roman" w:hAnsi="Times New Roman"/>
          <w:sz w:val="28"/>
          <w:szCs w:val="28"/>
          <w:lang w:val="ru-RU"/>
        </w:rPr>
      </w:pPr>
      <w:r>
        <w:rPr>
          <w:rFonts w:ascii="Times New Roman" w:hAnsi="Times New Roman"/>
          <w:sz w:val="28"/>
          <w:szCs w:val="28"/>
          <w:lang w:val="ru-RU"/>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rPr>
        <w:t> </w:t>
      </w:r>
      <w:r>
        <w:rPr>
          <w:rFonts w:ascii="Times New Roman" w:hAnsi="Times New Roman"/>
          <w:sz w:val="28"/>
          <w:szCs w:val="28"/>
          <w:lang w:val="ru-RU"/>
        </w:rPr>
        <w:t>Святошинській районній в місті Києві державній адміністрації в установленому порядку забезпечити щодо майна, зазначеного у пункті 1 цього рішення:</w:t>
      </w:r>
    </w:p>
    <w:p>
      <w:pPr>
        <w:pStyle w:val="ListParagraph"/>
        <w:ind w:left="0" w:firstLine="567"/>
        <w:rPr>
          <w:rFonts w:ascii="Times New Roman" w:hAnsi="Times New Roman"/>
          <w:sz w:val="28"/>
          <w:szCs w:val="28"/>
          <w:lang w:val="uk-UA"/>
        </w:rPr>
      </w:pPr>
      <w:r>
        <w:rPr>
          <w:rFonts w:ascii="Times New Roman" w:hAnsi="Times New Roman"/>
          <w:sz w:val="28"/>
          <w:szCs w:val="28"/>
          <w:lang w:val="uk-UA"/>
        </w:rPr>
      </w:r>
    </w:p>
    <w:p>
      <w:pPr>
        <w:pStyle w:val="ListParagraph"/>
        <w:tabs>
          <w:tab w:val="clear" w:pos="720"/>
          <w:tab w:val="left" w:pos="851" w:leader="none"/>
        </w:tabs>
        <w:ind w:left="0" w:firstLine="567"/>
        <w:jc w:val="both"/>
        <w:rPr>
          <w:rFonts w:ascii="Times New Roman" w:hAnsi="Times New Roman"/>
          <w:sz w:val="28"/>
          <w:szCs w:val="28"/>
        </w:rPr>
      </w:pPr>
      <w:r>
        <w:rPr>
          <w:rFonts w:ascii="Times New Roman" w:hAnsi="Times New Roman"/>
          <w:sz w:val="28"/>
          <w:szCs w:val="28"/>
          <w:lang w:val="uk-UA"/>
        </w:rPr>
        <w:t>6.1. приймання-передачу та надання до Департаменту комунальної власності м. Києва виконавчого органу Київської міської ради (Київської міської державної адміністрації) копії акта приймання-передачі;</w:t>
      </w:r>
    </w:p>
    <w:p>
      <w:pPr>
        <w:pStyle w:val="ListParagraph"/>
        <w:tabs>
          <w:tab w:val="clear" w:pos="720"/>
          <w:tab w:val="left" w:pos="851" w:leader="none"/>
        </w:tabs>
        <w:ind w:left="0" w:firstLine="567"/>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20"/>
          <w:tab w:val="left" w:pos="851" w:leader="none"/>
        </w:tabs>
        <w:ind w:left="0" w:firstLine="567"/>
        <w:jc w:val="both"/>
        <w:rPr>
          <w:rFonts w:ascii="Times New Roman" w:hAnsi="Times New Roman"/>
          <w:sz w:val="28"/>
          <w:szCs w:val="28"/>
        </w:rPr>
      </w:pPr>
      <w:r>
        <w:rPr>
          <w:rFonts w:ascii="Times New Roman" w:hAnsi="Times New Roman"/>
          <w:sz w:val="28"/>
          <w:szCs w:val="28"/>
          <w:lang w:val="uk-UA"/>
        </w:rPr>
        <w:t>6.2. вжиття заходів щодо державної реєстрації права власності територіальної громади міста Києва.</w:t>
      </w:r>
    </w:p>
    <w:p>
      <w:pPr>
        <w:pStyle w:val="ListParagraph"/>
        <w:tabs>
          <w:tab w:val="clear" w:pos="720"/>
          <w:tab w:val="left" w:pos="851" w:leader="none"/>
        </w:tabs>
        <w:ind w:left="0" w:firstLine="567"/>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20"/>
          <w:tab w:val="left" w:pos="851" w:leader="none"/>
        </w:tabs>
        <w:ind w:left="0" w:firstLine="567"/>
        <w:jc w:val="both"/>
        <w:rPr>
          <w:rFonts w:ascii="Times New Roman" w:hAnsi="Times New Roman"/>
          <w:sz w:val="28"/>
          <w:szCs w:val="28"/>
        </w:rPr>
      </w:pPr>
      <w:r>
        <w:rPr>
          <w:rFonts w:ascii="Times New Roman" w:hAnsi="Times New Roman"/>
          <w:sz w:val="28"/>
          <w:szCs w:val="28"/>
          <w:lang w:val="uk-UA"/>
        </w:rPr>
        <w:t>6.3. забезпечити його збереження та утримання у встановленому порядку.</w:t>
      </w:r>
    </w:p>
    <w:p>
      <w:pPr>
        <w:pStyle w:val="ListParagraph"/>
        <w:tabs>
          <w:tab w:val="clear" w:pos="720"/>
          <w:tab w:val="left" w:pos="851" w:leader="none"/>
        </w:tabs>
        <w:ind w:left="0" w:firstLine="567"/>
        <w:rPr>
          <w:rFonts w:ascii="Times New Roman" w:hAnsi="Times New Roman"/>
          <w:sz w:val="28"/>
          <w:szCs w:val="28"/>
          <w:lang w:val="uk-UA"/>
        </w:rPr>
      </w:pPr>
      <w:r>
        <w:rPr>
          <w:rFonts w:ascii="Times New Roman" w:hAnsi="Times New Roman"/>
          <w:sz w:val="28"/>
          <w:szCs w:val="28"/>
          <w:lang w:val="uk-UA"/>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uk-UA"/>
        </w:rPr>
        <w:t>7.</w:t>
      </w:r>
      <w:r>
        <w:rPr>
          <w:rFonts w:ascii="Times New Roman" w:hAnsi="Times New Roman"/>
          <w:sz w:val="28"/>
          <w:szCs w:val="28"/>
        </w:rPr>
        <w:t> </w:t>
      </w:r>
      <w:r>
        <w:rPr>
          <w:rFonts w:ascii="Times New Roman" w:hAnsi="Times New Roman"/>
          <w:sz w:val="28"/>
          <w:szCs w:val="28"/>
          <w:lang w:val="uk-UA"/>
        </w:rPr>
        <w:t>Департаменту комунальної власності м.</w:t>
      </w:r>
      <w:r>
        <w:rPr>
          <w:rFonts w:ascii="Times New Roman" w:hAnsi="Times New Roman"/>
          <w:sz w:val="28"/>
          <w:szCs w:val="28"/>
        </w:rPr>
        <w:t> </w:t>
      </w:r>
      <w:r>
        <w:rPr>
          <w:rFonts w:ascii="Times New Roman" w:hAnsi="Times New Roman"/>
          <w:sz w:val="28"/>
          <w:szCs w:val="28"/>
          <w:lang w:val="uk-UA"/>
        </w:rPr>
        <w:t>Києва виконавчого органу Київської міської ради (Київської міської державної адміністрації) забезпечити в установленому порядку приймання-передачу зовнішніх інженерних мереж до гуртожитку приватного акціонерного товариства «АТЕК», зазначених у пунктах 2, 3, 4, 5 цього рішення.</w:t>
      </w:r>
    </w:p>
    <w:p>
      <w:pPr>
        <w:pStyle w:val="Normal"/>
        <w:tabs>
          <w:tab w:val="clear" w:pos="720"/>
          <w:tab w:val="left" w:pos="851" w:leader="none"/>
        </w:tabs>
        <w:ind w:firstLine="567"/>
        <w:jc w:val="both"/>
        <w:rPr>
          <w:rFonts w:ascii="Times New Roman" w:hAnsi="Times New Roman"/>
          <w:sz w:val="28"/>
          <w:szCs w:val="28"/>
          <w:lang w:val="uk-UA"/>
        </w:rPr>
      </w:pPr>
      <w:r>
        <w:rPr>
          <w:rFonts w:ascii="Times New Roman" w:hAnsi="Times New Roman"/>
          <w:sz w:val="28"/>
          <w:szCs w:val="28"/>
          <w:lang w:val="uk-UA"/>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bCs/>
          <w:sz w:val="28"/>
          <w:szCs w:val="28"/>
          <w:lang w:val="uk-UA"/>
        </w:rPr>
        <w:t>8.</w:t>
      </w:r>
      <w:r>
        <w:rPr>
          <w:rFonts w:ascii="Times New Roman" w:hAnsi="Times New Roman"/>
          <w:bCs/>
          <w:sz w:val="28"/>
          <w:szCs w:val="28"/>
        </w:rPr>
        <w:t> </w:t>
      </w:r>
      <w:r>
        <w:rPr>
          <w:rFonts w:ascii="Times New Roman" w:hAnsi="Times New Roman"/>
          <w:bCs/>
          <w:sz w:val="28"/>
          <w:szCs w:val="28"/>
          <w:lang w:val="uk-UA"/>
        </w:rPr>
        <w:t>Внести зміни у додаток до рішення Київської міської ради від 24 травня 2012 року №</w:t>
      </w:r>
      <w:r>
        <w:rPr>
          <w:rFonts w:ascii="Times New Roman" w:hAnsi="Times New Roman"/>
          <w:bCs/>
          <w:sz w:val="28"/>
          <w:szCs w:val="28"/>
        </w:rPr>
        <w:t> </w:t>
      </w:r>
      <w:r>
        <w:rPr>
          <w:rFonts w:ascii="Times New Roman" w:hAnsi="Times New Roman"/>
          <w:bCs/>
          <w:sz w:val="28"/>
          <w:szCs w:val="28"/>
          <w:lang w:val="uk-UA"/>
        </w:rPr>
        <w:t>596/7933 «Про приватизацію жилих приміщень у гуртожитках м.</w:t>
      </w:r>
      <w:r>
        <w:rPr>
          <w:rFonts w:ascii="Times New Roman" w:hAnsi="Times New Roman"/>
          <w:bCs/>
          <w:sz w:val="28"/>
          <w:szCs w:val="28"/>
        </w:rPr>
        <w:t> </w:t>
      </w:r>
      <w:r>
        <w:rPr>
          <w:rFonts w:ascii="Times New Roman" w:hAnsi="Times New Roman"/>
          <w:bCs/>
          <w:sz w:val="28"/>
          <w:szCs w:val="28"/>
          <w:lang w:val="uk-UA"/>
        </w:rPr>
        <w:t>Києва» (в редакції рішення Київської міської ради від 11 лютого 2016 року №</w:t>
      </w:r>
      <w:r>
        <w:rPr>
          <w:rFonts w:ascii="Times New Roman" w:hAnsi="Times New Roman"/>
          <w:bCs/>
          <w:sz w:val="28"/>
          <w:szCs w:val="28"/>
        </w:rPr>
        <w:t> </w:t>
      </w:r>
      <w:r>
        <w:rPr>
          <w:rFonts w:ascii="Times New Roman" w:hAnsi="Times New Roman"/>
          <w:bCs/>
          <w:sz w:val="28"/>
          <w:szCs w:val="28"/>
          <w:lang w:val="uk-UA"/>
        </w:rPr>
        <w:t>94/94) такі зміни:</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bCs/>
          <w:sz w:val="28"/>
          <w:szCs w:val="28"/>
          <w:lang w:val="ru-RU"/>
        </w:rPr>
        <w:t>8.1.</w:t>
      </w:r>
      <w:r>
        <w:rPr>
          <w:rFonts w:ascii="Times New Roman" w:hAnsi="Times New Roman"/>
          <w:bCs/>
          <w:sz w:val="28"/>
          <w:szCs w:val="28"/>
        </w:rPr>
        <w:t> </w:t>
      </w:r>
      <w:r>
        <w:rPr>
          <w:rFonts w:ascii="Times New Roman" w:hAnsi="Times New Roman"/>
          <w:bCs/>
          <w:sz w:val="28"/>
          <w:szCs w:val="28"/>
          <w:lang w:val="ru-RU"/>
        </w:rPr>
        <w:t>Після позиції 64 доповнити новою позицією 65 такого змісту:</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bCs/>
          <w:sz w:val="28"/>
          <w:szCs w:val="28"/>
        </w:rPr>
        <w:t>«</w:t>
      </w:r>
    </w:p>
    <w:tbl>
      <w:tblPr>
        <w:tblW w:w="5000" w:type="pct"/>
        <w:jc w:val="left"/>
        <w:tblInd w:w="7" w:type="dxa"/>
        <w:tblLayout w:type="fixed"/>
        <w:tblCellMar>
          <w:top w:w="0" w:type="dxa"/>
          <w:left w:w="0" w:type="dxa"/>
          <w:bottom w:w="0" w:type="dxa"/>
          <w:right w:w="0" w:type="dxa"/>
        </w:tblCellMar>
        <w:tblLook w:firstRow="1" w:noVBand="1" w:lastRow="0" w:firstColumn="1" w:lastColumn="0" w:noHBand="0" w:val="04a0"/>
      </w:tblPr>
      <w:tblGrid>
        <w:gridCol w:w="770"/>
        <w:gridCol w:w="5012"/>
        <w:gridCol w:w="3856"/>
      </w:tblGrid>
      <w:tr>
        <w:trPr/>
        <w:tc>
          <w:tcPr>
            <w:tcW w:w="770" w:type="dxa"/>
            <w:tcBorders>
              <w:top w:val="outset" w:sz="6" w:space="0" w:color="000000"/>
              <w:left w:val="outset" w:sz="6" w:space="0" w:color="000000"/>
              <w:bottom w:val="outset" w:sz="6" w:space="0" w:color="000000"/>
              <w:right w:val="outset" w:sz="6" w:space="0" w:color="000000"/>
            </w:tcBorders>
            <w:shd w:color="auto" w:fill="auto" w:val="clear"/>
          </w:tcPr>
          <w:p>
            <w:pPr>
              <w:pStyle w:val="Normal"/>
              <w:widowControl w:val="false"/>
              <w:tabs>
                <w:tab w:val="clear" w:pos="720"/>
                <w:tab w:val="left" w:pos="851" w:leader="none"/>
              </w:tabs>
              <w:jc w:val="center"/>
              <w:rPr>
                <w:rFonts w:ascii="Times New Roman" w:hAnsi="Times New Roman"/>
                <w:sz w:val="28"/>
                <w:szCs w:val="28"/>
              </w:rPr>
            </w:pPr>
            <w:r>
              <w:rPr>
                <w:rFonts w:ascii="Times New Roman" w:hAnsi="Times New Roman"/>
                <w:sz w:val="28"/>
                <w:szCs w:val="28"/>
              </w:rPr>
              <w:t>65.</w:t>
            </w:r>
          </w:p>
        </w:tc>
        <w:tc>
          <w:tcPr>
            <w:tcW w:w="5012" w:type="dxa"/>
            <w:tcBorders>
              <w:top w:val="outset" w:sz="6" w:space="0" w:color="000000"/>
              <w:left w:val="outset" w:sz="6" w:space="0" w:color="000000"/>
              <w:bottom w:val="outset" w:sz="6" w:space="0" w:color="000000"/>
              <w:right w:val="outset" w:sz="6" w:space="0" w:color="000000"/>
            </w:tcBorders>
            <w:shd w:color="auto" w:fill="auto" w:val="clear"/>
          </w:tcPr>
          <w:p>
            <w:pPr>
              <w:pStyle w:val="Normal"/>
              <w:widowControl w:val="false"/>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t>вул. Чистяківська, 4</w:t>
            </w:r>
          </w:p>
        </w:tc>
        <w:tc>
          <w:tcPr>
            <w:tcW w:w="3856" w:type="dxa"/>
            <w:tcBorders>
              <w:top w:val="outset" w:sz="6" w:space="0" w:color="000000"/>
              <w:left w:val="outset" w:sz="6" w:space="0" w:color="000000"/>
              <w:bottom w:val="outset" w:sz="6" w:space="0" w:color="000000"/>
              <w:right w:val="outset" w:sz="6" w:space="0" w:color="000000"/>
            </w:tcBorders>
            <w:shd w:color="auto" w:fill="auto" w:val="clear"/>
          </w:tcPr>
          <w:p>
            <w:pPr>
              <w:pStyle w:val="Normal"/>
              <w:widowControl w:val="false"/>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t>Святошинський</w:t>
            </w:r>
          </w:p>
        </w:tc>
      </w:tr>
    </w:tbl>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У зв'язку з цим позицію 65 - 89 вважати позиціями 66 - 90 відповідно.</w:t>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w:t>
      </w:r>
    </w:p>
    <w:p>
      <w:pPr>
        <w:pStyle w:val="Normal"/>
        <w:tabs>
          <w:tab w:val="clear" w:pos="720"/>
          <w:tab w:val="left" w:pos="851" w:leader="none"/>
        </w:tabs>
        <w:ind w:firstLine="567"/>
        <w:jc w:val="both"/>
        <w:rPr>
          <w:rFonts w:ascii="Times New Roman" w:hAnsi="Times New Roman"/>
          <w:sz w:val="28"/>
          <w:szCs w:val="28"/>
          <w:lang w:val="ru-RU"/>
        </w:rPr>
      </w:pPr>
      <w:r>
        <w:rPr>
          <w:rFonts w:ascii="Times New Roman" w:hAnsi="Times New Roman"/>
          <w:sz w:val="28"/>
          <w:szCs w:val="28"/>
          <w:lang w:val="ru-RU"/>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9. Оприлюднити це рішення в порядку, встановленому законодавством України.</w:t>
      </w:r>
    </w:p>
    <w:p>
      <w:pPr>
        <w:pStyle w:val="Normal"/>
        <w:tabs>
          <w:tab w:val="clear" w:pos="720"/>
          <w:tab w:val="left" w:pos="851" w:leader="none"/>
        </w:tabs>
        <w:ind w:firstLine="567"/>
        <w:jc w:val="both"/>
        <w:rPr>
          <w:rFonts w:ascii="Times New Roman" w:hAnsi="Times New Roman"/>
          <w:sz w:val="28"/>
          <w:szCs w:val="28"/>
          <w:lang w:val="ru-RU"/>
        </w:rPr>
      </w:pPr>
      <w:r>
        <w:rPr>
          <w:rFonts w:ascii="Times New Roman" w:hAnsi="Times New Roman"/>
          <w:sz w:val="28"/>
          <w:szCs w:val="28"/>
          <w:lang w:val="ru-RU"/>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10. Це рішення набирає чинності в порядку, визначеному законодавством України.</w:t>
      </w:r>
    </w:p>
    <w:p>
      <w:pPr>
        <w:pStyle w:val="Normal"/>
        <w:tabs>
          <w:tab w:val="clear" w:pos="720"/>
          <w:tab w:val="left" w:pos="851" w:leader="none"/>
        </w:tabs>
        <w:ind w:firstLine="567"/>
        <w:jc w:val="both"/>
        <w:rPr>
          <w:rFonts w:ascii="Times New Roman" w:hAnsi="Times New Roman"/>
          <w:sz w:val="28"/>
          <w:szCs w:val="28"/>
          <w:lang w:val="ru-RU"/>
        </w:rPr>
      </w:pPr>
      <w:r>
        <w:rPr>
          <w:rFonts w:ascii="Times New Roman" w:hAnsi="Times New Roman"/>
          <w:sz w:val="28"/>
          <w:szCs w:val="28"/>
          <w:lang w:val="ru-RU"/>
        </w:rPr>
      </w:r>
    </w:p>
    <w:p>
      <w:pPr>
        <w:pStyle w:val="Normal"/>
        <w:tabs>
          <w:tab w:val="clear" w:pos="720"/>
          <w:tab w:val="left" w:pos="851" w:leader="none"/>
        </w:tabs>
        <w:ind w:firstLine="567"/>
        <w:jc w:val="both"/>
        <w:rPr>
          <w:rFonts w:ascii="Times New Roman" w:hAnsi="Times New Roman"/>
          <w:sz w:val="28"/>
          <w:szCs w:val="28"/>
        </w:rPr>
      </w:pPr>
      <w:r>
        <w:rPr>
          <w:rFonts w:ascii="Times New Roman" w:hAnsi="Times New Roman"/>
          <w:sz w:val="28"/>
          <w:szCs w:val="28"/>
          <w:lang w:val="ru-RU"/>
        </w:rPr>
        <w:t>11.</w:t>
      </w:r>
      <w:r>
        <w:rPr>
          <w:rFonts w:ascii="Times New Roman" w:hAnsi="Times New Roman"/>
          <w:sz w:val="28"/>
          <w:szCs w:val="28"/>
        </w:rPr>
        <w:t> </w:t>
      </w:r>
      <w:r>
        <w:rPr>
          <w:rFonts w:ascii="Times New Roman" w:hAnsi="Times New Roman"/>
          <w:sz w:val="28"/>
          <w:szCs w:val="28"/>
          <w:lang w:val="ru-RU"/>
        </w:rPr>
        <w:t xml:space="preserve">Контроль за виконанням цього рішення покласти на постійну комісію Київської міської ради з питань власності. </w:t>
      </w:r>
    </w:p>
    <w:p>
      <w:pPr>
        <w:pStyle w:val="BlockText"/>
        <w:tabs>
          <w:tab w:val="clear" w:pos="720"/>
          <w:tab w:val="left" w:pos="7088" w:leader="none"/>
          <w:tab w:val="left" w:pos="7230" w:leader="none"/>
        </w:tabs>
        <w:ind w:left="0" w:right="0" w:hanging="0"/>
        <w:jc w:val="both"/>
        <w:rPr>
          <w:rFonts w:ascii="Times New Roman" w:hAnsi="Times New Roman"/>
          <w:b/>
          <w:b/>
          <w:sz w:val="28"/>
          <w:szCs w:val="28"/>
        </w:rPr>
      </w:pPr>
      <w:r>
        <w:rPr>
          <w:rFonts w:ascii="Times New Roman" w:hAnsi="Times New Roman"/>
          <w:b/>
          <w:sz w:val="28"/>
          <w:szCs w:val="28"/>
        </w:rPr>
      </w:r>
    </w:p>
    <w:p>
      <w:pPr>
        <w:sectPr>
          <w:headerReference w:type="default" r:id="rId4"/>
          <w:type w:val="nextPage"/>
          <w:pgSz w:w="11906" w:h="16838"/>
          <w:pgMar w:left="1701" w:right="567" w:header="709" w:top="992" w:footer="0" w:bottom="1134" w:gutter="0"/>
          <w:pgNumType w:fmt="decimal"/>
          <w:formProt w:val="false"/>
          <w:titlePg/>
          <w:textDirection w:val="lrTb"/>
          <w:docGrid w:type="default" w:linePitch="360" w:charSpace="0"/>
        </w:sectPr>
        <w:pStyle w:val="BlockText"/>
        <w:tabs>
          <w:tab w:val="clear" w:pos="720"/>
          <w:tab w:val="left" w:pos="7088" w:leader="none"/>
          <w:tab w:val="left" w:pos="7230" w:leader="none"/>
        </w:tabs>
        <w:ind w:left="0" w:right="0" w:hanging="0"/>
        <w:jc w:val="both"/>
        <w:rPr>
          <w:rFonts w:ascii="Times New Roman" w:hAnsi="Times New Roman"/>
          <w:sz w:val="28"/>
          <w:szCs w:val="28"/>
        </w:rPr>
      </w:pPr>
      <w:r>
        <w:rPr>
          <w:rFonts w:ascii="Times New Roman" w:hAnsi="Times New Roman"/>
          <w:b/>
          <w:sz w:val="28"/>
          <w:szCs w:val="28"/>
        </w:rPr>
        <w:t>Київський міський голова                                                         Віталій КЛИЧКО</w:t>
      </w:r>
    </w:p>
    <w:tbl>
      <w:tblPr>
        <w:tblW w:w="977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378"/>
        <w:gridCol w:w="1711"/>
        <w:gridCol w:w="3685"/>
      </w:tblGrid>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t>ПОДАННЯ:</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sz w:val="28"/>
                <w:szCs w:val="28"/>
              </w:rPr>
            </w:pPr>
            <w:r>
              <w:rPr>
                <w:rFonts w:eastAsia="SimSun" w:ascii="Times New Roman" w:hAnsi="Times New Roman"/>
                <w:sz w:val="28"/>
                <w:szCs w:val="28"/>
              </w:rPr>
              <w:t>Депутат Київської міської ради</w:t>
            </w:r>
          </w:p>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Вікторія БУРДУКОВА</w:t>
            </w:r>
          </w:p>
          <w:p>
            <w:pPr>
              <w:pStyle w:val="Normal"/>
              <w:widowControl w:val="false"/>
              <w:jc w:val="both"/>
              <w:rPr>
                <w:rFonts w:ascii="Times New Roman" w:hAnsi="Times New Roman" w:eastAsia="SimSun"/>
                <w:sz w:val="28"/>
                <w:szCs w:val="28"/>
              </w:rPr>
            </w:pPr>
            <w:r>
              <w:rPr>
                <w:rFonts w:eastAsia="SimSun" w:ascii="Times New Roman" w:hAnsi="Times New Roman"/>
                <w:sz w:val="28"/>
                <w:szCs w:val="28"/>
              </w:rPr>
            </w:r>
          </w:p>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t>ПОГОДЖЕНО:</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sz w:val="28"/>
                <w:szCs w:val="28"/>
                <w:lang w:val="ru-RU"/>
              </w:rPr>
            </w:pPr>
            <w:r>
              <w:rPr>
                <w:rFonts w:eastAsia="SimSun" w:ascii="Times New Roman" w:hAnsi="Times New Roman"/>
                <w:sz w:val="28"/>
                <w:szCs w:val="28"/>
                <w:lang w:val="ru-RU"/>
              </w:rPr>
              <w:t xml:space="preserve">Постійна комісія Київської </w:t>
            </w:r>
          </w:p>
          <w:p>
            <w:pPr>
              <w:pStyle w:val="Normal"/>
              <w:widowControl w:val="false"/>
              <w:rPr>
                <w:rFonts w:ascii="Times New Roman" w:hAnsi="Times New Roman" w:eastAsia="SimSun"/>
                <w:sz w:val="28"/>
                <w:szCs w:val="28"/>
                <w:lang w:val="ru-RU"/>
              </w:rPr>
            </w:pPr>
            <w:r>
              <w:rPr>
                <w:rFonts w:eastAsia="SimSun" w:ascii="Times New Roman" w:hAnsi="Times New Roman"/>
                <w:sz w:val="28"/>
                <w:szCs w:val="28"/>
                <w:lang w:val="ru-RU"/>
              </w:rPr>
              <w:t>міської ради з питань власності</w:t>
            </w:r>
          </w:p>
        </w:tc>
        <w:tc>
          <w:tcPr>
            <w:tcW w:w="1711"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c>
          <w:tcPr>
            <w:tcW w:w="3685"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r>
      <w:tr>
        <w:trPr/>
        <w:tc>
          <w:tcPr>
            <w:tcW w:w="4378" w:type="dxa"/>
            <w:tcBorders/>
            <w:shd w:color="auto" w:fill="auto" w:val="clear"/>
          </w:tcPr>
          <w:p>
            <w:pPr>
              <w:pStyle w:val="Normal"/>
              <w:widowControl w:val="false"/>
              <w:rPr>
                <w:rFonts w:ascii="Times New Roman" w:hAnsi="Times New Roman" w:eastAsia="SimSun"/>
                <w:b/>
                <w:b/>
                <w:sz w:val="28"/>
                <w:szCs w:val="28"/>
                <w:lang w:val="ru-RU"/>
              </w:rPr>
            </w:pPr>
            <w:r>
              <w:rPr>
                <w:rFonts w:eastAsia="SimSun" w:ascii="Times New Roman" w:hAnsi="Times New Roman"/>
                <w:b/>
                <w:sz w:val="28"/>
                <w:szCs w:val="28"/>
                <w:lang w:val="ru-RU"/>
              </w:rPr>
            </w:r>
          </w:p>
        </w:tc>
        <w:tc>
          <w:tcPr>
            <w:tcW w:w="1711"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c>
          <w:tcPr>
            <w:tcW w:w="3685"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r>
      <w:tr>
        <w:trPr/>
        <w:tc>
          <w:tcPr>
            <w:tcW w:w="4378" w:type="dxa"/>
            <w:tcBorders/>
            <w:shd w:color="auto" w:fill="auto" w:val="clear"/>
          </w:tcPr>
          <w:p>
            <w:pPr>
              <w:pStyle w:val="Normal"/>
              <w:widowControl w:val="false"/>
              <w:rPr>
                <w:rFonts w:ascii="Times New Roman" w:hAnsi="Times New Roman" w:eastAsia="SimSun"/>
                <w:sz w:val="28"/>
                <w:szCs w:val="28"/>
              </w:rPr>
            </w:pPr>
            <w:r>
              <w:rPr>
                <w:rFonts w:eastAsia="SimSun" w:ascii="Times New Roman" w:hAnsi="Times New Roman"/>
                <w:sz w:val="28"/>
                <w:szCs w:val="28"/>
              </w:rPr>
              <w:t>Голова комісії</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Михайло ПРИСЯЖНЮК</w:t>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sz w:val="28"/>
                <w:szCs w:val="28"/>
              </w:rPr>
            </w:pPr>
            <w:r>
              <w:rPr>
                <w:rFonts w:eastAsia="SimSun" w:ascii="Times New Roman" w:hAnsi="Times New Roman"/>
                <w:sz w:val="28"/>
                <w:szCs w:val="28"/>
              </w:rPr>
              <w:t>Секретар комісії</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Сергій АРТЕМЕНКО</w:t>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sz w:val="28"/>
                <w:szCs w:val="28"/>
                <w:lang w:val="ru-RU"/>
              </w:rPr>
            </w:pPr>
            <w:r>
              <w:rPr>
                <w:rFonts w:eastAsia="SimSun" w:ascii="Times New Roman" w:hAnsi="Times New Roman"/>
                <w:sz w:val="28"/>
                <w:szCs w:val="28"/>
                <w:lang w:val="ru-RU"/>
              </w:rPr>
              <w:t>Постійна комісія Київської</w:t>
            </w:r>
          </w:p>
          <w:p>
            <w:pPr>
              <w:pStyle w:val="Normal"/>
              <w:widowControl w:val="false"/>
              <w:rPr>
                <w:rFonts w:ascii="Times New Roman" w:hAnsi="Times New Roman" w:eastAsia="SimSun"/>
                <w:sz w:val="28"/>
                <w:szCs w:val="28"/>
                <w:lang w:val="ru-RU"/>
              </w:rPr>
            </w:pPr>
            <w:r>
              <w:rPr>
                <w:rFonts w:eastAsia="SimSun" w:ascii="Times New Roman" w:hAnsi="Times New Roman"/>
                <w:sz w:val="28"/>
                <w:szCs w:val="28"/>
                <w:lang w:val="ru-RU"/>
              </w:rPr>
              <w:t>міської ради з питань житлово-комунального господарства та паливно-енергетичного комплексу</w:t>
            </w:r>
          </w:p>
        </w:tc>
        <w:tc>
          <w:tcPr>
            <w:tcW w:w="1711"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c>
          <w:tcPr>
            <w:tcW w:w="3685"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r>
      <w:tr>
        <w:trPr/>
        <w:tc>
          <w:tcPr>
            <w:tcW w:w="4378" w:type="dxa"/>
            <w:tcBorders/>
            <w:shd w:color="auto" w:fill="auto" w:val="clear"/>
          </w:tcPr>
          <w:p>
            <w:pPr>
              <w:pStyle w:val="Normal"/>
              <w:widowControl w:val="false"/>
              <w:rPr>
                <w:rFonts w:ascii="Times New Roman" w:hAnsi="Times New Roman" w:eastAsia="SimSun"/>
                <w:b/>
                <w:b/>
                <w:sz w:val="28"/>
                <w:szCs w:val="28"/>
                <w:lang w:val="ru-RU"/>
              </w:rPr>
            </w:pPr>
            <w:r>
              <w:rPr>
                <w:rFonts w:eastAsia="SimSun" w:ascii="Times New Roman" w:hAnsi="Times New Roman"/>
                <w:b/>
                <w:sz w:val="28"/>
                <w:szCs w:val="28"/>
                <w:lang w:val="ru-RU"/>
              </w:rPr>
            </w:r>
          </w:p>
        </w:tc>
        <w:tc>
          <w:tcPr>
            <w:tcW w:w="1711"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c>
          <w:tcPr>
            <w:tcW w:w="3685" w:type="dxa"/>
            <w:tcBorders/>
            <w:shd w:color="auto" w:fill="auto" w:val="clear"/>
          </w:tcPr>
          <w:p>
            <w:pPr>
              <w:pStyle w:val="Normal"/>
              <w:widowControl w:val="false"/>
              <w:jc w:val="both"/>
              <w:rPr>
                <w:rFonts w:ascii="Times New Roman" w:hAnsi="Times New Roman" w:eastAsia="SimSun"/>
                <w:b/>
                <w:b/>
                <w:sz w:val="28"/>
                <w:szCs w:val="28"/>
                <w:lang w:val="ru-RU"/>
              </w:rPr>
            </w:pPr>
            <w:r>
              <w:rPr>
                <w:rFonts w:eastAsia="SimSun" w:ascii="Times New Roman" w:hAnsi="Times New Roman"/>
                <w:b/>
                <w:sz w:val="28"/>
                <w:szCs w:val="28"/>
                <w:lang w:val="ru-RU"/>
              </w:rPr>
            </w:r>
          </w:p>
        </w:tc>
      </w:tr>
      <w:tr>
        <w:trPr/>
        <w:tc>
          <w:tcPr>
            <w:tcW w:w="4378" w:type="dxa"/>
            <w:tcBorders/>
            <w:shd w:color="auto" w:fill="auto" w:val="clear"/>
          </w:tcPr>
          <w:p>
            <w:pPr>
              <w:pStyle w:val="Normal"/>
              <w:widowControl w:val="false"/>
              <w:rPr>
                <w:rFonts w:ascii="Times New Roman" w:hAnsi="Times New Roman" w:eastAsia="SimSun"/>
                <w:sz w:val="28"/>
                <w:szCs w:val="28"/>
              </w:rPr>
            </w:pPr>
            <w:r>
              <w:rPr>
                <w:rFonts w:eastAsia="SimSun" w:ascii="Times New Roman" w:hAnsi="Times New Roman"/>
                <w:sz w:val="28"/>
                <w:szCs w:val="28"/>
              </w:rPr>
              <w:t>Голова комісії</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Олександр БРОДСЬКИЙ</w:t>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sz w:val="28"/>
                <w:szCs w:val="28"/>
              </w:rPr>
            </w:pPr>
            <w:r>
              <w:rPr>
                <w:rFonts w:eastAsia="SimSun" w:ascii="Times New Roman" w:hAnsi="Times New Roman"/>
                <w:sz w:val="28"/>
                <w:szCs w:val="28"/>
              </w:rPr>
              <w:t>Секретар комісії</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Тарас КРИВОРУЧКО</w:t>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rPr>
                <w:rFonts w:ascii="Times New Roman" w:hAnsi="Times New Roman" w:eastAsia="SimSun"/>
                <w:b/>
                <w:b/>
                <w:sz w:val="28"/>
                <w:szCs w:val="28"/>
              </w:rPr>
            </w:pPr>
            <w:r>
              <w:rPr>
                <w:rFonts w:eastAsia="SimSun" w:ascii="Times New Roman" w:hAnsi="Times New Roman"/>
                <w:b/>
                <w:sz w:val="28"/>
                <w:szCs w:val="28"/>
              </w:rPr>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r>
      <w:tr>
        <w:trPr/>
        <w:tc>
          <w:tcPr>
            <w:tcW w:w="4378" w:type="dxa"/>
            <w:tcBorders/>
            <w:shd w:color="auto" w:fill="auto" w:val="clear"/>
          </w:tcPr>
          <w:p>
            <w:pPr>
              <w:pStyle w:val="Normal"/>
              <w:widowControl w:val="false"/>
              <w:tabs>
                <w:tab w:val="clear" w:pos="720"/>
                <w:tab w:val="left" w:pos="7088" w:leader="none"/>
              </w:tabs>
              <w:rPr>
                <w:rFonts w:ascii="Times New Roman" w:hAnsi="Times New Roman" w:eastAsia="SimSun"/>
                <w:sz w:val="28"/>
                <w:szCs w:val="28"/>
              </w:rPr>
            </w:pPr>
            <w:r>
              <w:rPr>
                <w:rFonts w:eastAsia="SimSun" w:ascii="Times New Roman" w:hAnsi="Times New Roman"/>
                <w:sz w:val="28"/>
                <w:szCs w:val="28"/>
              </w:rPr>
              <w:t>Виконувач обов’язків начальника управління правового забезпечення діяльності Київської міської ради секретаріату Київської міської ради</w:t>
            </w:r>
          </w:p>
        </w:tc>
        <w:tc>
          <w:tcPr>
            <w:tcW w:w="1711" w:type="dxa"/>
            <w:tcBorders/>
            <w:shd w:color="auto" w:fill="auto" w:val="clear"/>
          </w:tcPr>
          <w:p>
            <w:pPr>
              <w:pStyle w:val="Normal"/>
              <w:widowControl w:val="false"/>
              <w:jc w:val="both"/>
              <w:rPr>
                <w:rFonts w:ascii="Times New Roman" w:hAnsi="Times New Roman" w:eastAsia="SimSun"/>
                <w:b/>
                <w:b/>
                <w:sz w:val="28"/>
                <w:szCs w:val="28"/>
              </w:rPr>
            </w:pPr>
            <w:r>
              <w:rPr>
                <w:rFonts w:eastAsia="SimSun" w:ascii="Times New Roman" w:hAnsi="Times New Roman"/>
                <w:b/>
                <w:sz w:val="28"/>
                <w:szCs w:val="28"/>
              </w:rPr>
            </w:r>
          </w:p>
        </w:tc>
        <w:tc>
          <w:tcPr>
            <w:tcW w:w="3685" w:type="dxa"/>
            <w:tcBorders/>
            <w:shd w:color="auto" w:fill="auto" w:val="clear"/>
            <w:vAlign w:val="bottom"/>
          </w:tcPr>
          <w:p>
            <w:pPr>
              <w:pStyle w:val="Normal"/>
              <w:widowControl w:val="false"/>
              <w:jc w:val="both"/>
              <w:rPr>
                <w:rFonts w:ascii="Times New Roman" w:hAnsi="Times New Roman" w:eastAsia="SimSun"/>
                <w:sz w:val="28"/>
                <w:szCs w:val="28"/>
              </w:rPr>
            </w:pPr>
            <w:r>
              <w:rPr>
                <w:rFonts w:eastAsia="SimSun" w:ascii="Times New Roman" w:hAnsi="Times New Roman"/>
                <w:sz w:val="28"/>
                <w:szCs w:val="28"/>
              </w:rPr>
              <w:t>Валентина ПОЛОЖИШНИК</w:t>
            </w:r>
          </w:p>
        </w:tc>
      </w:tr>
    </w:tbl>
    <w:p>
      <w:pPr>
        <w:pStyle w:val="BlockText"/>
        <w:tabs>
          <w:tab w:val="clear" w:pos="720"/>
          <w:tab w:val="left" w:pos="7088" w:leader="none"/>
          <w:tab w:val="left" w:pos="7230" w:leader="none"/>
        </w:tabs>
        <w:ind w:left="0" w:right="0" w:hanging="0"/>
        <w:jc w:val="both"/>
        <w:rPr>
          <w:rFonts w:ascii="Times New Roman" w:hAnsi="Times New Roman"/>
          <w:b/>
          <w:b/>
          <w:sz w:val="28"/>
          <w:szCs w:val="28"/>
        </w:rPr>
      </w:pPr>
      <w:r>
        <w:rPr>
          <w:rFonts w:ascii="Times New Roman" w:hAnsi="Times New Roman"/>
          <w:b/>
          <w:sz w:val="28"/>
          <w:szCs w:val="28"/>
        </w:rPr>
      </w:r>
    </w:p>
    <w:p>
      <w:pPr>
        <w:pStyle w:val="BlockText"/>
        <w:tabs>
          <w:tab w:val="clear" w:pos="720"/>
          <w:tab w:val="left" w:pos="7088" w:leader="none"/>
          <w:tab w:val="left" w:pos="7230" w:leader="none"/>
        </w:tabs>
        <w:ind w:left="0" w:right="0" w:hanging="0"/>
        <w:jc w:val="both"/>
        <w:rPr>
          <w:rFonts w:ascii="Times New Roman" w:hAnsi="Times New Roman"/>
          <w:sz w:val="28"/>
          <w:szCs w:val="28"/>
        </w:rPr>
      </w:pPr>
      <w:r>
        <w:rPr>
          <w:rFonts w:ascii="Times New Roman" w:hAnsi="Times New Roman"/>
          <w:sz w:val="28"/>
          <w:szCs w:val="28"/>
        </w:rPr>
      </w:r>
    </w:p>
    <w:sectPr>
      <w:headerReference w:type="default" r:id="rId5"/>
      <w:type w:val="nextPage"/>
      <w:pgSz w:w="12240" w:h="15840"/>
      <w:pgMar w:left="1133" w:right="595" w:header="720" w:top="777"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sz w:val="28"/>
        <w:szCs w:val="28"/>
      </w:rPr>
    </w:pPr>
    <w:r>
      <w:rPr/>
    </w:r>
  </w:p>
  <w:p>
    <w:pPr>
      <w:pStyle w:val="Style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sz w:val="28"/>
        <w:szCs w:val="28"/>
      </w:rPr>
    </w:pPr>
    <w:r>
      <w:rPr/>
    </w:r>
  </w:p>
  <w:p>
    <w:pPr>
      <w:pStyle w:val="Style2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34e3"/>
    <w:pPr>
      <w:widowControl/>
      <w:bidi w:val="0"/>
      <w:spacing w:lineRule="auto" w:line="240" w:before="0" w:after="0"/>
      <w:jc w:val="left"/>
    </w:pPr>
    <w:rPr>
      <w:rFonts w:ascii="Arial" w:hAnsi="Arial" w:eastAsia="Arial" w:cs="Arial"/>
      <w:color w:val="auto"/>
      <w:kern w:val="0"/>
      <w:sz w:val="20"/>
      <w:szCs w:val="20"/>
      <w:lang w:eastAsia="uk-UA" w:val="en-US" w:bidi="ar-SA"/>
    </w:rPr>
  </w:style>
  <w:style w:type="paragraph" w:styleId="1">
    <w:name w:val="Heading 1"/>
    <w:basedOn w:val="Normal"/>
    <w:next w:val="Normal"/>
    <w:link w:val="10"/>
    <w:qFormat/>
    <w:rsid w:val="001d3172"/>
    <w:pPr>
      <w:keepNext w:val="true"/>
      <w:spacing w:before="240" w:after="60"/>
      <w:outlineLvl w:val="0"/>
    </w:pPr>
    <w:rPr>
      <w:rFonts w:ascii="Calibri Light" w:hAnsi="Calibri Light" w:eastAsia="Times New Roman" w:cs="Times New Roman"/>
      <w:b/>
      <w:bCs/>
      <w:kern w:val="2"/>
      <w:sz w:val="32"/>
      <w:szCs w:val="32"/>
      <w:lang w:val="uk-UA"/>
    </w:rPr>
  </w:style>
  <w:style w:type="paragraph" w:styleId="5">
    <w:name w:val="Heading 5"/>
    <w:basedOn w:val="Normal"/>
    <w:link w:val="50"/>
    <w:uiPriority w:val="9"/>
    <w:qFormat/>
    <w:rsid w:val="00645400"/>
    <w:pPr>
      <w:spacing w:beforeAutospacing="1" w:afterAutospacing="1"/>
      <w:outlineLvl w:val="4"/>
    </w:pPr>
    <w:rPr>
      <w:rFonts w:ascii="Times New Roman" w:hAnsi="Times New Roman" w:eastAsia="Times New Roman" w:cs="Times New Roman"/>
      <w:b/>
      <w:bCs/>
      <w:lang w:eastAsia="en-US"/>
    </w:rPr>
  </w:style>
  <w:style w:type="character" w:styleId="DefaultParagraphFont" w:default="1">
    <w:name w:val="Default Paragraph Font"/>
    <w:uiPriority w:val="1"/>
    <w:semiHidden/>
    <w:unhideWhenUsed/>
    <w:qFormat/>
    <w:rPr/>
  </w:style>
  <w:style w:type="character" w:styleId="51" w:customStyle="1">
    <w:name w:val="Заголовок 5 Знак"/>
    <w:basedOn w:val="DefaultParagraphFont"/>
    <w:link w:val="5"/>
    <w:uiPriority w:val="9"/>
    <w:qFormat/>
    <w:rsid w:val="00645400"/>
    <w:rPr>
      <w:rFonts w:ascii="Times New Roman" w:hAnsi="Times New Roman" w:eastAsia="Times New Roman" w:cs="Times New Roman"/>
      <w:b/>
      <w:bCs/>
      <w:sz w:val="20"/>
      <w:szCs w:val="20"/>
    </w:rPr>
  </w:style>
  <w:style w:type="character" w:styleId="11" w:customStyle="1">
    <w:name w:val="Заголовок 1 Знак"/>
    <w:basedOn w:val="DefaultParagraphFont"/>
    <w:link w:val="1"/>
    <w:qFormat/>
    <w:rsid w:val="001d3172"/>
    <w:rPr>
      <w:rFonts w:ascii="Calibri Light" w:hAnsi="Calibri Light" w:eastAsia="Times New Roman" w:cs="Times New Roman"/>
      <w:b/>
      <w:bCs/>
      <w:kern w:val="2"/>
      <w:sz w:val="32"/>
      <w:szCs w:val="32"/>
      <w:lang w:val="uk-UA" w:eastAsia="uk-UA"/>
    </w:rPr>
  </w:style>
  <w:style w:type="character" w:styleId="Style12" w:customStyle="1">
    <w:name w:val="Верхний колонтитул Знак"/>
    <w:basedOn w:val="DefaultParagraphFont"/>
    <w:link w:val="a8"/>
    <w:uiPriority w:val="99"/>
    <w:qFormat/>
    <w:rsid w:val="001d3172"/>
    <w:rPr>
      <w:rFonts w:ascii="Times New Roman" w:hAnsi="Times New Roman" w:eastAsia="Times New Roman" w:cs="Times New Roman"/>
      <w:sz w:val="24"/>
      <w:szCs w:val="24"/>
      <w:lang w:val="uk-UA" w:eastAsia="uk-UA"/>
    </w:rPr>
  </w:style>
  <w:style w:type="character" w:styleId="Strong">
    <w:name w:val="Strong"/>
    <w:uiPriority w:val="22"/>
    <w:qFormat/>
    <w:rsid w:val="001d3172"/>
    <w:rPr>
      <w:b/>
      <w:bCs/>
    </w:rPr>
  </w:style>
  <w:style w:type="character" w:styleId="Style13" w:customStyle="1">
    <w:name w:val="Обычный (веб) Знак"/>
    <w:link w:val="a6"/>
    <w:qFormat/>
    <w:locked/>
    <w:rsid w:val="001d3172"/>
    <w:rPr>
      <w:rFonts w:ascii="Times New Roman" w:hAnsi="Times New Roman" w:eastAsia="Times New Roman" w:cs="Times New Roman"/>
      <w:sz w:val="24"/>
      <w:szCs w:val="24"/>
      <w:lang w:val="uk-UA" w:eastAsia="uk-UA"/>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uiPriority w:val="34"/>
    <w:qFormat/>
    <w:rsid w:val="008834e3"/>
    <w:pPr>
      <w:spacing w:before="0" w:after="0"/>
      <w:ind w:left="720" w:hanging="0"/>
      <w:contextualSpacing/>
    </w:pPr>
    <w:rPr/>
  </w:style>
  <w:style w:type="paragraph" w:styleId="BlockText">
    <w:name w:val="Block Text"/>
    <w:basedOn w:val="Normal"/>
    <w:qFormat/>
    <w:rsid w:val="001d3172"/>
    <w:pPr>
      <w:ind w:left="142" w:right="-1044" w:firstLine="284"/>
    </w:pPr>
    <w:rPr>
      <w:rFonts w:ascii="Times New Roman" w:hAnsi="Times New Roman" w:eastAsia="SimSun" w:cs="Times New Roman"/>
      <w:sz w:val="24"/>
      <w:lang w:val="uk-UA" w:eastAsia="ru-RU"/>
    </w:rPr>
  </w:style>
  <w:style w:type="paragraph" w:styleId="NormalWeb">
    <w:name w:val="Normal (Web)"/>
    <w:basedOn w:val="Normal"/>
    <w:link w:val="a7"/>
    <w:unhideWhenUsed/>
    <w:qFormat/>
    <w:rsid w:val="001d3172"/>
    <w:pPr>
      <w:spacing w:beforeAutospacing="1" w:afterAutospacing="1"/>
    </w:pPr>
    <w:rPr>
      <w:rFonts w:ascii="Times New Roman" w:hAnsi="Times New Roman" w:eastAsia="Times New Roman" w:cs="Times New Roman"/>
      <w:sz w:val="24"/>
      <w:szCs w:val="24"/>
      <w:lang w:val="uk-UA"/>
    </w:rPr>
  </w:style>
  <w:style w:type="paragraph" w:styleId="Style19">
    <w:name w:val="Верхний и нижний колонтитулы"/>
    <w:basedOn w:val="Normal"/>
    <w:qFormat/>
    <w:pPr/>
    <w:rPr/>
  </w:style>
  <w:style w:type="paragraph" w:styleId="Style20">
    <w:name w:val="Header"/>
    <w:basedOn w:val="Normal"/>
    <w:link w:val="a9"/>
    <w:uiPriority w:val="99"/>
    <w:rsid w:val="001d3172"/>
    <w:pPr>
      <w:tabs>
        <w:tab w:val="clear" w:pos="720"/>
        <w:tab w:val="center" w:pos="4844" w:leader="none"/>
        <w:tab w:val="right" w:pos="9689" w:leader="none"/>
      </w:tabs>
    </w:pPr>
    <w:rPr>
      <w:rFonts w:ascii="Times New Roman" w:hAnsi="Times New Roman" w:eastAsia="Times New Roman" w:cs="Times New Roman"/>
      <w:sz w:val="24"/>
      <w:szCs w:val="24"/>
      <w:lang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39"/>
    <w:rsid w:val="008834e3"/>
    <w:pPr>
      <w:spacing w:after="0" w:line="240" w:lineRule="auto"/>
    </w:pPr>
    <w:rPr>
      <w:lang w:val="uk-U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LibreOffice/7.0.4.2$Windows_X86_64 LibreOffice_project/dcf040e67528d9187c66b2379df5ea4407429775</Application>
  <AppVersion>15.0000</AppVersion>
  <Pages>5</Pages>
  <Words>793</Words>
  <Characters>5340</Characters>
  <CharactersWithSpaces>6202</CharactersWithSpaces>
  <Paragraphs>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2022-09-16T11:24:00Z</dcterms:created>
  <dc:creator>User</dc:creator>
  <dc:description/>
  <dc:language>ru-RU</dc:language>
  <cp:lastModifiedBy/>
  <cp:lastPrinted>2022-09-22T15:01:06Z</cp:lastPrinted>
  <dcterms:modified xsi:type="dcterms:W3CDTF">2022-09-22T15:02:32Z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