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D4E59" w14:textId="77777777" w:rsidR="00262281" w:rsidRPr="00262281" w:rsidRDefault="00262281" w:rsidP="00262281">
      <w:pPr>
        <w:suppressAutoHyphens w:val="0"/>
        <w:spacing w:before="76" w:after="0" w:line="240" w:lineRule="auto"/>
        <w:ind w:left="2284" w:right="2450"/>
        <w:jc w:val="center"/>
        <w:rPr>
          <w:rFonts w:ascii="Times New Roman" w:eastAsia="Times New Roman" w:hAnsi="Times New Roman" w:cs="Times New Roman"/>
          <w:b/>
          <w:color w:val="auto"/>
          <w:w w:val="105"/>
          <w:sz w:val="28"/>
          <w:szCs w:val="28"/>
          <w:lang w:eastAsia="ru-RU"/>
        </w:rPr>
      </w:pPr>
      <w:r w:rsidRPr="00262281">
        <w:rPr>
          <w:rFonts w:ascii="Times New Roman" w:eastAsia="Times New Roman" w:hAnsi="Times New Roman" w:cs="Times New Roman"/>
          <w:b/>
          <w:color w:val="auto"/>
          <w:w w:val="105"/>
          <w:sz w:val="28"/>
          <w:szCs w:val="28"/>
          <w:lang w:eastAsia="ru-RU"/>
        </w:rPr>
        <w:t>Пояснювальна</w:t>
      </w:r>
      <w:r w:rsidRPr="00262281">
        <w:rPr>
          <w:rFonts w:ascii="Times New Roman" w:eastAsia="Times New Roman" w:hAnsi="Times New Roman" w:cs="Times New Roman"/>
          <w:b/>
          <w:color w:val="auto"/>
          <w:spacing w:val="-10"/>
          <w:w w:val="105"/>
          <w:sz w:val="28"/>
          <w:szCs w:val="28"/>
          <w:lang w:eastAsia="ru-RU"/>
        </w:rPr>
        <w:t xml:space="preserve"> </w:t>
      </w:r>
      <w:r w:rsidRPr="00262281">
        <w:rPr>
          <w:rFonts w:ascii="Times New Roman" w:eastAsia="Times New Roman" w:hAnsi="Times New Roman" w:cs="Times New Roman"/>
          <w:b/>
          <w:color w:val="auto"/>
          <w:w w:val="105"/>
          <w:sz w:val="28"/>
          <w:szCs w:val="28"/>
          <w:lang w:eastAsia="ru-RU"/>
        </w:rPr>
        <w:t>записка</w:t>
      </w:r>
    </w:p>
    <w:p w14:paraId="59038E0A" w14:textId="77777777" w:rsidR="00072812" w:rsidRDefault="00262281" w:rsidP="00262281">
      <w:pPr>
        <w:suppressAutoHyphens w:val="0"/>
        <w:spacing w:after="0" w:line="240" w:lineRule="auto"/>
        <w:ind w:left="-142"/>
        <w:jc w:val="center"/>
        <w:rPr>
          <w:rFonts w:ascii="Times New Roman" w:eastAsia="Times New Roman" w:hAnsi="Times New Roman" w:cs="Times New Roman"/>
          <w:b/>
          <w:color w:val="000000"/>
          <w:sz w:val="28"/>
          <w:szCs w:val="28"/>
          <w:lang w:eastAsia="ru-RU"/>
        </w:rPr>
      </w:pPr>
      <w:r w:rsidRPr="00262281">
        <w:rPr>
          <w:rFonts w:ascii="Times New Roman" w:eastAsia="Times New Roman" w:hAnsi="Times New Roman" w:cs="Times New Roman"/>
          <w:b/>
          <w:color w:val="auto"/>
          <w:sz w:val="28"/>
          <w:szCs w:val="28"/>
          <w:lang w:eastAsia="ru-RU"/>
        </w:rPr>
        <w:t>до проєкту рішення Київської міської ради «</w:t>
      </w:r>
      <w:r w:rsidRPr="00262281">
        <w:rPr>
          <w:rFonts w:ascii="Times New Roman" w:eastAsia="Times New Roman" w:hAnsi="Times New Roman" w:cs="Times New Roman"/>
          <w:b/>
          <w:color w:val="000000"/>
          <w:sz w:val="28"/>
          <w:szCs w:val="28"/>
          <w:lang w:eastAsia="ru-RU"/>
        </w:rPr>
        <w:t xml:space="preserve">Про деякі </w:t>
      </w:r>
    </w:p>
    <w:p w14:paraId="786D0114" w14:textId="77777777" w:rsidR="00072812" w:rsidRDefault="00262281" w:rsidP="00262281">
      <w:pPr>
        <w:suppressAutoHyphens w:val="0"/>
        <w:spacing w:after="0" w:line="240" w:lineRule="auto"/>
        <w:ind w:left="-142"/>
        <w:jc w:val="center"/>
        <w:rPr>
          <w:rFonts w:ascii="Times New Roman" w:eastAsia="Times New Roman" w:hAnsi="Times New Roman" w:cs="Times New Roman"/>
          <w:b/>
          <w:color w:val="000000"/>
          <w:sz w:val="28"/>
          <w:szCs w:val="28"/>
          <w:lang w:eastAsia="ru-RU"/>
        </w:rPr>
      </w:pPr>
      <w:r w:rsidRPr="00262281">
        <w:rPr>
          <w:rFonts w:ascii="Times New Roman" w:eastAsia="Times New Roman" w:hAnsi="Times New Roman" w:cs="Times New Roman"/>
          <w:b/>
          <w:color w:val="000000"/>
          <w:sz w:val="28"/>
          <w:szCs w:val="28"/>
          <w:lang w:eastAsia="ru-RU"/>
        </w:rPr>
        <w:t xml:space="preserve">питання використання майна територіальної громади </w:t>
      </w:r>
    </w:p>
    <w:p w14:paraId="08CF483E" w14:textId="77777777" w:rsidR="00072812" w:rsidRDefault="00262281" w:rsidP="00262281">
      <w:pPr>
        <w:suppressAutoHyphens w:val="0"/>
        <w:spacing w:after="0" w:line="240" w:lineRule="auto"/>
        <w:ind w:left="-142"/>
        <w:jc w:val="center"/>
        <w:rPr>
          <w:rFonts w:ascii="Times New Roman" w:eastAsia="Times New Roman" w:hAnsi="Times New Roman" w:cs="Times New Roman"/>
          <w:b/>
          <w:color w:val="000000"/>
          <w:sz w:val="28"/>
          <w:szCs w:val="28"/>
          <w:lang w:eastAsia="ru-RU"/>
        </w:rPr>
      </w:pPr>
      <w:r w:rsidRPr="00262281">
        <w:rPr>
          <w:rFonts w:ascii="Times New Roman" w:eastAsia="Times New Roman" w:hAnsi="Times New Roman" w:cs="Times New Roman"/>
          <w:b/>
          <w:color w:val="000000"/>
          <w:sz w:val="28"/>
          <w:szCs w:val="28"/>
          <w:lang w:eastAsia="ru-RU"/>
        </w:rPr>
        <w:t xml:space="preserve">міста Києва, яке перебуває у володінні та користуванні </w:t>
      </w:r>
    </w:p>
    <w:p w14:paraId="13131C43" w14:textId="77777777" w:rsidR="00072812" w:rsidRDefault="00262281" w:rsidP="00262281">
      <w:pPr>
        <w:suppressAutoHyphens w:val="0"/>
        <w:spacing w:after="0" w:line="240" w:lineRule="auto"/>
        <w:ind w:left="-142"/>
        <w:jc w:val="center"/>
        <w:rPr>
          <w:rFonts w:ascii="Times New Roman" w:eastAsia="Times New Roman" w:hAnsi="Times New Roman" w:cs="Times New Roman"/>
          <w:b/>
          <w:color w:val="auto"/>
          <w:sz w:val="28"/>
          <w:szCs w:val="28"/>
          <w:lang w:eastAsia="ru-RU"/>
        </w:rPr>
      </w:pPr>
      <w:r w:rsidRPr="00262281">
        <w:rPr>
          <w:rFonts w:ascii="Times New Roman" w:eastAsia="Times New Roman" w:hAnsi="Times New Roman" w:cs="Times New Roman"/>
          <w:b/>
          <w:color w:val="000000"/>
          <w:sz w:val="28"/>
          <w:szCs w:val="28"/>
          <w:lang w:eastAsia="ru-RU"/>
        </w:rPr>
        <w:t>ПрАТ «АК «Київводоканал», в умовах воєнного стану</w:t>
      </w:r>
      <w:r w:rsidRPr="00262281">
        <w:rPr>
          <w:rFonts w:ascii="Times New Roman" w:eastAsia="Times New Roman" w:hAnsi="Times New Roman" w:cs="Times New Roman"/>
          <w:b/>
          <w:color w:val="auto"/>
          <w:sz w:val="28"/>
          <w:szCs w:val="28"/>
          <w:lang w:eastAsia="ru-RU"/>
        </w:rPr>
        <w:t>»</w:t>
      </w:r>
    </w:p>
    <w:p w14:paraId="5F2FF07C" w14:textId="77777777" w:rsidR="00262281" w:rsidRPr="00262281" w:rsidRDefault="00262281" w:rsidP="00262281">
      <w:pPr>
        <w:suppressAutoHyphens w:val="0"/>
        <w:spacing w:after="0" w:line="240" w:lineRule="auto"/>
        <w:ind w:left="-14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auto"/>
          <w:sz w:val="28"/>
          <w:szCs w:val="28"/>
          <w:lang w:eastAsia="ru-RU"/>
        </w:rPr>
        <w:t xml:space="preserve"> (далі – проєкт рішення)</w:t>
      </w:r>
    </w:p>
    <w:p w14:paraId="4D299D16" w14:textId="77777777" w:rsidR="00262281" w:rsidRDefault="00262281" w:rsidP="00262281">
      <w:pPr>
        <w:suppressAutoHyphens w:val="0"/>
        <w:spacing w:after="0" w:line="240" w:lineRule="auto"/>
        <w:jc w:val="center"/>
        <w:rPr>
          <w:rFonts w:ascii="Times New Roman" w:eastAsia="Times New Roman" w:hAnsi="Times New Roman" w:cs="Times New Roman"/>
          <w:color w:val="auto"/>
          <w:sz w:val="28"/>
          <w:szCs w:val="28"/>
          <w:lang w:eastAsia="ru-RU"/>
        </w:rPr>
      </w:pPr>
    </w:p>
    <w:p w14:paraId="507C3F3D" w14:textId="77777777" w:rsidR="00072812" w:rsidRPr="00262281" w:rsidRDefault="00072812" w:rsidP="00262281">
      <w:pPr>
        <w:suppressAutoHyphens w:val="0"/>
        <w:spacing w:after="0" w:line="240" w:lineRule="auto"/>
        <w:jc w:val="center"/>
        <w:rPr>
          <w:rFonts w:ascii="Times New Roman" w:eastAsia="Times New Roman" w:hAnsi="Times New Roman" w:cs="Times New Roman"/>
          <w:color w:val="auto"/>
          <w:sz w:val="28"/>
          <w:szCs w:val="28"/>
          <w:lang w:eastAsia="ru-RU"/>
        </w:rPr>
      </w:pPr>
    </w:p>
    <w:p w14:paraId="4992F6BA" w14:textId="77777777" w:rsidR="00262281" w:rsidRDefault="00262281" w:rsidP="00262281">
      <w:pPr>
        <w:widowControl w:val="0"/>
        <w:tabs>
          <w:tab w:val="left" w:pos="945"/>
        </w:tabs>
        <w:suppressAutoHyphens w:val="0"/>
        <w:autoSpaceDE w:val="0"/>
        <w:autoSpaceDN w:val="0"/>
        <w:spacing w:before="1" w:after="0" w:line="240" w:lineRule="auto"/>
        <w:contextualSpacing/>
        <w:jc w:val="center"/>
        <w:rPr>
          <w:rFonts w:ascii="Times New Roman" w:eastAsia="Times New Roman" w:hAnsi="Times New Roman" w:cs="Times New Roman"/>
          <w:b/>
          <w:color w:val="auto"/>
          <w:w w:val="105"/>
          <w:position w:val="1"/>
          <w:sz w:val="28"/>
          <w:szCs w:val="28"/>
        </w:rPr>
      </w:pPr>
      <w:r>
        <w:rPr>
          <w:rFonts w:ascii="Times New Roman" w:eastAsia="Times New Roman" w:hAnsi="Times New Roman" w:cs="Times New Roman"/>
          <w:b/>
          <w:color w:val="auto"/>
          <w:w w:val="105"/>
          <w:sz w:val="28"/>
          <w:szCs w:val="28"/>
        </w:rPr>
        <w:t xml:space="preserve">1. </w:t>
      </w:r>
      <w:r w:rsidRPr="00262281">
        <w:rPr>
          <w:rFonts w:ascii="Times New Roman" w:eastAsia="Times New Roman" w:hAnsi="Times New Roman" w:cs="Times New Roman"/>
          <w:b/>
          <w:color w:val="auto"/>
          <w:w w:val="105"/>
          <w:sz w:val="28"/>
          <w:szCs w:val="28"/>
        </w:rPr>
        <w:t>Обґрунтування</w:t>
      </w:r>
      <w:r w:rsidRPr="00262281">
        <w:rPr>
          <w:rFonts w:ascii="Times New Roman" w:eastAsia="Times New Roman" w:hAnsi="Times New Roman" w:cs="Times New Roman"/>
          <w:b/>
          <w:color w:val="auto"/>
          <w:spacing w:val="16"/>
          <w:w w:val="105"/>
          <w:sz w:val="28"/>
          <w:szCs w:val="28"/>
        </w:rPr>
        <w:t xml:space="preserve"> </w:t>
      </w:r>
      <w:r w:rsidRPr="00262281">
        <w:rPr>
          <w:rFonts w:ascii="Times New Roman" w:eastAsia="Times New Roman" w:hAnsi="Times New Roman" w:cs="Times New Roman"/>
          <w:b/>
          <w:color w:val="auto"/>
          <w:w w:val="105"/>
          <w:position w:val="1"/>
          <w:sz w:val="28"/>
          <w:szCs w:val="28"/>
        </w:rPr>
        <w:t>необхідності</w:t>
      </w:r>
      <w:r w:rsidRPr="00262281">
        <w:rPr>
          <w:rFonts w:ascii="Times New Roman" w:eastAsia="Times New Roman" w:hAnsi="Times New Roman" w:cs="Times New Roman"/>
          <w:b/>
          <w:color w:val="auto"/>
          <w:spacing w:val="6"/>
          <w:w w:val="105"/>
          <w:position w:val="1"/>
          <w:sz w:val="28"/>
          <w:szCs w:val="28"/>
        </w:rPr>
        <w:t xml:space="preserve"> </w:t>
      </w:r>
      <w:r w:rsidRPr="00262281">
        <w:rPr>
          <w:rFonts w:ascii="Times New Roman" w:eastAsia="Times New Roman" w:hAnsi="Times New Roman" w:cs="Times New Roman"/>
          <w:b/>
          <w:color w:val="auto"/>
          <w:w w:val="105"/>
          <w:position w:val="1"/>
          <w:sz w:val="28"/>
          <w:szCs w:val="28"/>
        </w:rPr>
        <w:t>прийняття</w:t>
      </w:r>
      <w:r w:rsidRPr="00262281">
        <w:rPr>
          <w:rFonts w:ascii="Times New Roman" w:eastAsia="Times New Roman" w:hAnsi="Times New Roman" w:cs="Times New Roman"/>
          <w:b/>
          <w:color w:val="auto"/>
          <w:spacing w:val="12"/>
          <w:w w:val="105"/>
          <w:position w:val="1"/>
          <w:sz w:val="28"/>
          <w:szCs w:val="28"/>
        </w:rPr>
        <w:t xml:space="preserve"> </w:t>
      </w:r>
      <w:r>
        <w:rPr>
          <w:rFonts w:ascii="Times New Roman" w:eastAsia="Times New Roman" w:hAnsi="Times New Roman" w:cs="Times New Roman"/>
          <w:b/>
          <w:color w:val="auto"/>
          <w:spacing w:val="12"/>
          <w:w w:val="105"/>
          <w:position w:val="1"/>
          <w:sz w:val="28"/>
          <w:szCs w:val="28"/>
        </w:rPr>
        <w:t xml:space="preserve">проєкту </w:t>
      </w:r>
      <w:r w:rsidRPr="00262281">
        <w:rPr>
          <w:rFonts w:ascii="Times New Roman" w:eastAsia="Times New Roman" w:hAnsi="Times New Roman" w:cs="Times New Roman"/>
          <w:b/>
          <w:color w:val="auto"/>
          <w:w w:val="105"/>
          <w:position w:val="1"/>
          <w:sz w:val="28"/>
          <w:szCs w:val="28"/>
        </w:rPr>
        <w:t>рішення</w:t>
      </w:r>
      <w:r>
        <w:rPr>
          <w:rFonts w:ascii="Times New Roman" w:eastAsia="Times New Roman" w:hAnsi="Times New Roman" w:cs="Times New Roman"/>
          <w:b/>
          <w:color w:val="auto"/>
          <w:w w:val="105"/>
          <w:position w:val="1"/>
          <w:sz w:val="28"/>
          <w:szCs w:val="28"/>
        </w:rPr>
        <w:t>.</w:t>
      </w:r>
    </w:p>
    <w:p w14:paraId="2610292B" w14:textId="77777777" w:rsidR="00072812" w:rsidRPr="00262281" w:rsidRDefault="00072812" w:rsidP="00262281">
      <w:pPr>
        <w:widowControl w:val="0"/>
        <w:tabs>
          <w:tab w:val="left" w:pos="945"/>
        </w:tabs>
        <w:suppressAutoHyphens w:val="0"/>
        <w:autoSpaceDE w:val="0"/>
        <w:autoSpaceDN w:val="0"/>
        <w:spacing w:before="1" w:after="0" w:line="240" w:lineRule="auto"/>
        <w:contextualSpacing/>
        <w:jc w:val="center"/>
        <w:rPr>
          <w:rFonts w:ascii="Times New Roman" w:eastAsia="Times New Roman" w:hAnsi="Times New Roman" w:cs="Times New Roman"/>
          <w:b/>
          <w:color w:val="auto"/>
          <w:sz w:val="28"/>
          <w:szCs w:val="28"/>
        </w:rPr>
      </w:pPr>
    </w:p>
    <w:p w14:paraId="55082A2A"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Редакція проєкту рішення передбачає відтермінування сплати платежів за використання комунального майна, переданого у володіння та користування згідно з Договором на володіння та користування майном територіальної громади міста Києва, за 2019 – 2024 роки.</w:t>
      </w:r>
    </w:p>
    <w:p w14:paraId="35467B67"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Відповідно до пункту 30 статті 26, пункту 5 статті 60 Закону України «Про місцеве самоврядування в Україні» здійснення правомочності щодо володіння, користування та розпорядження об'єктами права комунальної власності територіальної громади  м. Києва, в тому числі виконувати усі майнові операції, передавати об'єкти права комунальної власності у постійне або тимчасове користування юридичним та фізичним особам, здавати їх в оренду, продавати і купувати, використовувати як заставу, 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 належить виключно до компетенції сільських, селищних, міських рад.</w:t>
      </w:r>
    </w:p>
    <w:p w14:paraId="6BF8F8B4"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Прийняття цього проєкту рішення зумовлене особливостями роботи               ПрАТ «АК «Київводоканал» в умовах воєнного стану та необхідністю спрямування наявних обігових коштів для фінансування найпр</w:t>
      </w:r>
      <w:r>
        <w:rPr>
          <w:rFonts w:ascii="Times New Roman" w:eastAsia="Times New Roman" w:hAnsi="Times New Roman" w:cs="Times New Roman"/>
          <w:color w:val="auto"/>
          <w:sz w:val="28"/>
          <w:szCs w:val="28"/>
          <w:lang w:eastAsia="ru-RU"/>
        </w:rPr>
        <w:t>і</w:t>
      </w:r>
      <w:r w:rsidRPr="00262281">
        <w:rPr>
          <w:rFonts w:ascii="Times New Roman" w:eastAsia="Times New Roman" w:hAnsi="Times New Roman" w:cs="Times New Roman"/>
          <w:color w:val="auto"/>
          <w:sz w:val="28"/>
          <w:szCs w:val="28"/>
          <w:lang w:eastAsia="ru-RU"/>
        </w:rPr>
        <w:t>ор</w:t>
      </w:r>
      <w:r>
        <w:rPr>
          <w:rFonts w:ascii="Times New Roman" w:eastAsia="Times New Roman" w:hAnsi="Times New Roman" w:cs="Times New Roman"/>
          <w:color w:val="auto"/>
          <w:sz w:val="28"/>
          <w:szCs w:val="28"/>
          <w:lang w:eastAsia="ru-RU"/>
        </w:rPr>
        <w:t>и</w:t>
      </w:r>
      <w:r w:rsidRPr="00262281">
        <w:rPr>
          <w:rFonts w:ascii="Times New Roman" w:eastAsia="Times New Roman" w:hAnsi="Times New Roman" w:cs="Times New Roman"/>
          <w:color w:val="auto"/>
          <w:sz w:val="28"/>
          <w:szCs w:val="28"/>
          <w:lang w:eastAsia="ru-RU"/>
        </w:rPr>
        <w:t>тетніших витрат Товариства</w:t>
      </w:r>
      <w:r>
        <w:rPr>
          <w:rFonts w:ascii="Times New Roman" w:eastAsia="Times New Roman" w:hAnsi="Times New Roman" w:cs="Times New Roman"/>
          <w:color w:val="auto"/>
          <w:sz w:val="28"/>
          <w:szCs w:val="28"/>
          <w:lang w:eastAsia="ru-RU"/>
        </w:rPr>
        <w:t>,</w:t>
      </w:r>
      <w:r w:rsidRPr="00262281">
        <w:rPr>
          <w:rFonts w:ascii="Times New Roman" w:eastAsia="Times New Roman" w:hAnsi="Times New Roman" w:cs="Times New Roman"/>
          <w:color w:val="auto"/>
          <w:sz w:val="28"/>
          <w:szCs w:val="28"/>
          <w:lang w:eastAsia="ru-RU"/>
        </w:rPr>
        <w:t xml:space="preserve"> як об’єкта критичної інфраструктури.</w:t>
      </w:r>
    </w:p>
    <w:p w14:paraId="496A0CDF"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 xml:space="preserve">Указом Президента України від 24.02.2022 № 64/2022 «Про введення воєнного стану в Україні» на території України з 24.02.2022 введено воєнний стан. </w:t>
      </w:r>
    </w:p>
    <w:p w14:paraId="047CAE0B"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Відповідно до частини 1 статті 4 Закону України «Про критичну інфраструктуру» (далі – Закон) визначено, що захист критичної інфраструктури є складовою частиною забезпечення національної безпеки України.</w:t>
      </w:r>
    </w:p>
    <w:p w14:paraId="3E2D861B"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Згідно з частиною 2 статті 5 Закону одним із завдань формування і реалізації державної політики у сфері захисту критичної інфраструктури є попередження кризових ситуацій, що порушують безпеку критичної інфраструктури.</w:t>
      </w:r>
    </w:p>
    <w:p w14:paraId="737E96CB"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Частиною 4 статті 9 Закону встановлено, що послуги з водопостачання та водовідведення належать до життєво важливих послуг, порушення яких призводить до негативних наслідків для національної безпеки України.</w:t>
      </w:r>
    </w:p>
    <w:p w14:paraId="5A6BD38B"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 xml:space="preserve">Також, згідно з частиною 4 статті 21 Закону на операторів критичної інфраструктури покладено обов’язок, зокрема, забезпечити захист об’єктів критичної інфраструктури.  </w:t>
      </w:r>
    </w:p>
    <w:p w14:paraId="759F679D"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lastRenderedPageBreak/>
        <w:t>Товариство,  як оператор критичної інфраструктури, в умовах воєнного стану, вживає всіх можливих заходів, спрямованих на стабільне функціонування об’єктів критичної інфраструктури, що забезпечують життєдіяльність міста Києва та деяких населених пунктів Київської області (безперебійне надання послуг з централізованого водопостачання та централізованого водовідведення).</w:t>
      </w:r>
    </w:p>
    <w:p w14:paraId="7F56F65B"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Динаміка результату фінансово-господарської діяльності                                ПрАТ «АК «Київводоканал» протягом 2021 – І кв. 2024 років щороку погіршується:</w:t>
      </w:r>
    </w:p>
    <w:p w14:paraId="4635F8DE" w14:textId="77777777" w:rsidR="00262281" w:rsidRPr="00262281" w:rsidRDefault="00262281" w:rsidP="00262281">
      <w:pPr>
        <w:suppressAutoHyphens w:val="0"/>
        <w:spacing w:after="0" w:line="240" w:lineRule="auto"/>
        <w:ind w:firstLine="567"/>
        <w:jc w:val="right"/>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тис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1810"/>
        <w:gridCol w:w="1686"/>
        <w:gridCol w:w="1802"/>
        <w:gridCol w:w="1844"/>
      </w:tblGrid>
      <w:tr w:rsidR="00262281" w:rsidRPr="00262281" w14:paraId="6340C965" w14:textId="77777777" w:rsidTr="00FE4C4E">
        <w:tc>
          <w:tcPr>
            <w:tcW w:w="2518" w:type="dxa"/>
            <w:tcBorders>
              <w:top w:val="single" w:sz="4" w:space="0" w:color="auto"/>
              <w:left w:val="single" w:sz="4" w:space="0" w:color="auto"/>
              <w:bottom w:val="single" w:sz="4" w:space="0" w:color="auto"/>
              <w:right w:val="single" w:sz="4" w:space="0" w:color="auto"/>
            </w:tcBorders>
            <w:hideMark/>
          </w:tcPr>
          <w:p w14:paraId="1F994793" w14:textId="77777777" w:rsidR="00262281" w:rsidRPr="00262281" w:rsidRDefault="00262281" w:rsidP="00262281">
            <w:pPr>
              <w:suppressAutoHyphens w:val="0"/>
              <w:spacing w:after="0" w:line="240" w:lineRule="auto"/>
              <w:jc w:val="both"/>
              <w:rPr>
                <w:rFonts w:ascii="Times New Roman" w:eastAsia="Times New Roman" w:hAnsi="Times New Roman" w:cs="Tahoma"/>
                <w:b/>
                <w:bCs/>
                <w:i/>
                <w:iCs/>
                <w:color w:val="auto"/>
                <w:sz w:val="24"/>
                <w:szCs w:val="24"/>
                <w:lang w:eastAsia="ru-RU"/>
              </w:rPr>
            </w:pPr>
            <w:r w:rsidRPr="00262281">
              <w:rPr>
                <w:rFonts w:ascii="Times New Roman" w:eastAsia="Times New Roman" w:hAnsi="Times New Roman" w:cs="Tahoma"/>
                <w:b/>
                <w:bCs/>
                <w:i/>
                <w:iCs/>
                <w:color w:val="auto"/>
                <w:sz w:val="24"/>
                <w:szCs w:val="24"/>
                <w:lang w:eastAsia="ru-RU"/>
              </w:rPr>
              <w:t>Показники</w:t>
            </w:r>
          </w:p>
        </w:tc>
        <w:tc>
          <w:tcPr>
            <w:tcW w:w="1843" w:type="dxa"/>
            <w:tcBorders>
              <w:top w:val="single" w:sz="4" w:space="0" w:color="auto"/>
              <w:left w:val="single" w:sz="4" w:space="0" w:color="auto"/>
              <w:bottom w:val="single" w:sz="4" w:space="0" w:color="auto"/>
              <w:right w:val="single" w:sz="4" w:space="0" w:color="auto"/>
            </w:tcBorders>
            <w:hideMark/>
          </w:tcPr>
          <w:p w14:paraId="565B8D98" w14:textId="77777777" w:rsidR="00262281" w:rsidRPr="00262281" w:rsidRDefault="00262281" w:rsidP="00262281">
            <w:pPr>
              <w:suppressAutoHyphens w:val="0"/>
              <w:spacing w:after="0" w:line="240" w:lineRule="auto"/>
              <w:jc w:val="center"/>
              <w:rPr>
                <w:rFonts w:ascii="Times New Roman" w:eastAsia="Times New Roman" w:hAnsi="Times New Roman" w:cs="Tahoma"/>
                <w:b/>
                <w:bCs/>
                <w:i/>
                <w:iCs/>
                <w:color w:val="auto"/>
                <w:sz w:val="24"/>
                <w:szCs w:val="24"/>
                <w:lang w:eastAsia="ru-RU"/>
              </w:rPr>
            </w:pPr>
            <w:r w:rsidRPr="00262281">
              <w:rPr>
                <w:rFonts w:ascii="Times New Roman" w:eastAsia="Times New Roman" w:hAnsi="Times New Roman" w:cs="Tahoma"/>
                <w:b/>
                <w:bCs/>
                <w:i/>
                <w:iCs/>
                <w:color w:val="auto"/>
                <w:sz w:val="24"/>
                <w:szCs w:val="24"/>
                <w:lang w:eastAsia="ru-RU"/>
              </w:rPr>
              <w:t>2021 рік</w:t>
            </w:r>
          </w:p>
        </w:tc>
        <w:tc>
          <w:tcPr>
            <w:tcW w:w="1701" w:type="dxa"/>
            <w:tcBorders>
              <w:top w:val="single" w:sz="4" w:space="0" w:color="auto"/>
              <w:left w:val="single" w:sz="4" w:space="0" w:color="auto"/>
              <w:bottom w:val="single" w:sz="4" w:space="0" w:color="auto"/>
              <w:right w:val="single" w:sz="4" w:space="0" w:color="auto"/>
            </w:tcBorders>
            <w:hideMark/>
          </w:tcPr>
          <w:p w14:paraId="1153ED18" w14:textId="77777777" w:rsidR="00262281" w:rsidRPr="00262281" w:rsidRDefault="00262281" w:rsidP="00262281">
            <w:pPr>
              <w:suppressAutoHyphens w:val="0"/>
              <w:spacing w:after="0" w:line="240" w:lineRule="auto"/>
              <w:jc w:val="center"/>
              <w:rPr>
                <w:rFonts w:ascii="Times New Roman" w:eastAsia="Times New Roman" w:hAnsi="Times New Roman" w:cs="Tahoma"/>
                <w:b/>
                <w:bCs/>
                <w:i/>
                <w:iCs/>
                <w:color w:val="auto"/>
                <w:sz w:val="24"/>
                <w:szCs w:val="24"/>
                <w:lang w:eastAsia="ru-RU"/>
              </w:rPr>
            </w:pPr>
            <w:r w:rsidRPr="00262281">
              <w:rPr>
                <w:rFonts w:ascii="Times New Roman" w:eastAsia="Times New Roman" w:hAnsi="Times New Roman" w:cs="Tahoma"/>
                <w:b/>
                <w:bCs/>
                <w:i/>
                <w:iCs/>
                <w:color w:val="auto"/>
                <w:sz w:val="24"/>
                <w:szCs w:val="24"/>
                <w:lang w:eastAsia="ru-RU"/>
              </w:rPr>
              <w:t>2022 рік</w:t>
            </w:r>
          </w:p>
        </w:tc>
        <w:tc>
          <w:tcPr>
            <w:tcW w:w="1821" w:type="dxa"/>
            <w:tcBorders>
              <w:top w:val="single" w:sz="4" w:space="0" w:color="auto"/>
              <w:left w:val="single" w:sz="4" w:space="0" w:color="auto"/>
              <w:bottom w:val="single" w:sz="4" w:space="0" w:color="auto"/>
              <w:right w:val="single" w:sz="4" w:space="0" w:color="auto"/>
            </w:tcBorders>
            <w:hideMark/>
          </w:tcPr>
          <w:p w14:paraId="5BBB6245" w14:textId="77777777" w:rsidR="00262281" w:rsidRPr="00262281" w:rsidRDefault="00262281" w:rsidP="00262281">
            <w:pPr>
              <w:suppressAutoHyphens w:val="0"/>
              <w:spacing w:after="0" w:line="240" w:lineRule="auto"/>
              <w:jc w:val="center"/>
              <w:rPr>
                <w:rFonts w:ascii="Times New Roman" w:eastAsia="Times New Roman" w:hAnsi="Times New Roman" w:cs="Tahoma"/>
                <w:b/>
                <w:bCs/>
                <w:i/>
                <w:iCs/>
                <w:color w:val="auto"/>
                <w:sz w:val="24"/>
                <w:szCs w:val="24"/>
                <w:lang w:eastAsia="ru-RU"/>
              </w:rPr>
            </w:pPr>
            <w:r w:rsidRPr="00262281">
              <w:rPr>
                <w:rFonts w:ascii="Times New Roman" w:eastAsia="Times New Roman" w:hAnsi="Times New Roman" w:cs="Tahoma"/>
                <w:b/>
                <w:bCs/>
                <w:i/>
                <w:iCs/>
                <w:color w:val="auto"/>
                <w:sz w:val="24"/>
                <w:szCs w:val="24"/>
                <w:lang w:eastAsia="ru-RU"/>
              </w:rPr>
              <w:t>2023 рік</w:t>
            </w:r>
          </w:p>
        </w:tc>
        <w:tc>
          <w:tcPr>
            <w:tcW w:w="1864" w:type="dxa"/>
            <w:tcBorders>
              <w:top w:val="single" w:sz="4" w:space="0" w:color="auto"/>
              <w:left w:val="single" w:sz="4" w:space="0" w:color="auto"/>
              <w:bottom w:val="single" w:sz="4" w:space="0" w:color="auto"/>
              <w:right w:val="single" w:sz="4" w:space="0" w:color="auto"/>
            </w:tcBorders>
            <w:hideMark/>
          </w:tcPr>
          <w:p w14:paraId="3EB5E5E1" w14:textId="77777777" w:rsidR="00262281" w:rsidRPr="00262281" w:rsidRDefault="00262281" w:rsidP="00262281">
            <w:pPr>
              <w:suppressAutoHyphens w:val="0"/>
              <w:spacing w:after="0" w:line="240" w:lineRule="auto"/>
              <w:jc w:val="center"/>
              <w:rPr>
                <w:rFonts w:ascii="Times New Roman" w:eastAsia="Times New Roman" w:hAnsi="Times New Roman" w:cs="Tahoma"/>
                <w:b/>
                <w:bCs/>
                <w:i/>
                <w:iCs/>
                <w:color w:val="auto"/>
                <w:sz w:val="24"/>
                <w:szCs w:val="24"/>
                <w:lang w:eastAsia="ru-RU"/>
              </w:rPr>
            </w:pPr>
            <w:r w:rsidRPr="00262281">
              <w:rPr>
                <w:rFonts w:ascii="Times New Roman" w:eastAsia="Times New Roman" w:hAnsi="Times New Roman" w:cs="Tahoma"/>
                <w:b/>
                <w:bCs/>
                <w:i/>
                <w:iCs/>
                <w:color w:val="auto"/>
                <w:sz w:val="24"/>
                <w:szCs w:val="24"/>
                <w:lang w:eastAsia="ru-RU"/>
              </w:rPr>
              <w:t>І кв. 2024 року</w:t>
            </w:r>
          </w:p>
        </w:tc>
      </w:tr>
      <w:tr w:rsidR="00262281" w:rsidRPr="00262281" w14:paraId="428296C1" w14:textId="77777777" w:rsidTr="00FE4C4E">
        <w:tc>
          <w:tcPr>
            <w:tcW w:w="2518" w:type="dxa"/>
            <w:tcBorders>
              <w:top w:val="single" w:sz="4" w:space="0" w:color="auto"/>
              <w:left w:val="single" w:sz="4" w:space="0" w:color="auto"/>
              <w:bottom w:val="single" w:sz="4" w:space="0" w:color="auto"/>
              <w:right w:val="single" w:sz="4" w:space="0" w:color="auto"/>
            </w:tcBorders>
            <w:vAlign w:val="center"/>
            <w:hideMark/>
          </w:tcPr>
          <w:p w14:paraId="477B0DAB" w14:textId="77777777" w:rsidR="00262281" w:rsidRPr="00262281" w:rsidRDefault="00262281" w:rsidP="00262281">
            <w:pPr>
              <w:suppressAutoHyphens w:val="0"/>
              <w:spacing w:after="0" w:line="240" w:lineRule="auto"/>
              <w:rPr>
                <w:rFonts w:ascii="Times New Roman" w:eastAsia="Times New Roman" w:hAnsi="Times New Roman" w:cs="Tahoma"/>
                <w:color w:val="auto"/>
                <w:sz w:val="24"/>
                <w:szCs w:val="24"/>
                <w:lang w:eastAsia="ru-RU"/>
              </w:rPr>
            </w:pPr>
            <w:r w:rsidRPr="00262281">
              <w:rPr>
                <w:rFonts w:ascii="Times New Roman" w:eastAsia="Times New Roman" w:hAnsi="Times New Roman" w:cs="Tahoma"/>
                <w:color w:val="auto"/>
                <w:sz w:val="24"/>
                <w:szCs w:val="24"/>
                <w:lang w:eastAsia="ru-RU"/>
              </w:rPr>
              <w:t>Чистий фінансовий результат (прибуток «+»/збиток «-»), в т.ч.</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C83B20" w14:textId="77777777" w:rsidR="00262281" w:rsidRPr="00262281" w:rsidRDefault="00262281" w:rsidP="00262281">
            <w:pPr>
              <w:suppressAutoHyphens w:val="0"/>
              <w:spacing w:after="0" w:line="240" w:lineRule="auto"/>
              <w:jc w:val="center"/>
              <w:rPr>
                <w:rFonts w:ascii="Times New Roman" w:eastAsia="Times New Roman" w:hAnsi="Times New Roman" w:cs="Tahoma"/>
                <w:color w:val="auto"/>
                <w:sz w:val="24"/>
                <w:szCs w:val="24"/>
                <w:lang w:eastAsia="ru-RU"/>
              </w:rPr>
            </w:pPr>
            <w:r w:rsidRPr="00262281">
              <w:rPr>
                <w:rFonts w:ascii="Times New Roman" w:eastAsia="Times New Roman" w:hAnsi="Times New Roman" w:cs="Tahoma"/>
                <w:color w:val="auto"/>
                <w:sz w:val="24"/>
                <w:szCs w:val="24"/>
                <w:lang w:eastAsia="ru-RU"/>
              </w:rPr>
              <w:t>180 468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912AF1" w14:textId="77777777" w:rsidR="00262281" w:rsidRPr="00262281" w:rsidRDefault="00262281" w:rsidP="00262281">
            <w:pPr>
              <w:suppressAutoHyphens w:val="0"/>
              <w:spacing w:after="0" w:line="240" w:lineRule="auto"/>
              <w:jc w:val="center"/>
              <w:rPr>
                <w:rFonts w:ascii="Times New Roman" w:eastAsia="Times New Roman" w:hAnsi="Times New Roman" w:cs="Tahoma"/>
                <w:color w:val="auto"/>
                <w:sz w:val="24"/>
                <w:szCs w:val="24"/>
                <w:lang w:eastAsia="ru-RU"/>
              </w:rPr>
            </w:pPr>
            <w:r w:rsidRPr="00262281">
              <w:rPr>
                <w:rFonts w:ascii="Times New Roman" w:eastAsia="Times New Roman" w:hAnsi="Times New Roman" w:cs="Tahoma"/>
                <w:color w:val="auto"/>
                <w:sz w:val="24"/>
                <w:szCs w:val="24"/>
                <w:lang w:eastAsia="ru-RU"/>
              </w:rPr>
              <w:t>-45 508</w:t>
            </w:r>
          </w:p>
        </w:tc>
        <w:tc>
          <w:tcPr>
            <w:tcW w:w="1821" w:type="dxa"/>
            <w:tcBorders>
              <w:top w:val="single" w:sz="4" w:space="0" w:color="auto"/>
              <w:left w:val="single" w:sz="4" w:space="0" w:color="auto"/>
              <w:bottom w:val="single" w:sz="4" w:space="0" w:color="auto"/>
              <w:right w:val="single" w:sz="4" w:space="0" w:color="auto"/>
            </w:tcBorders>
            <w:vAlign w:val="center"/>
            <w:hideMark/>
          </w:tcPr>
          <w:p w14:paraId="0E29441C" w14:textId="77777777" w:rsidR="00262281" w:rsidRPr="00262281" w:rsidRDefault="00262281" w:rsidP="00262281">
            <w:pPr>
              <w:suppressAutoHyphens w:val="0"/>
              <w:spacing w:after="0" w:line="240" w:lineRule="auto"/>
              <w:jc w:val="center"/>
              <w:rPr>
                <w:rFonts w:ascii="Times New Roman" w:eastAsia="Times New Roman" w:hAnsi="Times New Roman" w:cs="Tahoma"/>
                <w:color w:val="auto"/>
                <w:sz w:val="24"/>
                <w:szCs w:val="24"/>
                <w:lang w:eastAsia="ru-RU"/>
              </w:rPr>
            </w:pPr>
            <w:r w:rsidRPr="00262281">
              <w:rPr>
                <w:rFonts w:ascii="Times New Roman" w:eastAsia="Times New Roman" w:hAnsi="Times New Roman" w:cs="Tahoma"/>
                <w:color w:val="auto"/>
                <w:sz w:val="24"/>
                <w:szCs w:val="24"/>
                <w:lang w:eastAsia="ru-RU"/>
              </w:rPr>
              <w:t>-248 846</w:t>
            </w:r>
          </w:p>
        </w:tc>
        <w:tc>
          <w:tcPr>
            <w:tcW w:w="1864" w:type="dxa"/>
            <w:tcBorders>
              <w:top w:val="single" w:sz="4" w:space="0" w:color="auto"/>
              <w:left w:val="single" w:sz="4" w:space="0" w:color="auto"/>
              <w:bottom w:val="single" w:sz="4" w:space="0" w:color="auto"/>
              <w:right w:val="single" w:sz="4" w:space="0" w:color="auto"/>
            </w:tcBorders>
            <w:vAlign w:val="center"/>
            <w:hideMark/>
          </w:tcPr>
          <w:p w14:paraId="60269081" w14:textId="77777777" w:rsidR="00262281" w:rsidRPr="00262281" w:rsidRDefault="00262281" w:rsidP="00262281">
            <w:pPr>
              <w:suppressAutoHyphens w:val="0"/>
              <w:spacing w:after="0" w:line="240" w:lineRule="auto"/>
              <w:jc w:val="center"/>
              <w:rPr>
                <w:rFonts w:ascii="Times New Roman" w:eastAsia="Times New Roman" w:hAnsi="Times New Roman" w:cs="Tahoma"/>
                <w:color w:val="auto"/>
                <w:sz w:val="24"/>
                <w:szCs w:val="24"/>
                <w:lang w:eastAsia="ru-RU"/>
              </w:rPr>
            </w:pPr>
            <w:r w:rsidRPr="00262281">
              <w:rPr>
                <w:rFonts w:ascii="Times New Roman" w:eastAsia="Times New Roman" w:hAnsi="Times New Roman" w:cs="Tahoma"/>
                <w:color w:val="auto"/>
                <w:sz w:val="24"/>
                <w:szCs w:val="24"/>
                <w:lang w:eastAsia="ru-RU"/>
              </w:rPr>
              <w:t>-106 649</w:t>
            </w:r>
          </w:p>
        </w:tc>
      </w:tr>
      <w:tr w:rsidR="00262281" w:rsidRPr="00262281" w14:paraId="4A0C9967" w14:textId="77777777" w:rsidTr="00FE4C4E">
        <w:tc>
          <w:tcPr>
            <w:tcW w:w="2518" w:type="dxa"/>
            <w:tcBorders>
              <w:top w:val="single" w:sz="4" w:space="0" w:color="auto"/>
              <w:left w:val="single" w:sz="4" w:space="0" w:color="auto"/>
              <w:bottom w:val="single" w:sz="4" w:space="0" w:color="auto"/>
              <w:right w:val="single" w:sz="4" w:space="0" w:color="auto"/>
            </w:tcBorders>
            <w:vAlign w:val="center"/>
            <w:hideMark/>
          </w:tcPr>
          <w:p w14:paraId="26DE478D" w14:textId="77777777" w:rsidR="00262281" w:rsidRPr="00262281" w:rsidRDefault="00262281" w:rsidP="00262281">
            <w:pPr>
              <w:suppressAutoHyphens w:val="0"/>
              <w:spacing w:after="0" w:line="240" w:lineRule="auto"/>
              <w:rPr>
                <w:rFonts w:ascii="Times New Roman" w:eastAsia="Times New Roman" w:hAnsi="Times New Roman" w:cs="Tahoma"/>
                <w:color w:val="auto"/>
                <w:sz w:val="24"/>
                <w:szCs w:val="24"/>
                <w:lang w:eastAsia="ru-RU"/>
              </w:rPr>
            </w:pPr>
            <w:r w:rsidRPr="00262281">
              <w:rPr>
                <w:rFonts w:ascii="Times New Roman" w:eastAsia="Times New Roman" w:hAnsi="Times New Roman" w:cs="Tahoma"/>
                <w:color w:val="auto"/>
                <w:sz w:val="24"/>
                <w:szCs w:val="24"/>
                <w:lang w:eastAsia="ru-RU"/>
              </w:rPr>
              <w:t>Фін. результат від основної діяльності (прибуток «+»/збиток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86BB31B" w14:textId="77777777" w:rsidR="00262281" w:rsidRPr="00262281" w:rsidRDefault="00262281" w:rsidP="00262281">
            <w:pPr>
              <w:suppressAutoHyphens w:val="0"/>
              <w:spacing w:after="0" w:line="240" w:lineRule="auto"/>
              <w:jc w:val="center"/>
              <w:rPr>
                <w:rFonts w:ascii="Times New Roman" w:eastAsia="Times New Roman" w:hAnsi="Times New Roman" w:cs="Tahoma"/>
                <w:color w:val="auto"/>
                <w:sz w:val="24"/>
                <w:szCs w:val="24"/>
                <w:lang w:eastAsia="ru-RU"/>
              </w:rPr>
            </w:pPr>
            <w:r w:rsidRPr="00262281">
              <w:rPr>
                <w:rFonts w:ascii="Times New Roman" w:eastAsia="Times New Roman" w:hAnsi="Times New Roman" w:cs="Tahoma"/>
                <w:color w:val="auto"/>
                <w:sz w:val="24"/>
                <w:szCs w:val="24"/>
                <w:lang w:eastAsia="ru-RU"/>
              </w:rPr>
              <w:t>- 47 718</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C2E635" w14:textId="77777777" w:rsidR="00262281" w:rsidRPr="00262281" w:rsidRDefault="00262281" w:rsidP="00262281">
            <w:pPr>
              <w:suppressAutoHyphens w:val="0"/>
              <w:spacing w:after="0" w:line="240" w:lineRule="auto"/>
              <w:jc w:val="center"/>
              <w:rPr>
                <w:rFonts w:ascii="Times New Roman" w:eastAsia="Times New Roman" w:hAnsi="Times New Roman" w:cs="Tahoma"/>
                <w:color w:val="auto"/>
                <w:sz w:val="24"/>
                <w:szCs w:val="24"/>
                <w:lang w:eastAsia="ru-RU"/>
              </w:rPr>
            </w:pPr>
            <w:r w:rsidRPr="00262281">
              <w:rPr>
                <w:rFonts w:ascii="Times New Roman" w:eastAsia="Times New Roman" w:hAnsi="Times New Roman" w:cs="Tahoma"/>
                <w:color w:val="auto"/>
                <w:sz w:val="24"/>
                <w:szCs w:val="24"/>
                <w:lang w:eastAsia="ru-RU"/>
              </w:rPr>
              <w:t>-295 229,1</w:t>
            </w:r>
          </w:p>
        </w:tc>
        <w:tc>
          <w:tcPr>
            <w:tcW w:w="1821" w:type="dxa"/>
            <w:tcBorders>
              <w:top w:val="single" w:sz="4" w:space="0" w:color="auto"/>
              <w:left w:val="single" w:sz="4" w:space="0" w:color="auto"/>
              <w:bottom w:val="single" w:sz="4" w:space="0" w:color="auto"/>
              <w:right w:val="single" w:sz="4" w:space="0" w:color="auto"/>
            </w:tcBorders>
            <w:vAlign w:val="center"/>
            <w:hideMark/>
          </w:tcPr>
          <w:p w14:paraId="4E063919" w14:textId="77777777" w:rsidR="00262281" w:rsidRPr="00262281" w:rsidRDefault="00262281" w:rsidP="00262281">
            <w:pPr>
              <w:suppressAutoHyphens w:val="0"/>
              <w:spacing w:after="0" w:line="240" w:lineRule="auto"/>
              <w:jc w:val="center"/>
              <w:rPr>
                <w:rFonts w:ascii="Times New Roman" w:eastAsia="Times New Roman" w:hAnsi="Times New Roman" w:cs="Tahoma"/>
                <w:color w:val="auto"/>
                <w:sz w:val="24"/>
                <w:szCs w:val="24"/>
                <w:lang w:eastAsia="ru-RU"/>
              </w:rPr>
            </w:pPr>
            <w:r w:rsidRPr="00262281">
              <w:rPr>
                <w:rFonts w:ascii="Times New Roman" w:eastAsia="Times New Roman" w:hAnsi="Times New Roman" w:cs="Tahoma"/>
                <w:color w:val="auto"/>
                <w:sz w:val="24"/>
                <w:szCs w:val="24"/>
                <w:lang w:eastAsia="ru-RU"/>
              </w:rPr>
              <w:t>-567 142,3</w:t>
            </w:r>
          </w:p>
        </w:tc>
        <w:tc>
          <w:tcPr>
            <w:tcW w:w="1864" w:type="dxa"/>
            <w:tcBorders>
              <w:top w:val="single" w:sz="4" w:space="0" w:color="auto"/>
              <w:left w:val="single" w:sz="4" w:space="0" w:color="auto"/>
              <w:bottom w:val="single" w:sz="4" w:space="0" w:color="auto"/>
              <w:right w:val="single" w:sz="4" w:space="0" w:color="auto"/>
            </w:tcBorders>
            <w:vAlign w:val="center"/>
            <w:hideMark/>
          </w:tcPr>
          <w:p w14:paraId="5FC9569C" w14:textId="77777777" w:rsidR="00262281" w:rsidRPr="00262281" w:rsidRDefault="00262281" w:rsidP="00262281">
            <w:pPr>
              <w:suppressAutoHyphens w:val="0"/>
              <w:spacing w:after="0" w:line="240" w:lineRule="auto"/>
              <w:jc w:val="center"/>
              <w:rPr>
                <w:rFonts w:ascii="Times New Roman" w:eastAsia="Times New Roman" w:hAnsi="Times New Roman" w:cs="Tahoma"/>
                <w:color w:val="auto"/>
                <w:sz w:val="24"/>
                <w:szCs w:val="24"/>
                <w:lang w:eastAsia="ru-RU"/>
              </w:rPr>
            </w:pPr>
            <w:r w:rsidRPr="00262281">
              <w:rPr>
                <w:rFonts w:ascii="Times New Roman" w:eastAsia="Times New Roman" w:hAnsi="Times New Roman" w:cs="Tahoma"/>
                <w:color w:val="auto"/>
                <w:sz w:val="24"/>
                <w:szCs w:val="24"/>
                <w:lang w:eastAsia="ru-RU"/>
              </w:rPr>
              <w:t>-181 913,1</w:t>
            </w:r>
          </w:p>
        </w:tc>
      </w:tr>
    </w:tbl>
    <w:p w14:paraId="6065F27C"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highlight w:val="yellow"/>
          <w:lang w:eastAsia="ru-RU"/>
        </w:rPr>
      </w:pPr>
    </w:p>
    <w:p w14:paraId="421478BB"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Сума прибутку у фінансовій звітності визначена відповідно до положень (стандартів) бухгалтерського обліку. Основними чинниками балансової прибутковості у 2021 році є позитивне значення курсової різниці у сумі 26 586,4 тис. грн (без грошового підтвердження) та дохід у сумі нарахованої амортизації на майно комунальної власності у розмірі </w:t>
      </w:r>
      <w:bookmarkStart w:id="0" w:name="_Hlk120776180"/>
      <w:r w:rsidRPr="00262281">
        <w:rPr>
          <w:rFonts w:ascii="Times New Roman" w:eastAsia="Times New Roman" w:hAnsi="Times New Roman" w:cs="Times New Roman"/>
          <w:color w:val="auto"/>
          <w:sz w:val="28"/>
          <w:szCs w:val="28"/>
          <w:lang w:eastAsia="ru-RU"/>
        </w:rPr>
        <w:t xml:space="preserve">186 470,6 тис. </w:t>
      </w:r>
      <w:bookmarkEnd w:id="0"/>
      <w:r w:rsidRPr="00262281">
        <w:rPr>
          <w:rFonts w:ascii="Times New Roman" w:eastAsia="Times New Roman" w:hAnsi="Times New Roman" w:cs="Times New Roman"/>
          <w:color w:val="auto"/>
          <w:sz w:val="28"/>
          <w:szCs w:val="28"/>
          <w:lang w:eastAsia="ru-RU"/>
        </w:rPr>
        <w:t>грн, що формує збільшення балансового прибутку, але фактично не надходить до Товариства у грошовій формі.</w:t>
      </w:r>
    </w:p>
    <w:p w14:paraId="2668772D"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У 2022 – І кв. 2024 роках значення курсової різниці було від’ємне.</w:t>
      </w:r>
    </w:p>
    <w:p w14:paraId="10B0B9A4"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Дохід у сумі нарахованої амортизації на майно комунальної власності  складає:</w:t>
      </w:r>
    </w:p>
    <w:p w14:paraId="66CE7635"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2022 рік – 191 922,6 тис. грн,</w:t>
      </w:r>
    </w:p>
    <w:p w14:paraId="1999C0D9"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2023 рік – 193 587,3 тис. грн,</w:t>
      </w:r>
    </w:p>
    <w:p w14:paraId="3A880665"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І кв. 2024 року – 48 866,2 тис. грн</w:t>
      </w:r>
    </w:p>
    <w:p w14:paraId="0F6A2810"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Зазначений дохід фактично не надходить до Товариства у грошовій формі, але водночас приводить до значного викривлення реальних збитків Товариства.</w:t>
      </w:r>
    </w:p>
    <w:p w14:paraId="768F9958"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Право використовувати у своїй господарській діяльності основні засоби, що належать до комунальної власності міста Києва, визнається як державний грант, пов’язаний з активами, в обмін на минуле або майбутнє дотримання умов, пов’язаних з операційною діяльністю Товариства за договором, укладеним з виконавчим органом Київської міської ради (Київською міською державною адміністрацією).</w:t>
      </w:r>
    </w:p>
    <w:p w14:paraId="7DFAB342"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Товариство визнає державний грант у прибутку на систематичній основі, що впливає на збільшення балансового прибутку, забезпечує дотримання умов, на яких отримано грант, та визнає на систематичній основі відповідні витрати, для компенсування яких грант призначено, шляхом нарахування амортизації на майно комунальної власності з одночасним визнанням доходу в такій же сумі, яка  фактично не надходить до Товариства у грошовій формі.</w:t>
      </w:r>
    </w:p>
    <w:p w14:paraId="15BBF991"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lastRenderedPageBreak/>
        <w:t xml:space="preserve">Товариство наразі працює на межі своїх економічних, технічних, кадрових, фінансових можливостей. </w:t>
      </w:r>
    </w:p>
    <w:p w14:paraId="6761FCA0"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 xml:space="preserve">Ситуація, що склалась, пов’язана з гострою нестачею обігових коштів для продовження роботи Товариства у стабільному режимі, оскільки основним джерелом покриття витрат на виробництво послуг із централізованого водопостачання та централізованого водовідведення є кошти, отримані від реалізації цих послуг за встановленими тарифами. </w:t>
      </w:r>
    </w:p>
    <w:p w14:paraId="352574DF"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Протягом 2023 року Товариство працювало за тарифами, встановленими відповідно до постанови Національної комісії, що здійснює державне регулювання у сферах енергетики та комунальних послуг, від 22.12.2021 № 2842 «Про встановлення тарифів на централізоване водопостачання та централізоване водовідведення ПРИВАТНОМУ АКЦІОНЕРНОМУ ТОВАРИСТВУ «АКЦІОНЕРНА КОМПАНІЯ «КИЇВВОДОКАНАЛ», що діють з 01.01.2022.</w:t>
      </w:r>
    </w:p>
    <w:p w14:paraId="79015451"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Як наслідок, виникає дефіцит обігових коштів Товариства. Першочергово фінансується придбання реагентів, пально-мастильних матеріалів, виплата заробітної плати працівникам, сплата податкових зобов’язань. На фінансування в повному обсязі електричної енергії, природного газу, теплової енергії, необхідних для роботи Товариства, виконання ремонтної програми та заходів інвестиційної програми, що потребують значних витрат, обігових коштів не вистачає. Однак ПрАТ «АК «Київводоканал» як підприємство критичної інфраструктури, незважаючи на зазначені обставини та скрутне фінансове становище, повинно забезпечити безперебійне надання послуг з централізованого водопостачання та централізованого водовідведення на території міста Києва.</w:t>
      </w:r>
    </w:p>
    <w:p w14:paraId="430CA84D"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Згідно з рішенням Київської міської ради від 30.10.2008 № 575/575 були внесені зміни до рішення Київської міської ради від 26.07.2007 № 17/1851 «Про деякі питання використання майна, яке належить до комунальної власності територіальної громади  м. Києва та перебуває у володінні та користуванні відкритого акціонерного товариства «Акціонерна компанія «Київводоканал», де визначено щорічну сплату платежу, розмір якого дорівнює 10 % від чистого прибутку Товариства за попередній бюджетний рік, але не менше ніж 200 тис. грн за рік.</w:t>
      </w:r>
    </w:p>
    <w:p w14:paraId="57A17BFF"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У зв’язку з військовою агресією рф та введенням воєнного стану в Україні з 24.02.2022 Товариство не мало можливості для сплати в повному обсязі понесених витрат і наразі має значні фінансові зобов’язання перед постачальниками товарно-матеріальних цінностей, підрядними організаціями, постачальниками електричної енергії, природного газу, теплової енергії. Відповідно у Товаристві сформувався значний дефіцит обігових коштів, що своєю чергою унеможливлює здійснення платежів за використання майна, що належить до комунальної власності територіальної громади міста Києва.</w:t>
      </w:r>
    </w:p>
    <w:p w14:paraId="691EC04C"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p>
    <w:p w14:paraId="5BC41B91" w14:textId="77777777" w:rsidR="00262281" w:rsidRDefault="00262281" w:rsidP="00262281">
      <w:pPr>
        <w:widowControl w:val="0"/>
        <w:tabs>
          <w:tab w:val="left" w:pos="934"/>
        </w:tabs>
        <w:suppressAutoHyphens w:val="0"/>
        <w:autoSpaceDE w:val="0"/>
        <w:autoSpaceDN w:val="0"/>
        <w:spacing w:after="0" w:line="240" w:lineRule="auto"/>
        <w:contextualSpacing/>
        <w:jc w:val="center"/>
        <w:rPr>
          <w:rFonts w:ascii="Times New Roman" w:eastAsia="Times New Roman" w:hAnsi="Times New Roman" w:cs="Times New Roman"/>
          <w:b/>
          <w:color w:val="auto"/>
          <w:sz w:val="28"/>
          <w:szCs w:val="28"/>
          <w:lang w:val="ru-RU"/>
        </w:rPr>
      </w:pPr>
      <w:r>
        <w:rPr>
          <w:rFonts w:ascii="Times New Roman" w:eastAsia="Times New Roman" w:hAnsi="Times New Roman" w:cs="Times New Roman"/>
          <w:b/>
          <w:color w:val="auto"/>
          <w:sz w:val="28"/>
          <w:szCs w:val="28"/>
          <w:lang w:val="ru-RU"/>
        </w:rPr>
        <w:t xml:space="preserve">2. </w:t>
      </w:r>
      <w:r w:rsidRPr="00262281">
        <w:rPr>
          <w:rFonts w:ascii="Times New Roman" w:eastAsia="Times New Roman" w:hAnsi="Times New Roman" w:cs="Times New Roman"/>
          <w:b/>
          <w:color w:val="auto"/>
          <w:sz w:val="28"/>
          <w:szCs w:val="28"/>
          <w:lang w:val="ru-RU"/>
        </w:rPr>
        <w:t xml:space="preserve">Мета i завдання прийняття </w:t>
      </w:r>
      <w:r>
        <w:rPr>
          <w:rFonts w:ascii="Times New Roman" w:eastAsia="Times New Roman" w:hAnsi="Times New Roman" w:cs="Times New Roman"/>
          <w:b/>
          <w:color w:val="auto"/>
          <w:sz w:val="28"/>
          <w:szCs w:val="28"/>
          <w:lang w:val="ru-RU"/>
        </w:rPr>
        <w:t xml:space="preserve">проєкту </w:t>
      </w:r>
      <w:r w:rsidRPr="00262281">
        <w:rPr>
          <w:rFonts w:ascii="Times New Roman" w:eastAsia="Times New Roman" w:hAnsi="Times New Roman" w:cs="Times New Roman"/>
          <w:b/>
          <w:color w:val="auto"/>
          <w:sz w:val="28"/>
          <w:szCs w:val="28"/>
          <w:lang w:val="ru-RU"/>
        </w:rPr>
        <w:t>рішення</w:t>
      </w:r>
      <w:r>
        <w:rPr>
          <w:rFonts w:ascii="Times New Roman" w:eastAsia="Times New Roman" w:hAnsi="Times New Roman" w:cs="Times New Roman"/>
          <w:b/>
          <w:color w:val="auto"/>
          <w:sz w:val="28"/>
          <w:szCs w:val="28"/>
          <w:lang w:val="ru-RU"/>
        </w:rPr>
        <w:t>.</w:t>
      </w:r>
    </w:p>
    <w:p w14:paraId="0D628277" w14:textId="77777777" w:rsidR="00072812" w:rsidRDefault="00072812" w:rsidP="00262281">
      <w:pPr>
        <w:widowControl w:val="0"/>
        <w:tabs>
          <w:tab w:val="left" w:pos="934"/>
        </w:tabs>
        <w:suppressAutoHyphens w:val="0"/>
        <w:autoSpaceDE w:val="0"/>
        <w:autoSpaceDN w:val="0"/>
        <w:spacing w:after="0" w:line="240" w:lineRule="auto"/>
        <w:contextualSpacing/>
        <w:jc w:val="center"/>
        <w:rPr>
          <w:rFonts w:ascii="Times New Roman" w:eastAsia="Times New Roman" w:hAnsi="Times New Roman" w:cs="Times New Roman"/>
          <w:b/>
          <w:color w:val="auto"/>
          <w:sz w:val="28"/>
          <w:szCs w:val="28"/>
          <w:lang w:val="ru-RU"/>
        </w:rPr>
      </w:pPr>
    </w:p>
    <w:p w14:paraId="1733BB37" w14:textId="77777777" w:rsid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 xml:space="preserve">Метою та завданням прийняття цього проекту рішення є попередження кризових ситуацій на Товаристві, що можуть порушити безпеку критичної </w:t>
      </w:r>
      <w:r w:rsidRPr="00262281">
        <w:rPr>
          <w:rFonts w:ascii="Times New Roman" w:eastAsia="Times New Roman" w:hAnsi="Times New Roman" w:cs="Times New Roman"/>
          <w:color w:val="auto"/>
          <w:sz w:val="28"/>
          <w:szCs w:val="28"/>
          <w:lang w:eastAsia="ru-RU"/>
        </w:rPr>
        <w:lastRenderedPageBreak/>
        <w:t>інфраструктури як складової частини забезпечення національної безпеки України.</w:t>
      </w:r>
    </w:p>
    <w:p w14:paraId="36A1F85C" w14:textId="77777777" w:rsidR="00072812" w:rsidRPr="00262281" w:rsidRDefault="00072812" w:rsidP="00262281">
      <w:pPr>
        <w:suppressAutoHyphens w:val="0"/>
        <w:spacing w:after="0" w:line="240" w:lineRule="auto"/>
        <w:ind w:firstLine="567"/>
        <w:jc w:val="both"/>
        <w:rPr>
          <w:rFonts w:ascii="Times New Roman" w:eastAsia="Times New Roman" w:hAnsi="Times New Roman" w:cs="Times New Roman"/>
          <w:color w:val="auto"/>
          <w:sz w:val="28"/>
          <w:szCs w:val="28"/>
          <w:lang w:val="en-US" w:eastAsia="ru-RU"/>
        </w:rPr>
      </w:pPr>
    </w:p>
    <w:p w14:paraId="7EC1B0EB" w14:textId="77777777" w:rsidR="00262281" w:rsidRDefault="00262281" w:rsidP="00262281">
      <w:pPr>
        <w:suppressAutoHyphens w:val="0"/>
        <w:spacing w:after="0" w:line="240" w:lineRule="auto"/>
        <w:ind w:firstLine="567"/>
        <w:rPr>
          <w:rFonts w:ascii="Times New Roman" w:eastAsia="Times New Roman" w:hAnsi="Times New Roman" w:cs="Times New Roman"/>
          <w:b/>
          <w:color w:val="auto"/>
          <w:sz w:val="28"/>
          <w:szCs w:val="28"/>
          <w:lang w:eastAsia="ru-RU"/>
        </w:rPr>
      </w:pPr>
      <w:r w:rsidRPr="00262281">
        <w:rPr>
          <w:rFonts w:ascii="Times New Roman" w:eastAsia="Times New Roman" w:hAnsi="Times New Roman" w:cs="Times New Roman"/>
          <w:b/>
          <w:color w:val="auto"/>
          <w:sz w:val="28"/>
          <w:szCs w:val="28"/>
          <w:lang w:eastAsia="ru-RU"/>
        </w:rPr>
        <w:t>3. Загальна характеристика і основні положення проєкту рішення</w:t>
      </w:r>
      <w:r>
        <w:rPr>
          <w:rFonts w:ascii="Times New Roman" w:eastAsia="Times New Roman" w:hAnsi="Times New Roman" w:cs="Times New Roman"/>
          <w:b/>
          <w:color w:val="auto"/>
          <w:sz w:val="28"/>
          <w:szCs w:val="28"/>
          <w:lang w:eastAsia="ru-RU"/>
        </w:rPr>
        <w:t>.</w:t>
      </w:r>
    </w:p>
    <w:p w14:paraId="67AD1CDB" w14:textId="77777777" w:rsidR="00072812" w:rsidRDefault="00072812" w:rsidP="00262281">
      <w:pPr>
        <w:suppressAutoHyphens w:val="0"/>
        <w:spacing w:after="0" w:line="240" w:lineRule="auto"/>
        <w:ind w:firstLine="567"/>
        <w:rPr>
          <w:rFonts w:ascii="Times New Roman" w:eastAsia="Times New Roman" w:hAnsi="Times New Roman" w:cs="Times New Roman"/>
          <w:b/>
          <w:color w:val="auto"/>
          <w:sz w:val="28"/>
          <w:szCs w:val="28"/>
          <w:lang w:eastAsia="ru-RU"/>
        </w:rPr>
      </w:pPr>
    </w:p>
    <w:p w14:paraId="7738F691"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 xml:space="preserve">Проєкт рішення Київської міської ради </w:t>
      </w:r>
      <w:r w:rsidRPr="00262281">
        <w:rPr>
          <w:rFonts w:ascii="Times New Roman" w:eastAsia="Times New Roman" w:hAnsi="Times New Roman" w:cs="Times New Roman"/>
          <w:b/>
          <w:color w:val="auto"/>
          <w:sz w:val="28"/>
          <w:szCs w:val="28"/>
          <w:lang w:eastAsia="ru-RU"/>
        </w:rPr>
        <w:t>«</w:t>
      </w:r>
      <w:r w:rsidRPr="00262281">
        <w:rPr>
          <w:rFonts w:ascii="Times New Roman" w:eastAsia="Times New Roman" w:hAnsi="Times New Roman" w:cs="Times New Roman"/>
          <w:color w:val="000000"/>
          <w:sz w:val="28"/>
          <w:szCs w:val="28"/>
          <w:lang w:eastAsia="ru-RU"/>
        </w:rPr>
        <w:t>Про деякі питання використання майна територіальної громади міста Києва, яке перебуває у володінні та користуванні ПрАТ «АК «Київводоканал», в умовах воєнного стану</w:t>
      </w:r>
      <w:r w:rsidRPr="00262281">
        <w:rPr>
          <w:rFonts w:ascii="Times New Roman" w:eastAsia="Times New Roman" w:hAnsi="Times New Roman" w:cs="Times New Roman"/>
          <w:color w:val="auto"/>
          <w:sz w:val="28"/>
          <w:szCs w:val="28"/>
          <w:lang w:eastAsia="ru-RU"/>
        </w:rPr>
        <w:t>» складається із шести пунктів.</w:t>
      </w:r>
    </w:p>
    <w:p w14:paraId="5F57FFED"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Пунктом 1 установлюється, що сума заборгованості за використання майна, яке належить до комунальної власності територіальної громади м. Києва та перебуває у володінні та користуванні Приватного акціонерного товариства «Акціонерна компанія «Київводоканал», відповідно до рішення Київської міської ради від 26 липня 2007 року № 17/1851 «Про деякі питання використання майна, яке належить до комунальної власності територіальної громади м. Києва та перебуває у володінні та користуванні відкритого акціонерного товариства «Акціонерна компанія «Київводоканал» (зі змінами), у розмірі 59 806 351 грн (із врахуванням індексу інфляції в розмірі 5 960 172 грн) за 2019 - 2020 роки підлягає сплаті протягом 3 місяців після припинення та скасування воєнного стану на території України.</w:t>
      </w:r>
    </w:p>
    <w:p w14:paraId="4E020CA0"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uk-UA"/>
        </w:rPr>
      </w:pPr>
      <w:r w:rsidRPr="00262281">
        <w:rPr>
          <w:rFonts w:ascii="Times New Roman" w:eastAsia="Times New Roman" w:hAnsi="Times New Roman" w:cs="Times New Roman"/>
          <w:color w:val="auto"/>
          <w:sz w:val="28"/>
          <w:szCs w:val="28"/>
          <w:lang w:eastAsia="uk-UA"/>
        </w:rPr>
        <w:t>Пунктом 2 доручається виконавчому органу Київської міської ради (Київській міській державній адміністрації):</w:t>
      </w:r>
    </w:p>
    <w:p w14:paraId="3FAB34AF" w14:textId="77777777" w:rsidR="00262281" w:rsidRPr="00262281" w:rsidRDefault="00262281" w:rsidP="00262281">
      <w:pPr>
        <w:suppressAutoHyphens w:val="0"/>
        <w:spacing w:after="0" w:line="240" w:lineRule="auto"/>
        <w:ind w:firstLine="567"/>
        <w:jc w:val="both"/>
        <w:rPr>
          <w:rFonts w:ascii="Times New Roman" w:hAnsi="Times New Roman" w:cs="Times New Roman"/>
          <w:color w:val="auto"/>
          <w:sz w:val="28"/>
          <w:szCs w:val="28"/>
        </w:rPr>
      </w:pPr>
      <w:r w:rsidRPr="00262281">
        <w:rPr>
          <w:rFonts w:ascii="Times New Roman" w:eastAsia="Times New Roman" w:hAnsi="Times New Roman" w:cs="Times New Roman"/>
          <w:color w:val="auto"/>
          <w:sz w:val="28"/>
          <w:szCs w:val="28"/>
          <w:lang w:eastAsia="uk-UA"/>
        </w:rPr>
        <w:t>- укласти з приватним акціонерним товариством «Акціонерна компанія «Київводоканал» додаткову угоду до Договору на володіння та користування майном територіальної громади міста Києва від 01 грудня 2006 року (в новій редакції Угоди про передачу в управління відкритому акціонерному товариству «Акціонерна компанія «Київводоканал» майна, що є комунальною власністю територіальної громади м. Києва, укладеної 20.11.2003), укладеного між відкритим акціонерним товариством «Акціонерна компанія «Київводоканал» та Київською міською державною адміністрацією, на виконання пункту 1 цього рішення згідно з додатком</w:t>
      </w:r>
      <w:r w:rsidRPr="00262281">
        <w:rPr>
          <w:rFonts w:ascii="Times New Roman" w:eastAsia="Times New Roman" w:hAnsi="Times New Roman" w:cs="Times New Roman"/>
          <w:color w:val="auto"/>
          <w:sz w:val="28"/>
          <w:szCs w:val="28"/>
          <w:lang w:eastAsia="ru-RU"/>
        </w:rPr>
        <w:t>.</w:t>
      </w:r>
    </w:p>
    <w:p w14:paraId="26110042"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uk-UA"/>
        </w:rPr>
      </w:pPr>
      <w:r w:rsidRPr="00262281">
        <w:rPr>
          <w:rFonts w:ascii="Times New Roman" w:eastAsia="Times New Roman" w:hAnsi="Times New Roman" w:cs="Times New Roman"/>
          <w:color w:val="auto"/>
          <w:sz w:val="28"/>
          <w:szCs w:val="28"/>
          <w:lang w:eastAsia="uk-UA"/>
        </w:rPr>
        <w:t>- спільно з приватним акціонерним товариством «Акціонерна компанія «Київводоканал» здійснити організаційно-правові дії, необхідні для реалізації підпункту 2.1 пункту 2 цього рішення.</w:t>
      </w:r>
    </w:p>
    <w:p w14:paraId="75439FEB"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uk-UA"/>
        </w:rPr>
      </w:pPr>
      <w:r w:rsidRPr="00262281">
        <w:rPr>
          <w:rFonts w:ascii="Times New Roman" w:eastAsia="Times New Roman" w:hAnsi="Times New Roman" w:cs="Times New Roman"/>
          <w:color w:val="auto"/>
          <w:sz w:val="28"/>
          <w:szCs w:val="28"/>
          <w:lang w:eastAsia="uk-UA"/>
        </w:rPr>
        <w:t>Пуктом 3 визначається, що додаткову угоду, зазначену у підпункті 2.1 пункту 2 цього рішення, від імені виконавчого органу Київської міської ради (Київської міської державної адміністрації), підписує Київський міський голова.</w:t>
      </w:r>
    </w:p>
    <w:p w14:paraId="3E5AE033"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 xml:space="preserve">Пунктом </w:t>
      </w:r>
      <w:r w:rsidR="00072812">
        <w:rPr>
          <w:rFonts w:ascii="Times New Roman" w:eastAsia="Times New Roman" w:hAnsi="Times New Roman" w:cs="Times New Roman"/>
          <w:color w:val="auto"/>
          <w:sz w:val="28"/>
          <w:szCs w:val="28"/>
          <w:lang w:val="en-US" w:eastAsia="ru-RU"/>
        </w:rPr>
        <w:t>4</w:t>
      </w:r>
      <w:r w:rsidRPr="00262281">
        <w:rPr>
          <w:rFonts w:ascii="Times New Roman" w:eastAsia="Times New Roman" w:hAnsi="Times New Roman" w:cs="Times New Roman"/>
          <w:color w:val="auto"/>
          <w:sz w:val="28"/>
          <w:szCs w:val="28"/>
          <w:lang w:eastAsia="ru-RU"/>
        </w:rPr>
        <w:t xml:space="preserve"> в</w:t>
      </w:r>
      <w:r w:rsidRPr="00262281">
        <w:rPr>
          <w:rFonts w:ascii="Times New Roman" w:eastAsia="Times New Roman" w:hAnsi="Times New Roman" w:cs="Times New Roman"/>
          <w:color w:val="000000"/>
          <w:sz w:val="28"/>
          <w:szCs w:val="28"/>
          <w:lang w:eastAsia="ru-RU"/>
        </w:rPr>
        <w:t xml:space="preserve">становлено, що у разі не укладання </w:t>
      </w:r>
      <w:r w:rsidRPr="00262281">
        <w:rPr>
          <w:rFonts w:ascii="Times New Roman" w:eastAsia="Times New Roman" w:hAnsi="Times New Roman" w:cs="Times New Roman"/>
          <w:color w:val="auto"/>
          <w:sz w:val="28"/>
          <w:szCs w:val="28"/>
          <w:lang w:eastAsia="uk-UA"/>
        </w:rPr>
        <w:t xml:space="preserve">приватним акціонерним товариством «Акціонерна компанія «Київводоканал» додаткової угоди до Договору на володіння та користування майном територіальної громади міста Києва від 01 грудня 2006 року (в новій редакції Угоди про передачу в управління відкритому акціонерному товариству «Акціонерна компанія «Київводоканал» майна, що є комунальною власністю територіальної громади м. Києва, укладеної 20.11.2003), укладеного між відкритим акціонерним товариством «Акціонерна компанія «Київводоканал» та Київською міською державною адміністрацією, </w:t>
      </w:r>
      <w:r w:rsidRPr="00262281">
        <w:rPr>
          <w:rFonts w:ascii="Times New Roman" w:eastAsia="Times New Roman" w:hAnsi="Times New Roman" w:cs="Times New Roman"/>
          <w:color w:val="auto"/>
          <w:sz w:val="28"/>
          <w:szCs w:val="28"/>
          <w:lang w:eastAsia="uk-UA"/>
        </w:rPr>
        <w:lastRenderedPageBreak/>
        <w:t xml:space="preserve">яка зазначена в п.2.1 цього рішення упродовж </w:t>
      </w:r>
      <w:r w:rsidR="00F17A94">
        <w:rPr>
          <w:rFonts w:ascii="Times New Roman" w:eastAsia="Times New Roman" w:hAnsi="Times New Roman" w:cs="Times New Roman"/>
          <w:color w:val="auto"/>
          <w:sz w:val="28"/>
          <w:szCs w:val="28"/>
          <w:lang w:eastAsia="uk-UA"/>
        </w:rPr>
        <w:t>60</w:t>
      </w:r>
      <w:r w:rsidRPr="00262281">
        <w:rPr>
          <w:rFonts w:ascii="Times New Roman" w:eastAsia="Times New Roman" w:hAnsi="Times New Roman" w:cs="Times New Roman"/>
          <w:color w:val="auto"/>
          <w:sz w:val="28"/>
          <w:szCs w:val="28"/>
          <w:lang w:eastAsia="uk-UA"/>
        </w:rPr>
        <w:t xml:space="preserve"> (</w:t>
      </w:r>
      <w:r w:rsidR="00F17A94">
        <w:rPr>
          <w:rFonts w:ascii="Times New Roman" w:eastAsia="Times New Roman" w:hAnsi="Times New Roman" w:cs="Times New Roman"/>
          <w:color w:val="auto"/>
          <w:sz w:val="28"/>
          <w:szCs w:val="28"/>
          <w:lang w:eastAsia="uk-UA"/>
        </w:rPr>
        <w:t>шістдесяти</w:t>
      </w:r>
      <w:r w:rsidRPr="00262281">
        <w:rPr>
          <w:rFonts w:ascii="Times New Roman" w:eastAsia="Times New Roman" w:hAnsi="Times New Roman" w:cs="Times New Roman"/>
          <w:color w:val="auto"/>
          <w:sz w:val="28"/>
          <w:szCs w:val="28"/>
          <w:lang w:eastAsia="uk-UA"/>
        </w:rPr>
        <w:t>) календарних днів з дня набрання чинності цим рішенням, дане рішення втрачає чинність.</w:t>
      </w:r>
    </w:p>
    <w:p w14:paraId="3F57D8AC" w14:textId="77777777" w:rsidR="00262281" w:rsidRPr="00262281" w:rsidRDefault="00262281" w:rsidP="00262281">
      <w:pPr>
        <w:tabs>
          <w:tab w:val="left" w:pos="709"/>
        </w:tabs>
        <w:suppressAutoHyphens w:val="0"/>
        <w:spacing w:after="0" w:line="240" w:lineRule="auto"/>
        <w:ind w:right="-1" w:firstLine="567"/>
        <w:jc w:val="both"/>
        <w:rPr>
          <w:rFonts w:ascii="Times New Roman" w:eastAsia="Times New Roman" w:hAnsi="Times New Roman" w:cs="Times New Roman"/>
          <w:color w:val="auto"/>
          <w:sz w:val="28"/>
          <w:szCs w:val="28"/>
          <w:lang w:eastAsia="uk-UA"/>
        </w:rPr>
      </w:pPr>
    </w:p>
    <w:p w14:paraId="282017A7" w14:textId="77777777" w:rsidR="00771E96" w:rsidRDefault="00771E96" w:rsidP="008336ED">
      <w:pPr>
        <w:widowControl w:val="0"/>
        <w:tabs>
          <w:tab w:val="left" w:pos="851"/>
        </w:tabs>
        <w:suppressAutoHyphens w:val="0"/>
        <w:autoSpaceDE w:val="0"/>
        <w:autoSpaceDN w:val="0"/>
        <w:spacing w:after="0" w:line="240" w:lineRule="auto"/>
        <w:ind w:left="1494"/>
        <w:jc w:val="center"/>
        <w:outlineLvl w:val="2"/>
        <w:rPr>
          <w:rFonts w:ascii="Times New Roman" w:eastAsia="Times New Roman" w:hAnsi="Times New Roman" w:cs="Times New Roman"/>
          <w:b/>
          <w:bCs/>
          <w:color w:val="auto"/>
          <w:sz w:val="28"/>
          <w:szCs w:val="28"/>
          <w:lang w:eastAsia="ru-RU"/>
        </w:rPr>
      </w:pPr>
    </w:p>
    <w:p w14:paraId="72381AFC" w14:textId="77777777" w:rsidR="00771E96" w:rsidRPr="00771E96" w:rsidRDefault="008336ED" w:rsidP="00771E96">
      <w:pPr>
        <w:spacing w:after="0" w:line="240" w:lineRule="auto"/>
        <w:ind w:firstLine="567"/>
        <w:jc w:val="center"/>
        <w:rPr>
          <w:rFonts w:ascii="Times New Roman" w:hAnsi="Times New Roman" w:cs="Times New Roman"/>
          <w:b/>
          <w:color w:val="000000"/>
          <w:sz w:val="28"/>
          <w:szCs w:val="28"/>
        </w:rPr>
      </w:pPr>
      <w:r>
        <w:rPr>
          <w:rFonts w:ascii="Times New Roman" w:eastAsia="Times New Roman" w:hAnsi="Times New Roman" w:cs="Times New Roman"/>
          <w:b/>
          <w:bCs/>
          <w:color w:val="auto"/>
          <w:sz w:val="28"/>
          <w:szCs w:val="28"/>
          <w:lang w:eastAsia="ru-RU"/>
        </w:rPr>
        <w:t xml:space="preserve">4. </w:t>
      </w:r>
      <w:r w:rsidR="00771E96" w:rsidRPr="00771E96">
        <w:rPr>
          <w:rFonts w:ascii="Times New Roman" w:hAnsi="Times New Roman" w:cs="Times New Roman"/>
          <w:b/>
          <w:color w:val="000000"/>
          <w:sz w:val="28"/>
          <w:szCs w:val="28"/>
        </w:rPr>
        <w:t>Правове обгрунтування необхідності прийняття рішення.</w:t>
      </w:r>
    </w:p>
    <w:p w14:paraId="6D703406" w14:textId="77777777" w:rsidR="00262281" w:rsidRPr="00262281" w:rsidRDefault="00262281" w:rsidP="008336ED">
      <w:pPr>
        <w:widowControl w:val="0"/>
        <w:tabs>
          <w:tab w:val="left" w:pos="851"/>
        </w:tabs>
        <w:suppressAutoHyphens w:val="0"/>
        <w:autoSpaceDE w:val="0"/>
        <w:autoSpaceDN w:val="0"/>
        <w:spacing w:after="0" w:line="240" w:lineRule="auto"/>
        <w:ind w:left="1494"/>
        <w:jc w:val="center"/>
        <w:outlineLvl w:val="2"/>
        <w:rPr>
          <w:rFonts w:ascii="Times New Roman" w:eastAsia="Times New Roman" w:hAnsi="Times New Roman" w:cs="Times New Roman"/>
          <w:b/>
          <w:bCs/>
          <w:color w:val="auto"/>
          <w:sz w:val="28"/>
          <w:szCs w:val="28"/>
          <w:lang w:eastAsia="ru-RU"/>
        </w:rPr>
      </w:pPr>
    </w:p>
    <w:p w14:paraId="0488BB66"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262281">
        <w:rPr>
          <w:rFonts w:ascii="Times New Roman" w:eastAsia="Times New Roman" w:hAnsi="Times New Roman" w:cs="Times New Roman"/>
          <w:color w:val="auto"/>
          <w:sz w:val="28"/>
          <w:szCs w:val="28"/>
          <w:lang w:eastAsia="ru-RU"/>
        </w:rPr>
        <w:t>Проект рішення підготовлений відповідно до статей 317, 319, 327 Цивільного кодексу України, пункту 30 частини першої статті 26, частин п’ятої та шостої статті 60 Закону України «Про місцеве самоврядування в Україні», Закону України «Про критичну інфраструктуру», Закону України «Про правовий режим воєнного стану», Указу Президента України від 24 лютого 2022 року № 64/2022 «Про введення воєнного стану в Україні», затвердженого Законом України «Про затвердження Указу Президента України «Про введення воєнного стану в Україні» від 24 лютого 2022 року № 2102-ІХ.</w:t>
      </w:r>
    </w:p>
    <w:p w14:paraId="0C89FD38" w14:textId="77777777" w:rsidR="00262281" w:rsidRPr="00262281" w:rsidRDefault="00262281" w:rsidP="00262281">
      <w:pPr>
        <w:suppressAutoHyphens w:val="0"/>
        <w:spacing w:after="0" w:line="240" w:lineRule="auto"/>
        <w:ind w:firstLine="567"/>
        <w:jc w:val="both"/>
        <w:rPr>
          <w:rFonts w:ascii="Times New Roman" w:eastAsia="Times New Roman" w:hAnsi="Times New Roman" w:cs="Times New Roman"/>
          <w:color w:val="auto"/>
          <w:sz w:val="28"/>
          <w:szCs w:val="28"/>
          <w:lang w:eastAsia="ru-RU"/>
        </w:rPr>
      </w:pPr>
    </w:p>
    <w:p w14:paraId="24C3F38F" w14:textId="77777777" w:rsidR="00771E96" w:rsidRPr="00771E96" w:rsidRDefault="00771E96" w:rsidP="00771E96">
      <w:pPr>
        <w:suppressAutoHyphens w:val="0"/>
        <w:spacing w:after="0" w:line="240" w:lineRule="auto"/>
        <w:ind w:left="720" w:hanging="11"/>
        <w:contextualSpacing/>
        <w:jc w:val="center"/>
        <w:rPr>
          <w:rFonts w:ascii="Times New Roman" w:hAnsi="Times New Roman" w:cs="Times New Roman"/>
          <w:b/>
          <w:color w:val="auto"/>
          <w:sz w:val="28"/>
          <w:szCs w:val="28"/>
          <w:lang w:eastAsia="uk-UA"/>
        </w:rPr>
      </w:pPr>
      <w:r>
        <w:rPr>
          <w:rFonts w:ascii="Times New Roman" w:hAnsi="Times New Roman" w:cs="Times New Roman"/>
          <w:b/>
          <w:color w:val="auto"/>
          <w:sz w:val="28"/>
          <w:szCs w:val="28"/>
          <w:lang w:eastAsia="uk-UA"/>
        </w:rPr>
        <w:t>5</w:t>
      </w:r>
      <w:r w:rsidRPr="00771E96">
        <w:rPr>
          <w:rFonts w:ascii="Times New Roman" w:hAnsi="Times New Roman" w:cs="Times New Roman"/>
          <w:b/>
          <w:color w:val="auto"/>
          <w:sz w:val="28"/>
          <w:szCs w:val="28"/>
          <w:lang w:eastAsia="uk-UA"/>
        </w:rPr>
        <w:t>. Вплив проекту рішення  на осіб з інвалідністю.</w:t>
      </w:r>
    </w:p>
    <w:p w14:paraId="0C6380DB" w14:textId="77777777" w:rsidR="00771E96" w:rsidRPr="00771E96" w:rsidRDefault="00771E96" w:rsidP="00771E96">
      <w:pPr>
        <w:suppressAutoHyphens w:val="0"/>
        <w:spacing w:after="0" w:line="240" w:lineRule="auto"/>
        <w:ind w:right="-2" w:firstLine="567"/>
        <w:contextualSpacing/>
        <w:jc w:val="both"/>
        <w:rPr>
          <w:rFonts w:ascii="Times New Roman" w:hAnsi="Times New Roman" w:cs="Times New Roman"/>
          <w:color w:val="auto"/>
          <w:sz w:val="28"/>
          <w:szCs w:val="28"/>
          <w:lang w:eastAsia="uk-UA"/>
        </w:rPr>
      </w:pPr>
      <w:r w:rsidRPr="00771E96">
        <w:rPr>
          <w:rFonts w:ascii="Times New Roman" w:hAnsi="Times New Roman" w:cs="Times New Roman"/>
          <w:color w:val="auto"/>
          <w:sz w:val="28"/>
          <w:szCs w:val="28"/>
          <w:lang w:eastAsia="uk-UA"/>
        </w:rPr>
        <w:t xml:space="preserve">Проєкт рішення не стосується прав і соціальної захищеності осіб з інвалідністю та не впливатиме на життєдіяльність цієї категорії. </w:t>
      </w:r>
    </w:p>
    <w:p w14:paraId="6053051C" w14:textId="77777777" w:rsidR="00771E96" w:rsidRPr="00771E96" w:rsidRDefault="00771E96" w:rsidP="00771E96">
      <w:pPr>
        <w:suppressAutoHyphens w:val="0"/>
        <w:spacing w:after="0" w:line="240" w:lineRule="auto"/>
        <w:ind w:firstLine="567"/>
        <w:jc w:val="both"/>
        <w:rPr>
          <w:rFonts w:ascii="Times New Roman" w:eastAsia="Times New Roman" w:hAnsi="Times New Roman" w:cs="Times New Roman"/>
          <w:color w:val="auto"/>
          <w:sz w:val="28"/>
          <w:szCs w:val="28"/>
          <w:lang w:eastAsia="ru-RU"/>
        </w:rPr>
      </w:pPr>
    </w:p>
    <w:p w14:paraId="6BF7DBCF" w14:textId="77777777" w:rsidR="00771E96" w:rsidRPr="00771E96" w:rsidRDefault="00771E96" w:rsidP="00771E96">
      <w:pPr>
        <w:suppressAutoHyphens w:val="0"/>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auto"/>
          <w:sz w:val="28"/>
          <w:szCs w:val="28"/>
          <w:lang w:eastAsia="ru-RU"/>
        </w:rPr>
        <w:t>6</w:t>
      </w:r>
      <w:r w:rsidRPr="00771E96">
        <w:rPr>
          <w:rFonts w:ascii="Times New Roman" w:eastAsia="Times New Roman" w:hAnsi="Times New Roman" w:cs="Times New Roman"/>
          <w:b/>
          <w:color w:val="auto"/>
          <w:sz w:val="28"/>
          <w:szCs w:val="28"/>
          <w:lang w:eastAsia="ru-RU"/>
        </w:rPr>
        <w:t xml:space="preserve">. Відповідність проєкту рішення до Закону України </w:t>
      </w:r>
      <w:r w:rsidRPr="00771E96">
        <w:rPr>
          <w:rFonts w:ascii="Times New Roman" w:eastAsia="Times New Roman" w:hAnsi="Times New Roman" w:cs="Times New Roman"/>
          <w:b/>
          <w:color w:val="000000"/>
          <w:sz w:val="28"/>
          <w:szCs w:val="28"/>
          <w:lang w:eastAsia="ru-RU"/>
        </w:rPr>
        <w:t>«Про доступ  до публічної інформації».</w:t>
      </w:r>
    </w:p>
    <w:p w14:paraId="1EB88FD5" w14:textId="77777777" w:rsidR="00771E96" w:rsidRPr="00771E96" w:rsidRDefault="00771E96" w:rsidP="00771E96">
      <w:pPr>
        <w:suppressAutoHyphens w:val="0"/>
        <w:spacing w:after="0" w:line="240" w:lineRule="auto"/>
        <w:ind w:firstLine="567"/>
        <w:jc w:val="both"/>
        <w:rPr>
          <w:rFonts w:ascii="Times New Roman" w:eastAsia="Times New Roman" w:hAnsi="Times New Roman" w:cs="Times New Roman"/>
          <w:color w:val="000000"/>
          <w:sz w:val="28"/>
          <w:szCs w:val="28"/>
          <w:lang w:val="ru-RU" w:eastAsia="ru-RU"/>
        </w:rPr>
      </w:pPr>
      <w:r w:rsidRPr="00771E96">
        <w:rPr>
          <w:rFonts w:ascii="Times New Roman" w:eastAsia="Times New Roman" w:hAnsi="Times New Roman" w:cs="Times New Roman"/>
          <w:color w:val="000000"/>
          <w:sz w:val="28"/>
          <w:szCs w:val="28"/>
          <w:lang w:eastAsia="ru-RU"/>
        </w:rPr>
        <w:t>Проєкт рішення не містить інформацію з обмеженим доступом у розумінні статті 6 Закону України «Про доступ  до публічної інформації».</w:t>
      </w:r>
    </w:p>
    <w:p w14:paraId="2972AD21" w14:textId="77777777" w:rsidR="00771E96" w:rsidRPr="00771E96" w:rsidRDefault="00771E96" w:rsidP="00771E96">
      <w:pPr>
        <w:suppressAutoHyphens w:val="0"/>
        <w:spacing w:after="0" w:line="240" w:lineRule="auto"/>
        <w:ind w:firstLine="567"/>
        <w:jc w:val="both"/>
        <w:rPr>
          <w:rFonts w:ascii="Times New Roman" w:eastAsia="Times New Roman" w:hAnsi="Times New Roman" w:cs="Times New Roman"/>
          <w:color w:val="auto"/>
          <w:sz w:val="28"/>
          <w:szCs w:val="28"/>
          <w:lang w:eastAsia="ru-RU"/>
        </w:rPr>
      </w:pPr>
    </w:p>
    <w:p w14:paraId="2F68A128" w14:textId="77777777" w:rsidR="00771E96" w:rsidRPr="00771E96" w:rsidRDefault="00771E96" w:rsidP="00771E96">
      <w:pPr>
        <w:suppressAutoHyphens w:val="0"/>
        <w:spacing w:after="0" w:line="240" w:lineRule="auto"/>
        <w:ind w:right="-2" w:firstLine="567"/>
        <w:contextualSpacing/>
        <w:jc w:val="center"/>
        <w:rPr>
          <w:rFonts w:ascii="Times New Roman" w:hAnsi="Times New Roman" w:cs="Times New Roman"/>
          <w:b/>
          <w:color w:val="auto"/>
          <w:sz w:val="28"/>
          <w:szCs w:val="28"/>
          <w:lang w:eastAsia="uk-UA"/>
        </w:rPr>
      </w:pPr>
      <w:r>
        <w:rPr>
          <w:rFonts w:ascii="Times New Roman" w:eastAsia="Times New Roman" w:hAnsi="Times New Roman" w:cs="Times New Roman"/>
          <w:b/>
          <w:color w:val="auto"/>
          <w:sz w:val="28"/>
          <w:szCs w:val="28"/>
          <w:lang w:eastAsia="ru-RU"/>
        </w:rPr>
        <w:t>7</w:t>
      </w:r>
      <w:r w:rsidRPr="00771E96">
        <w:rPr>
          <w:rFonts w:ascii="Times New Roman" w:eastAsia="Times New Roman" w:hAnsi="Times New Roman" w:cs="Times New Roman"/>
          <w:b/>
          <w:color w:val="auto"/>
          <w:sz w:val="28"/>
          <w:szCs w:val="28"/>
          <w:lang w:eastAsia="ru-RU"/>
        </w:rPr>
        <w:t>.   Відповідність проєкту рішення до З</w:t>
      </w:r>
      <w:r w:rsidRPr="00771E96">
        <w:rPr>
          <w:rFonts w:ascii="Times New Roman" w:hAnsi="Times New Roman" w:cs="Times New Roman"/>
          <w:b/>
          <w:color w:val="auto"/>
          <w:sz w:val="28"/>
          <w:szCs w:val="28"/>
          <w:lang w:eastAsia="uk-UA"/>
        </w:rPr>
        <w:t>аконів України «Про інформацію» та «Про захист персональних даних».</w:t>
      </w:r>
    </w:p>
    <w:p w14:paraId="5BFB5106" w14:textId="77777777" w:rsidR="00771E96" w:rsidRPr="00771E96" w:rsidRDefault="00771E96" w:rsidP="00771E96">
      <w:pPr>
        <w:suppressAutoHyphens w:val="0"/>
        <w:spacing w:after="0" w:line="240" w:lineRule="auto"/>
        <w:ind w:right="-2" w:firstLine="567"/>
        <w:contextualSpacing/>
        <w:jc w:val="both"/>
        <w:rPr>
          <w:rFonts w:ascii="Times New Roman" w:hAnsi="Times New Roman" w:cs="Times New Roman"/>
          <w:color w:val="auto"/>
          <w:sz w:val="28"/>
          <w:szCs w:val="28"/>
          <w:lang w:eastAsia="uk-UA"/>
        </w:rPr>
      </w:pPr>
      <w:r w:rsidRPr="00771E96">
        <w:rPr>
          <w:rFonts w:ascii="Times New Roman" w:hAnsi="Times New Roman" w:cs="Times New Roman"/>
          <w:color w:val="auto"/>
          <w:sz w:val="28"/>
          <w:szCs w:val="28"/>
          <w:lang w:eastAsia="uk-UA"/>
        </w:rPr>
        <w:t>Проєкт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14:paraId="536036AF" w14:textId="77777777" w:rsidR="00771E96" w:rsidRPr="00771E96" w:rsidRDefault="00771E96" w:rsidP="00771E96">
      <w:pPr>
        <w:suppressAutoHyphens w:val="0"/>
        <w:spacing w:after="0" w:line="240" w:lineRule="auto"/>
        <w:ind w:firstLine="567"/>
        <w:jc w:val="both"/>
        <w:rPr>
          <w:rFonts w:ascii="Times New Roman" w:eastAsia="Times New Roman" w:hAnsi="Times New Roman" w:cs="Times New Roman"/>
          <w:color w:val="auto"/>
          <w:sz w:val="28"/>
          <w:szCs w:val="28"/>
          <w:lang w:eastAsia="ru-RU"/>
        </w:rPr>
      </w:pPr>
    </w:p>
    <w:p w14:paraId="2D1EB9CF" w14:textId="77777777" w:rsidR="00771E96" w:rsidRPr="00771E96" w:rsidRDefault="00771E96" w:rsidP="00771E96">
      <w:pPr>
        <w:keepNext/>
        <w:tabs>
          <w:tab w:val="left" w:pos="0"/>
        </w:tabs>
        <w:suppressAutoHyphens w:val="0"/>
        <w:spacing w:after="0" w:line="240" w:lineRule="auto"/>
        <w:ind w:firstLine="567"/>
        <w:jc w:val="center"/>
        <w:outlineLvl w:val="2"/>
        <w:rPr>
          <w:rFonts w:ascii="Times New Roman" w:eastAsia="Times New Roman" w:hAnsi="Times New Roman" w:cs="Times New Roman"/>
          <w:b/>
          <w:bCs/>
          <w:color w:val="auto"/>
          <w:sz w:val="28"/>
          <w:szCs w:val="28"/>
          <w:lang w:eastAsia="ru-RU"/>
        </w:rPr>
      </w:pPr>
      <w:r>
        <w:rPr>
          <w:rFonts w:ascii="Times New Roman" w:eastAsia="Times New Roman" w:hAnsi="Times New Roman" w:cs="Times New Roman"/>
          <w:b/>
          <w:bCs/>
          <w:color w:val="auto"/>
          <w:sz w:val="28"/>
          <w:szCs w:val="28"/>
          <w:lang w:eastAsia="ru-RU"/>
        </w:rPr>
        <w:t>8</w:t>
      </w:r>
      <w:r w:rsidRPr="00771E96">
        <w:rPr>
          <w:rFonts w:ascii="Times New Roman" w:eastAsia="Times New Roman" w:hAnsi="Times New Roman" w:cs="Times New Roman"/>
          <w:b/>
          <w:bCs/>
          <w:color w:val="auto"/>
          <w:sz w:val="28"/>
          <w:szCs w:val="28"/>
          <w:lang w:eastAsia="ru-RU"/>
        </w:rPr>
        <w:t>. Фінансово-економічне обґрунтування проєкту рішення.</w:t>
      </w:r>
    </w:p>
    <w:p w14:paraId="0ECAF2B3" w14:textId="77777777" w:rsidR="00771E96" w:rsidRPr="00771E96" w:rsidRDefault="00771E96" w:rsidP="00771E96">
      <w:pPr>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771E96">
        <w:rPr>
          <w:rFonts w:ascii="Times New Roman" w:eastAsia="Times New Roman" w:hAnsi="Times New Roman" w:cs="Times New Roman"/>
          <w:color w:val="auto"/>
          <w:sz w:val="28"/>
          <w:szCs w:val="28"/>
          <w:lang w:eastAsia="ru-RU"/>
        </w:rPr>
        <w:t>Реалізація рішення призведе до тимчасового зменшення надходження до бюджету міста Києва, проте не потребує додаткових витрат з бюджету міста Києва.</w:t>
      </w:r>
    </w:p>
    <w:p w14:paraId="1ACD6EDB" w14:textId="77777777" w:rsidR="00771E96" w:rsidRPr="00771E96" w:rsidRDefault="00771E96" w:rsidP="00771E96">
      <w:pPr>
        <w:suppressAutoHyphens w:val="0"/>
        <w:spacing w:after="0" w:line="240" w:lineRule="auto"/>
        <w:ind w:firstLine="567"/>
        <w:jc w:val="both"/>
        <w:rPr>
          <w:rFonts w:ascii="Times New Roman" w:eastAsia="Times New Roman" w:hAnsi="Times New Roman" w:cs="Times New Roman"/>
          <w:color w:val="auto"/>
          <w:sz w:val="28"/>
          <w:szCs w:val="28"/>
          <w:lang w:val="ru-RU" w:eastAsia="ru-RU"/>
        </w:rPr>
      </w:pPr>
    </w:p>
    <w:p w14:paraId="56229961" w14:textId="77777777" w:rsidR="00771E96" w:rsidRPr="00771E96" w:rsidRDefault="00771E96" w:rsidP="00771E96">
      <w:pPr>
        <w:overflowPunct w:val="0"/>
        <w:spacing w:after="0" w:line="240" w:lineRule="auto"/>
        <w:ind w:firstLine="567"/>
        <w:jc w:val="center"/>
        <w:textAlignment w:val="baseline"/>
        <w:rPr>
          <w:rFonts w:ascii="Times New Roman" w:hAnsi="Times New Roman" w:cs="Times New Roman"/>
          <w:b/>
          <w:color w:val="auto"/>
          <w:kern w:val="2"/>
          <w:sz w:val="28"/>
          <w:szCs w:val="28"/>
          <w:lang w:eastAsia="ru-RU"/>
        </w:rPr>
      </w:pPr>
      <w:r>
        <w:rPr>
          <w:rFonts w:ascii="Times New Roman" w:hAnsi="Times New Roman" w:cs="Times New Roman"/>
          <w:b/>
          <w:color w:val="auto"/>
          <w:kern w:val="2"/>
          <w:sz w:val="28"/>
          <w:szCs w:val="28"/>
          <w:lang w:eastAsia="ru-RU"/>
        </w:rPr>
        <w:t>9</w:t>
      </w:r>
      <w:r w:rsidRPr="00771E96">
        <w:rPr>
          <w:rFonts w:ascii="Times New Roman" w:hAnsi="Times New Roman" w:cs="Times New Roman"/>
          <w:b/>
          <w:color w:val="auto"/>
          <w:kern w:val="2"/>
          <w:sz w:val="28"/>
          <w:szCs w:val="28"/>
          <w:lang w:eastAsia="ru-RU"/>
        </w:rPr>
        <w:t>. Прогноз соціально-економічних та інших наслідків прийняття рішення.</w:t>
      </w:r>
    </w:p>
    <w:p w14:paraId="08630591" w14:textId="77777777" w:rsidR="00771E96" w:rsidRPr="00771E96" w:rsidRDefault="00771E96" w:rsidP="00771E96">
      <w:pPr>
        <w:shd w:val="clear" w:color="auto" w:fill="FFFFFF"/>
        <w:suppressAutoHyphens w:val="0"/>
        <w:spacing w:after="0" w:line="240" w:lineRule="auto"/>
        <w:ind w:firstLine="567"/>
        <w:jc w:val="both"/>
        <w:rPr>
          <w:rFonts w:ascii="Times New Roman" w:eastAsia="Times New Roman" w:hAnsi="Times New Roman" w:cs="Times New Roman"/>
          <w:color w:val="auto"/>
          <w:sz w:val="28"/>
          <w:szCs w:val="28"/>
          <w:lang w:eastAsia="ru-RU"/>
        </w:rPr>
      </w:pPr>
      <w:r w:rsidRPr="00771E96">
        <w:rPr>
          <w:rFonts w:ascii="Times New Roman" w:hAnsi="Times New Roman" w:cs="Times New Roman"/>
          <w:color w:val="auto"/>
          <w:kern w:val="2"/>
          <w:sz w:val="28"/>
          <w:szCs w:val="28"/>
          <w:lang w:eastAsia="ru-RU"/>
        </w:rPr>
        <w:t xml:space="preserve">Врегулювання цього питання </w:t>
      </w:r>
      <w:r w:rsidRPr="00771E96">
        <w:rPr>
          <w:rFonts w:ascii="Times New Roman" w:eastAsia="Times New Roman" w:hAnsi="Times New Roman" w:cs="Times New Roman"/>
          <w:color w:val="auto"/>
          <w:sz w:val="28"/>
          <w:szCs w:val="28"/>
          <w:lang w:eastAsia="ru-RU"/>
        </w:rPr>
        <w:t xml:space="preserve">гарантуватиме безперебійну роботу об’єктів критичної інфраструктури, насамперед з водопостачання та водовідведення. </w:t>
      </w:r>
    </w:p>
    <w:p w14:paraId="59D951A8" w14:textId="77777777" w:rsidR="00771E96" w:rsidRPr="00771E96" w:rsidRDefault="00771E96" w:rsidP="00771E96">
      <w:pPr>
        <w:shd w:val="clear" w:color="auto" w:fill="FFFFFF"/>
        <w:suppressAutoHyphens w:val="0"/>
        <w:spacing w:after="0" w:line="240" w:lineRule="auto"/>
        <w:ind w:firstLine="567"/>
        <w:jc w:val="both"/>
        <w:rPr>
          <w:rFonts w:ascii="Times New Roman" w:eastAsia="Times New Roman" w:hAnsi="Times New Roman" w:cs="Times New Roman"/>
          <w:color w:val="auto"/>
          <w:sz w:val="28"/>
          <w:szCs w:val="28"/>
          <w:lang w:eastAsia="ru-RU"/>
        </w:rPr>
      </w:pPr>
    </w:p>
    <w:p w14:paraId="011E8CE7" w14:textId="77777777" w:rsidR="00771E96" w:rsidRPr="00771E96" w:rsidRDefault="00771E96" w:rsidP="00771E96">
      <w:pPr>
        <w:suppressAutoHyphens w:val="0"/>
        <w:overflowPunct w:val="0"/>
        <w:spacing w:after="0" w:line="240" w:lineRule="auto"/>
        <w:ind w:firstLine="567"/>
        <w:jc w:val="center"/>
        <w:rPr>
          <w:rFonts w:ascii="Times New Roman" w:hAnsi="Times New Roman" w:cs="Times New Roman"/>
          <w:b/>
          <w:color w:val="auto"/>
          <w:kern w:val="2"/>
          <w:sz w:val="28"/>
          <w:szCs w:val="28"/>
          <w:lang w:eastAsia="ru-RU"/>
        </w:rPr>
      </w:pPr>
      <w:r w:rsidRPr="00771E96">
        <w:rPr>
          <w:rFonts w:ascii="Times New Roman" w:hAnsi="Times New Roman" w:cs="Times New Roman"/>
          <w:b/>
          <w:color w:val="auto"/>
          <w:kern w:val="2"/>
          <w:sz w:val="28"/>
          <w:szCs w:val="28"/>
          <w:lang w:eastAsia="ru-RU"/>
        </w:rPr>
        <w:t>1</w:t>
      </w:r>
      <w:r>
        <w:rPr>
          <w:rFonts w:ascii="Times New Roman" w:hAnsi="Times New Roman" w:cs="Times New Roman"/>
          <w:b/>
          <w:color w:val="auto"/>
          <w:kern w:val="2"/>
          <w:sz w:val="28"/>
          <w:szCs w:val="28"/>
          <w:lang w:eastAsia="ru-RU"/>
        </w:rPr>
        <w:t>0</w:t>
      </w:r>
      <w:r w:rsidRPr="00771E96">
        <w:rPr>
          <w:rFonts w:ascii="Times New Roman" w:hAnsi="Times New Roman" w:cs="Times New Roman"/>
          <w:b/>
          <w:color w:val="auto"/>
          <w:kern w:val="2"/>
          <w:sz w:val="28"/>
          <w:szCs w:val="28"/>
          <w:lang w:eastAsia="ru-RU"/>
        </w:rPr>
        <w:t>. Громадське обговорення</w:t>
      </w:r>
    </w:p>
    <w:p w14:paraId="0C10187E" w14:textId="77777777" w:rsidR="00771E96" w:rsidRPr="00771E96" w:rsidRDefault="00771E96" w:rsidP="00771E96">
      <w:pPr>
        <w:overflowPunct w:val="0"/>
        <w:spacing w:after="0" w:line="240" w:lineRule="auto"/>
        <w:ind w:firstLine="567"/>
        <w:jc w:val="both"/>
        <w:textAlignment w:val="baseline"/>
        <w:rPr>
          <w:rFonts w:ascii="Times New Roman" w:hAnsi="Times New Roman" w:cs="Times New Roman"/>
          <w:color w:val="auto"/>
          <w:kern w:val="2"/>
          <w:sz w:val="28"/>
          <w:szCs w:val="28"/>
          <w:lang w:eastAsia="ru-RU"/>
        </w:rPr>
      </w:pPr>
      <w:r w:rsidRPr="00771E96">
        <w:rPr>
          <w:rFonts w:ascii="Times New Roman" w:hAnsi="Times New Roman" w:cs="Times New Roman"/>
          <w:color w:val="auto"/>
          <w:kern w:val="2"/>
          <w:sz w:val="28"/>
          <w:szCs w:val="28"/>
          <w:lang w:eastAsia="ru-RU"/>
        </w:rPr>
        <w:t>Проєкт рішення не потребує громадського обговорення.</w:t>
      </w:r>
    </w:p>
    <w:p w14:paraId="60885172" w14:textId="77777777" w:rsidR="00771E96" w:rsidRPr="00771E96" w:rsidRDefault="00771E96" w:rsidP="00771E96">
      <w:pPr>
        <w:overflowPunct w:val="0"/>
        <w:spacing w:after="0" w:line="240" w:lineRule="auto"/>
        <w:ind w:firstLine="567"/>
        <w:jc w:val="both"/>
        <w:textAlignment w:val="baseline"/>
        <w:rPr>
          <w:rFonts w:ascii="Times New Roman" w:hAnsi="Times New Roman" w:cs="Times New Roman"/>
          <w:color w:val="auto"/>
          <w:kern w:val="2"/>
          <w:sz w:val="28"/>
          <w:szCs w:val="28"/>
          <w:lang w:eastAsia="ru-RU"/>
        </w:rPr>
      </w:pPr>
    </w:p>
    <w:p w14:paraId="68A9662E" w14:textId="77777777" w:rsidR="00072812" w:rsidRDefault="00072812" w:rsidP="00771E96">
      <w:pPr>
        <w:overflowPunct w:val="0"/>
        <w:spacing w:after="0" w:line="240" w:lineRule="auto"/>
        <w:ind w:firstLine="567"/>
        <w:jc w:val="center"/>
        <w:textAlignment w:val="baseline"/>
        <w:rPr>
          <w:rFonts w:ascii="Times New Roman" w:hAnsi="Times New Roman" w:cs="Times New Roman"/>
          <w:b/>
          <w:color w:val="auto"/>
          <w:kern w:val="2"/>
          <w:sz w:val="28"/>
          <w:szCs w:val="28"/>
          <w:lang w:eastAsia="ru-RU"/>
        </w:rPr>
      </w:pPr>
    </w:p>
    <w:p w14:paraId="45C1DA1D" w14:textId="77777777" w:rsidR="00072812" w:rsidRDefault="00072812" w:rsidP="00771E96">
      <w:pPr>
        <w:overflowPunct w:val="0"/>
        <w:spacing w:after="0" w:line="240" w:lineRule="auto"/>
        <w:ind w:firstLine="567"/>
        <w:jc w:val="center"/>
        <w:textAlignment w:val="baseline"/>
        <w:rPr>
          <w:rFonts w:ascii="Times New Roman" w:hAnsi="Times New Roman" w:cs="Times New Roman"/>
          <w:b/>
          <w:color w:val="auto"/>
          <w:kern w:val="2"/>
          <w:sz w:val="28"/>
          <w:szCs w:val="28"/>
          <w:lang w:eastAsia="ru-RU"/>
        </w:rPr>
      </w:pPr>
    </w:p>
    <w:p w14:paraId="38D9577D" w14:textId="77777777" w:rsidR="00771E96" w:rsidRDefault="00771E96" w:rsidP="00771E96">
      <w:pPr>
        <w:overflowPunct w:val="0"/>
        <w:spacing w:after="0" w:line="240" w:lineRule="auto"/>
        <w:ind w:firstLine="567"/>
        <w:jc w:val="center"/>
        <w:textAlignment w:val="baseline"/>
        <w:rPr>
          <w:rFonts w:ascii="Times New Roman" w:hAnsi="Times New Roman" w:cs="Times New Roman"/>
          <w:b/>
          <w:color w:val="auto"/>
          <w:kern w:val="2"/>
          <w:sz w:val="28"/>
          <w:szCs w:val="28"/>
          <w:lang w:eastAsia="ru-RU"/>
        </w:rPr>
      </w:pPr>
      <w:r w:rsidRPr="00771E96">
        <w:rPr>
          <w:rFonts w:ascii="Times New Roman" w:hAnsi="Times New Roman" w:cs="Times New Roman"/>
          <w:b/>
          <w:color w:val="auto"/>
          <w:kern w:val="2"/>
          <w:sz w:val="28"/>
          <w:szCs w:val="28"/>
          <w:lang w:eastAsia="ru-RU"/>
        </w:rPr>
        <w:lastRenderedPageBreak/>
        <w:t>1</w:t>
      </w:r>
      <w:r>
        <w:rPr>
          <w:rFonts w:ascii="Times New Roman" w:hAnsi="Times New Roman" w:cs="Times New Roman"/>
          <w:b/>
          <w:color w:val="auto"/>
          <w:kern w:val="2"/>
          <w:sz w:val="28"/>
          <w:szCs w:val="28"/>
          <w:lang w:eastAsia="ru-RU"/>
        </w:rPr>
        <w:t>1</w:t>
      </w:r>
      <w:r w:rsidRPr="00771E96">
        <w:rPr>
          <w:rFonts w:ascii="Times New Roman" w:hAnsi="Times New Roman" w:cs="Times New Roman"/>
          <w:b/>
          <w:color w:val="auto"/>
          <w:kern w:val="2"/>
          <w:sz w:val="28"/>
          <w:szCs w:val="28"/>
          <w:lang w:eastAsia="ru-RU"/>
        </w:rPr>
        <w:t>.  Суб’єкт подання проєкту рішення.</w:t>
      </w:r>
    </w:p>
    <w:p w14:paraId="04FE1ECB" w14:textId="77777777" w:rsidR="00072812" w:rsidRPr="00771E96" w:rsidRDefault="00072812" w:rsidP="00771E96">
      <w:pPr>
        <w:overflowPunct w:val="0"/>
        <w:spacing w:after="0" w:line="240" w:lineRule="auto"/>
        <w:ind w:firstLine="567"/>
        <w:jc w:val="center"/>
        <w:textAlignment w:val="baseline"/>
        <w:rPr>
          <w:rFonts w:ascii="Times New Roman" w:hAnsi="Times New Roman" w:cs="Times New Roman"/>
          <w:b/>
          <w:color w:val="auto"/>
          <w:kern w:val="2"/>
          <w:sz w:val="28"/>
          <w:szCs w:val="28"/>
          <w:lang w:eastAsia="ru-RU"/>
        </w:rPr>
      </w:pPr>
    </w:p>
    <w:p w14:paraId="23F0170F" w14:textId="77777777" w:rsidR="00771E96" w:rsidRPr="00771E96" w:rsidRDefault="00771E96" w:rsidP="00771E96">
      <w:pPr>
        <w:shd w:val="clear" w:color="auto" w:fill="FFFFFF"/>
        <w:suppressAutoHyphens w:val="0"/>
        <w:spacing w:after="0" w:line="240" w:lineRule="auto"/>
        <w:ind w:right="-142" w:firstLine="567"/>
        <w:jc w:val="both"/>
        <w:rPr>
          <w:rFonts w:ascii="Times New Roman" w:eastAsia="Times New Roman" w:hAnsi="Times New Roman" w:cs="Times New Roman"/>
          <w:color w:val="auto"/>
          <w:sz w:val="28"/>
          <w:szCs w:val="28"/>
          <w:lang w:eastAsia="ru-RU"/>
        </w:rPr>
      </w:pPr>
      <w:r w:rsidRPr="00771E96">
        <w:rPr>
          <w:rFonts w:ascii="Times New Roman" w:eastAsia="Times New Roman" w:hAnsi="Times New Roman" w:cs="Times New Roman"/>
          <w:color w:val="auto"/>
          <w:sz w:val="28"/>
          <w:szCs w:val="28"/>
          <w:lang w:eastAsia="ru-RU"/>
        </w:rPr>
        <w:t>Суб’єктом подання проєкту рішення є постійна комісія Київської міської ради з питань житлово-комунального господарства та паливно-енергетичного комплексу, депутати Київської міської ради члени -  постійної комісії Київської міської ради з питань житлово-комунального господарства та паливно-енергетичного комплексу.</w:t>
      </w:r>
    </w:p>
    <w:p w14:paraId="4CB14E99" w14:textId="77777777" w:rsidR="00771E96" w:rsidRPr="00771E96" w:rsidRDefault="00771E96" w:rsidP="00771E96">
      <w:pPr>
        <w:tabs>
          <w:tab w:val="left" w:pos="567"/>
        </w:tabs>
        <w:suppressAutoHyphens w:val="0"/>
        <w:spacing w:after="0" w:line="240" w:lineRule="auto"/>
        <w:ind w:firstLine="567"/>
        <w:jc w:val="both"/>
        <w:rPr>
          <w:rFonts w:ascii="Times New Roman" w:hAnsi="Times New Roman" w:cs="Times New Roman"/>
          <w:color w:val="auto"/>
          <w:sz w:val="28"/>
          <w:szCs w:val="28"/>
          <w:lang w:eastAsia="ru-RU"/>
        </w:rPr>
      </w:pPr>
      <w:r w:rsidRPr="00771E96">
        <w:rPr>
          <w:rFonts w:ascii="Times New Roman" w:eastAsia="Times New Roman" w:hAnsi="Times New Roman" w:cs="Times New Roman"/>
          <w:color w:val="auto"/>
          <w:sz w:val="28"/>
          <w:szCs w:val="28"/>
          <w:lang w:eastAsia="uk-UA"/>
        </w:rPr>
        <w:t>Відповідальним за супроводження проєкту рішення та доповідачем на всіх стадіях розгляду та пленарному засіданні Київської міської ради є  голова постійної комісії Київської міської ради з питань житлово-комунального господарства та паливно-енергетичного комплексу Бродський Олександр Якович, к.т. 202-73-11,  співдоповідачем є голова правління - генеральний директор ПрАТ «АК «Київводоканал» Лисюк Олег Володимирович.</w:t>
      </w:r>
    </w:p>
    <w:p w14:paraId="49212D9B" w14:textId="77777777" w:rsidR="00771E96" w:rsidRPr="00771E96" w:rsidRDefault="00771E96" w:rsidP="00771E96">
      <w:pPr>
        <w:suppressAutoHyphens w:val="0"/>
        <w:spacing w:after="0" w:line="240" w:lineRule="auto"/>
        <w:jc w:val="both"/>
        <w:rPr>
          <w:rFonts w:ascii="Times New Roman" w:hAnsi="Times New Roman" w:cs="Times New Roman"/>
          <w:color w:val="auto"/>
          <w:sz w:val="28"/>
          <w:szCs w:val="28"/>
          <w:lang w:eastAsia="ru-RU"/>
        </w:rPr>
      </w:pPr>
    </w:p>
    <w:p w14:paraId="18DF6DF9" w14:textId="77777777" w:rsidR="00771E96" w:rsidRPr="00771E96" w:rsidRDefault="00771E96" w:rsidP="00771E96">
      <w:pPr>
        <w:suppressAutoHyphens w:val="0"/>
        <w:spacing w:after="0" w:line="240" w:lineRule="auto"/>
        <w:jc w:val="both"/>
        <w:rPr>
          <w:rFonts w:ascii="Times New Roman" w:hAnsi="Times New Roman" w:cs="Times New Roman"/>
          <w:color w:val="auto"/>
          <w:sz w:val="28"/>
          <w:szCs w:val="28"/>
          <w:lang w:eastAsia="ru-RU"/>
        </w:rPr>
      </w:pPr>
    </w:p>
    <w:p w14:paraId="4E8ABB0E" w14:textId="77777777" w:rsidR="00771E96" w:rsidRPr="00771E96" w:rsidRDefault="00771E96" w:rsidP="00771E96">
      <w:pPr>
        <w:suppressAutoHyphens w:val="0"/>
        <w:spacing w:after="0" w:line="240" w:lineRule="auto"/>
        <w:jc w:val="both"/>
        <w:rPr>
          <w:rFonts w:ascii="Times New Roman" w:hAnsi="Times New Roman" w:cs="Times New Roman"/>
          <w:color w:val="auto"/>
          <w:sz w:val="28"/>
          <w:szCs w:val="28"/>
          <w:lang w:eastAsia="ru-RU"/>
        </w:rPr>
      </w:pPr>
      <w:r w:rsidRPr="00771E96">
        <w:rPr>
          <w:rFonts w:ascii="Times New Roman" w:hAnsi="Times New Roman" w:cs="Times New Roman"/>
          <w:color w:val="auto"/>
          <w:sz w:val="28"/>
          <w:szCs w:val="28"/>
          <w:lang w:eastAsia="ru-RU"/>
        </w:rPr>
        <w:t>Постійна комісія Київської міської ради</w:t>
      </w:r>
      <w:r w:rsidRPr="00771E96">
        <w:rPr>
          <w:rFonts w:ascii="Times New Roman" w:hAnsi="Times New Roman" w:cs="Times New Roman"/>
          <w:color w:val="auto"/>
          <w:sz w:val="28"/>
          <w:szCs w:val="28"/>
          <w:lang w:eastAsia="ru-RU"/>
        </w:rPr>
        <w:tab/>
      </w:r>
      <w:r w:rsidRPr="00771E96">
        <w:rPr>
          <w:rFonts w:ascii="Times New Roman" w:hAnsi="Times New Roman" w:cs="Times New Roman"/>
          <w:color w:val="auto"/>
          <w:sz w:val="28"/>
          <w:szCs w:val="28"/>
          <w:lang w:eastAsia="ru-RU"/>
        </w:rPr>
        <w:tab/>
      </w:r>
      <w:r w:rsidRPr="00771E96">
        <w:rPr>
          <w:rFonts w:ascii="Times New Roman" w:hAnsi="Times New Roman" w:cs="Times New Roman"/>
          <w:color w:val="auto"/>
          <w:sz w:val="28"/>
          <w:szCs w:val="28"/>
          <w:lang w:eastAsia="ru-RU"/>
        </w:rPr>
        <w:tab/>
      </w:r>
    </w:p>
    <w:p w14:paraId="3B36DA82" w14:textId="77777777" w:rsidR="00771E96" w:rsidRPr="00771E96" w:rsidRDefault="00771E96" w:rsidP="00771E96">
      <w:pPr>
        <w:suppressAutoHyphens w:val="0"/>
        <w:spacing w:after="0" w:line="240" w:lineRule="auto"/>
        <w:jc w:val="both"/>
        <w:rPr>
          <w:rFonts w:ascii="Times New Roman" w:hAnsi="Times New Roman" w:cs="Times New Roman"/>
          <w:color w:val="auto"/>
          <w:sz w:val="28"/>
          <w:szCs w:val="28"/>
          <w:lang w:eastAsia="ru-RU"/>
        </w:rPr>
      </w:pPr>
      <w:r w:rsidRPr="00771E96">
        <w:rPr>
          <w:rFonts w:ascii="Times New Roman" w:hAnsi="Times New Roman" w:cs="Times New Roman"/>
          <w:color w:val="auto"/>
          <w:sz w:val="28"/>
          <w:szCs w:val="28"/>
          <w:lang w:eastAsia="ru-RU"/>
        </w:rPr>
        <w:t xml:space="preserve">з питань житлово-комунального господарства </w:t>
      </w:r>
    </w:p>
    <w:p w14:paraId="42697F93" w14:textId="77777777" w:rsidR="00771E96" w:rsidRPr="00771E96" w:rsidRDefault="00771E96" w:rsidP="00771E96">
      <w:pPr>
        <w:suppressAutoHyphens w:val="0"/>
        <w:spacing w:after="0" w:line="240" w:lineRule="auto"/>
        <w:jc w:val="both"/>
        <w:rPr>
          <w:rFonts w:ascii="Times New Roman" w:hAnsi="Times New Roman" w:cs="Times New Roman"/>
          <w:color w:val="auto"/>
          <w:sz w:val="28"/>
          <w:szCs w:val="28"/>
          <w:lang w:eastAsia="ru-RU"/>
        </w:rPr>
      </w:pPr>
      <w:r w:rsidRPr="00771E96">
        <w:rPr>
          <w:rFonts w:ascii="Times New Roman" w:hAnsi="Times New Roman" w:cs="Times New Roman"/>
          <w:color w:val="auto"/>
          <w:sz w:val="28"/>
          <w:szCs w:val="28"/>
          <w:lang w:eastAsia="ru-RU"/>
        </w:rPr>
        <w:t>та паливно-енергетичного комплексу,</w:t>
      </w:r>
    </w:p>
    <w:p w14:paraId="644FF5C7" w14:textId="77777777" w:rsidR="00771E96" w:rsidRPr="00771E96" w:rsidRDefault="00771E96" w:rsidP="00771E96">
      <w:pPr>
        <w:suppressAutoHyphens w:val="0"/>
        <w:spacing w:after="0" w:line="240" w:lineRule="auto"/>
        <w:jc w:val="both"/>
        <w:rPr>
          <w:rFonts w:ascii="Times New Roman" w:hAnsi="Times New Roman" w:cs="Times New Roman"/>
          <w:color w:val="auto"/>
          <w:sz w:val="28"/>
          <w:szCs w:val="28"/>
          <w:lang w:eastAsia="ru-RU"/>
        </w:rPr>
      </w:pPr>
      <w:r w:rsidRPr="00771E96">
        <w:rPr>
          <w:rFonts w:ascii="Times New Roman" w:hAnsi="Times New Roman" w:cs="Times New Roman"/>
          <w:color w:val="auto"/>
          <w:sz w:val="28"/>
          <w:szCs w:val="28"/>
          <w:lang w:eastAsia="ru-RU"/>
        </w:rPr>
        <w:t>депутати Київської міської ради:</w:t>
      </w:r>
    </w:p>
    <w:p w14:paraId="6A94C927" w14:textId="77777777" w:rsidR="00771E96" w:rsidRPr="00771E96" w:rsidRDefault="00771E96" w:rsidP="00771E96">
      <w:pPr>
        <w:suppressAutoHyphens w:val="0"/>
        <w:spacing w:after="0" w:line="240" w:lineRule="auto"/>
        <w:jc w:val="both"/>
        <w:rPr>
          <w:rFonts w:ascii="Times New Roman" w:hAnsi="Times New Roman" w:cs="Times New Roman"/>
          <w:color w:val="auto"/>
          <w:sz w:val="28"/>
          <w:szCs w:val="28"/>
          <w:lang w:eastAsia="ru-RU"/>
        </w:rPr>
      </w:pPr>
      <w:r w:rsidRPr="00771E96">
        <w:rPr>
          <w:rFonts w:ascii="Times New Roman" w:hAnsi="Times New Roman" w:cs="Times New Roman"/>
          <w:color w:val="auto"/>
          <w:sz w:val="28"/>
          <w:szCs w:val="28"/>
          <w:lang w:eastAsia="ru-RU"/>
        </w:rPr>
        <w:t xml:space="preserve">Голова постійної комісії                                       </w:t>
      </w:r>
      <w:r w:rsidRPr="00771E96">
        <w:rPr>
          <w:rFonts w:ascii="Times New Roman" w:hAnsi="Times New Roman" w:cs="Times New Roman"/>
          <w:color w:val="auto"/>
          <w:sz w:val="28"/>
          <w:szCs w:val="28"/>
          <w:lang w:val="ru-RU" w:eastAsia="ru-RU"/>
        </w:rPr>
        <w:t xml:space="preserve"> </w:t>
      </w:r>
      <w:r w:rsidRPr="00771E96">
        <w:rPr>
          <w:rFonts w:ascii="Times New Roman" w:hAnsi="Times New Roman" w:cs="Times New Roman"/>
          <w:color w:val="auto"/>
          <w:sz w:val="28"/>
          <w:szCs w:val="28"/>
          <w:lang w:eastAsia="ru-RU"/>
        </w:rPr>
        <w:t xml:space="preserve">          Олександр БРОДСЬКИЙ</w:t>
      </w:r>
    </w:p>
    <w:p w14:paraId="68F5D2A7" w14:textId="77777777" w:rsidR="00771E96" w:rsidRPr="00771E96" w:rsidRDefault="00771E96" w:rsidP="00771E96">
      <w:pPr>
        <w:suppressAutoHyphens w:val="0"/>
        <w:spacing w:after="0" w:line="240" w:lineRule="auto"/>
        <w:jc w:val="both"/>
        <w:rPr>
          <w:rFonts w:ascii="Times New Roman" w:hAnsi="Times New Roman" w:cs="Times New Roman"/>
          <w:color w:val="auto"/>
          <w:sz w:val="28"/>
          <w:szCs w:val="28"/>
          <w:lang w:eastAsia="ru-RU"/>
        </w:rPr>
      </w:pPr>
      <w:r w:rsidRPr="00771E96">
        <w:rPr>
          <w:rFonts w:ascii="Times New Roman" w:hAnsi="Times New Roman" w:cs="Times New Roman"/>
          <w:color w:val="auto"/>
          <w:sz w:val="28"/>
          <w:szCs w:val="28"/>
          <w:lang w:eastAsia="ru-RU"/>
        </w:rPr>
        <w:t xml:space="preserve">Секретар постійної комісії                                       </w:t>
      </w:r>
      <w:r w:rsidRPr="00771E96">
        <w:rPr>
          <w:rFonts w:ascii="Times New Roman" w:hAnsi="Times New Roman" w:cs="Times New Roman"/>
          <w:color w:val="auto"/>
          <w:sz w:val="28"/>
          <w:szCs w:val="28"/>
          <w:lang w:val="ru-RU" w:eastAsia="ru-RU"/>
        </w:rPr>
        <w:t xml:space="preserve"> </w:t>
      </w:r>
      <w:r w:rsidRPr="00771E96">
        <w:rPr>
          <w:rFonts w:ascii="Times New Roman" w:hAnsi="Times New Roman" w:cs="Times New Roman"/>
          <w:color w:val="auto"/>
          <w:sz w:val="28"/>
          <w:szCs w:val="28"/>
          <w:lang w:eastAsia="ru-RU"/>
        </w:rPr>
        <w:t xml:space="preserve">            Тарас КРИВОРУЧКО</w:t>
      </w:r>
    </w:p>
    <w:p w14:paraId="2EDA591A" w14:textId="77777777" w:rsidR="00771E96" w:rsidRPr="00771E96" w:rsidRDefault="00771E96" w:rsidP="00771E96">
      <w:pPr>
        <w:suppressAutoHyphens w:val="0"/>
        <w:spacing w:after="0" w:line="240" w:lineRule="auto"/>
        <w:jc w:val="both"/>
        <w:rPr>
          <w:rFonts w:ascii="Times New Roman" w:hAnsi="Times New Roman" w:cs="Times New Roman"/>
          <w:color w:val="auto"/>
          <w:sz w:val="28"/>
          <w:szCs w:val="28"/>
          <w:lang w:eastAsia="ru-RU"/>
        </w:rPr>
      </w:pPr>
      <w:r w:rsidRPr="00771E96">
        <w:rPr>
          <w:rFonts w:ascii="Times New Roman" w:hAnsi="Times New Roman" w:cs="Times New Roman"/>
          <w:color w:val="auto"/>
          <w:sz w:val="28"/>
          <w:szCs w:val="28"/>
          <w:lang w:eastAsia="ru-RU"/>
        </w:rPr>
        <w:t>Перший заступник голови постійної комісії                          Юрій ТИХОНОВИЧ</w:t>
      </w:r>
    </w:p>
    <w:p w14:paraId="0998F977" w14:textId="77777777" w:rsidR="00771E96" w:rsidRPr="00771E96" w:rsidRDefault="00771E96" w:rsidP="00771E96">
      <w:pPr>
        <w:suppressAutoHyphens w:val="0"/>
        <w:spacing w:after="0" w:line="240" w:lineRule="auto"/>
        <w:rPr>
          <w:rFonts w:ascii="Times New Roman" w:hAnsi="Times New Roman" w:cs="Times New Roman"/>
          <w:color w:val="auto"/>
          <w:sz w:val="28"/>
          <w:szCs w:val="28"/>
          <w:lang w:eastAsia="ru-RU"/>
        </w:rPr>
      </w:pPr>
      <w:r w:rsidRPr="00771E96">
        <w:rPr>
          <w:rFonts w:ascii="Times New Roman" w:hAnsi="Times New Roman" w:cs="Times New Roman"/>
          <w:color w:val="auto"/>
          <w:sz w:val="28"/>
          <w:szCs w:val="28"/>
          <w:lang w:eastAsia="ru-RU"/>
        </w:rPr>
        <w:t>Член постійної комісії                                                                 Олександр ПОПОВ</w:t>
      </w:r>
    </w:p>
    <w:p w14:paraId="4CA6F47D" w14:textId="77777777" w:rsidR="00771E96" w:rsidRPr="00771E96" w:rsidRDefault="00771E96" w:rsidP="00771E96">
      <w:pPr>
        <w:suppressAutoHyphens w:val="0"/>
        <w:spacing w:after="0" w:line="240" w:lineRule="auto"/>
        <w:rPr>
          <w:rFonts w:ascii="Times New Roman" w:eastAsia="Times New Roman" w:hAnsi="Times New Roman" w:cs="Times New Roman"/>
          <w:color w:val="auto"/>
          <w:sz w:val="28"/>
          <w:szCs w:val="28"/>
          <w:lang w:eastAsia="ru-RU"/>
        </w:rPr>
      </w:pPr>
      <w:r w:rsidRPr="00771E96">
        <w:rPr>
          <w:rFonts w:ascii="Times New Roman" w:hAnsi="Times New Roman" w:cs="Times New Roman"/>
          <w:color w:val="auto"/>
          <w:sz w:val="28"/>
          <w:szCs w:val="28"/>
          <w:lang w:eastAsia="ru-RU"/>
        </w:rPr>
        <w:t>Член постійної комісії</w:t>
      </w:r>
      <w:r w:rsidRPr="00771E96">
        <w:rPr>
          <w:rFonts w:ascii="Times New Roman" w:hAnsi="Times New Roman" w:cs="Times New Roman"/>
          <w:color w:val="auto"/>
          <w:sz w:val="27"/>
          <w:szCs w:val="27"/>
          <w:lang w:eastAsia="ru-RU"/>
        </w:rPr>
        <w:t xml:space="preserve">                                                     </w:t>
      </w:r>
      <w:r w:rsidRPr="00771E96">
        <w:rPr>
          <w:rFonts w:ascii="Times New Roman" w:hAnsi="Times New Roman" w:cs="Times New Roman"/>
          <w:color w:val="auto"/>
          <w:sz w:val="27"/>
          <w:szCs w:val="27"/>
          <w:lang w:val="ru-RU" w:eastAsia="ru-RU"/>
        </w:rPr>
        <w:t xml:space="preserve">                            </w:t>
      </w:r>
      <w:r w:rsidRPr="00771E96">
        <w:rPr>
          <w:rFonts w:ascii="Times New Roman" w:hAnsi="Times New Roman" w:cs="Times New Roman"/>
          <w:color w:val="auto"/>
          <w:sz w:val="28"/>
          <w:szCs w:val="28"/>
          <w:lang w:eastAsia="ru-RU"/>
        </w:rPr>
        <w:t>Ігор ШПАК</w:t>
      </w:r>
    </w:p>
    <w:p w14:paraId="3BFE4A55" w14:textId="77777777" w:rsidR="00771E96" w:rsidRPr="00771E96" w:rsidRDefault="00771E96" w:rsidP="00771E96">
      <w:pPr>
        <w:suppressAutoHyphens w:val="0"/>
        <w:spacing w:after="0" w:line="240" w:lineRule="auto"/>
        <w:rPr>
          <w:rFonts w:ascii="Times New Roman" w:eastAsia="Times New Roman" w:hAnsi="Times New Roman" w:cs="Times New Roman"/>
          <w:color w:val="auto"/>
          <w:sz w:val="26"/>
          <w:szCs w:val="26"/>
          <w:lang w:eastAsia="ru-RU"/>
        </w:rPr>
      </w:pPr>
    </w:p>
    <w:p w14:paraId="25768070" w14:textId="77777777" w:rsidR="00771E96" w:rsidRPr="00771E96" w:rsidRDefault="00771E96" w:rsidP="00771E96">
      <w:pPr>
        <w:suppressAutoHyphens w:val="0"/>
        <w:spacing w:after="0" w:line="240" w:lineRule="auto"/>
        <w:rPr>
          <w:rFonts w:ascii="Times New Roman" w:eastAsia="Times New Roman" w:hAnsi="Times New Roman" w:cs="Times New Roman"/>
          <w:color w:val="auto"/>
          <w:sz w:val="28"/>
          <w:szCs w:val="28"/>
          <w:lang w:eastAsia="ru-RU"/>
        </w:rPr>
      </w:pPr>
    </w:p>
    <w:p w14:paraId="4E2A0F32" w14:textId="77777777" w:rsidR="00771E96" w:rsidRDefault="00771E96" w:rsidP="00262281">
      <w:pPr>
        <w:keepNext/>
        <w:tabs>
          <w:tab w:val="left" w:pos="0"/>
        </w:tabs>
        <w:suppressAutoHyphens w:val="0"/>
        <w:spacing w:after="0" w:line="240" w:lineRule="auto"/>
        <w:ind w:firstLine="567"/>
        <w:outlineLvl w:val="2"/>
        <w:rPr>
          <w:rFonts w:ascii="Times New Roman" w:eastAsia="Times New Roman" w:hAnsi="Times New Roman" w:cs="Times New Roman"/>
          <w:b/>
          <w:bCs/>
          <w:color w:val="auto"/>
          <w:sz w:val="28"/>
          <w:szCs w:val="28"/>
          <w:lang w:eastAsia="ru-RU"/>
        </w:rPr>
      </w:pPr>
    </w:p>
    <w:p w14:paraId="3E95C815" w14:textId="77777777" w:rsidR="00771E96" w:rsidRDefault="00771E96" w:rsidP="00262281">
      <w:pPr>
        <w:keepNext/>
        <w:tabs>
          <w:tab w:val="left" w:pos="0"/>
        </w:tabs>
        <w:suppressAutoHyphens w:val="0"/>
        <w:spacing w:after="0" w:line="240" w:lineRule="auto"/>
        <w:ind w:firstLine="567"/>
        <w:outlineLvl w:val="2"/>
        <w:rPr>
          <w:rFonts w:ascii="Times New Roman" w:eastAsia="Times New Roman" w:hAnsi="Times New Roman" w:cs="Times New Roman"/>
          <w:b/>
          <w:bCs/>
          <w:color w:val="auto"/>
          <w:sz w:val="28"/>
          <w:szCs w:val="28"/>
          <w:lang w:eastAsia="ru-RU"/>
        </w:rPr>
      </w:pPr>
    </w:p>
    <w:p w14:paraId="13299C15" w14:textId="77777777" w:rsidR="00771E96" w:rsidRDefault="00771E96" w:rsidP="00262281">
      <w:pPr>
        <w:keepNext/>
        <w:tabs>
          <w:tab w:val="left" w:pos="0"/>
        </w:tabs>
        <w:suppressAutoHyphens w:val="0"/>
        <w:spacing w:after="0" w:line="240" w:lineRule="auto"/>
        <w:ind w:firstLine="567"/>
        <w:outlineLvl w:val="2"/>
        <w:rPr>
          <w:rFonts w:ascii="Times New Roman" w:eastAsia="Times New Roman" w:hAnsi="Times New Roman" w:cs="Times New Roman"/>
          <w:b/>
          <w:bCs/>
          <w:color w:val="auto"/>
          <w:sz w:val="28"/>
          <w:szCs w:val="28"/>
          <w:lang w:eastAsia="ru-RU"/>
        </w:rPr>
      </w:pPr>
    </w:p>
    <w:p w14:paraId="3E558BEC" w14:textId="77777777" w:rsidR="00771E96" w:rsidRDefault="00771E96" w:rsidP="00262281">
      <w:pPr>
        <w:keepNext/>
        <w:tabs>
          <w:tab w:val="left" w:pos="0"/>
        </w:tabs>
        <w:suppressAutoHyphens w:val="0"/>
        <w:spacing w:after="0" w:line="240" w:lineRule="auto"/>
        <w:ind w:firstLine="567"/>
        <w:outlineLvl w:val="2"/>
        <w:rPr>
          <w:rFonts w:ascii="Times New Roman" w:eastAsia="Times New Roman" w:hAnsi="Times New Roman" w:cs="Times New Roman"/>
          <w:b/>
          <w:bCs/>
          <w:color w:val="auto"/>
          <w:sz w:val="28"/>
          <w:szCs w:val="28"/>
          <w:lang w:eastAsia="ru-RU"/>
        </w:rPr>
      </w:pPr>
    </w:p>
    <w:p w14:paraId="72E5C2B6" w14:textId="77777777" w:rsidR="00771E96" w:rsidRDefault="00771E96" w:rsidP="00262281">
      <w:pPr>
        <w:keepNext/>
        <w:tabs>
          <w:tab w:val="left" w:pos="0"/>
        </w:tabs>
        <w:suppressAutoHyphens w:val="0"/>
        <w:spacing w:after="0" w:line="240" w:lineRule="auto"/>
        <w:ind w:firstLine="567"/>
        <w:outlineLvl w:val="2"/>
        <w:rPr>
          <w:rFonts w:ascii="Times New Roman" w:eastAsia="Times New Roman" w:hAnsi="Times New Roman" w:cs="Times New Roman"/>
          <w:b/>
          <w:bCs/>
          <w:color w:val="auto"/>
          <w:sz w:val="28"/>
          <w:szCs w:val="28"/>
          <w:lang w:eastAsia="ru-RU"/>
        </w:rPr>
      </w:pPr>
    </w:p>
    <w:p w14:paraId="736BA21F" w14:textId="77777777" w:rsidR="00771E96" w:rsidRDefault="00771E96" w:rsidP="00262281">
      <w:pPr>
        <w:keepNext/>
        <w:tabs>
          <w:tab w:val="left" w:pos="0"/>
        </w:tabs>
        <w:suppressAutoHyphens w:val="0"/>
        <w:spacing w:after="0" w:line="240" w:lineRule="auto"/>
        <w:ind w:firstLine="567"/>
        <w:outlineLvl w:val="2"/>
        <w:rPr>
          <w:rFonts w:ascii="Times New Roman" w:eastAsia="Times New Roman" w:hAnsi="Times New Roman" w:cs="Times New Roman"/>
          <w:b/>
          <w:bCs/>
          <w:color w:val="auto"/>
          <w:sz w:val="28"/>
          <w:szCs w:val="28"/>
          <w:lang w:eastAsia="ru-RU"/>
        </w:rPr>
      </w:pPr>
    </w:p>
    <w:p w14:paraId="03376F95" w14:textId="77777777" w:rsidR="00771E96" w:rsidRDefault="00771E96" w:rsidP="00262281">
      <w:pPr>
        <w:keepNext/>
        <w:tabs>
          <w:tab w:val="left" w:pos="0"/>
        </w:tabs>
        <w:suppressAutoHyphens w:val="0"/>
        <w:spacing w:after="0" w:line="240" w:lineRule="auto"/>
        <w:ind w:firstLine="567"/>
        <w:outlineLvl w:val="2"/>
        <w:rPr>
          <w:rFonts w:ascii="Times New Roman" w:eastAsia="Times New Roman" w:hAnsi="Times New Roman" w:cs="Times New Roman"/>
          <w:b/>
          <w:bCs/>
          <w:color w:val="auto"/>
          <w:sz w:val="28"/>
          <w:szCs w:val="28"/>
          <w:lang w:eastAsia="ru-RU"/>
        </w:rPr>
      </w:pPr>
    </w:p>
    <w:p w14:paraId="00C06566" w14:textId="77777777" w:rsidR="00771E96" w:rsidRDefault="00771E96" w:rsidP="00262281">
      <w:pPr>
        <w:keepNext/>
        <w:tabs>
          <w:tab w:val="left" w:pos="0"/>
        </w:tabs>
        <w:suppressAutoHyphens w:val="0"/>
        <w:spacing w:after="0" w:line="240" w:lineRule="auto"/>
        <w:ind w:firstLine="567"/>
        <w:outlineLvl w:val="2"/>
        <w:rPr>
          <w:rFonts w:ascii="Times New Roman" w:eastAsia="Times New Roman" w:hAnsi="Times New Roman" w:cs="Times New Roman"/>
          <w:b/>
          <w:bCs/>
          <w:color w:val="auto"/>
          <w:sz w:val="28"/>
          <w:szCs w:val="28"/>
          <w:lang w:eastAsia="ru-RU"/>
        </w:rPr>
      </w:pPr>
    </w:p>
    <w:sectPr w:rsidR="00771E96" w:rsidSect="00072812">
      <w:headerReference w:type="even" r:id="rId7"/>
      <w:headerReference w:type="default" r:id="rId8"/>
      <w:pgSz w:w="11906" w:h="16838"/>
      <w:pgMar w:top="1134" w:right="567" w:bottom="1134" w:left="1701" w:header="284"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9D118" w14:textId="77777777" w:rsidR="00B4709A" w:rsidRDefault="00B4709A">
      <w:pPr>
        <w:spacing w:after="0" w:line="240" w:lineRule="auto"/>
      </w:pPr>
      <w:r>
        <w:separator/>
      </w:r>
    </w:p>
  </w:endnote>
  <w:endnote w:type="continuationSeparator" w:id="0">
    <w:p w14:paraId="2F5A2E73" w14:textId="77777777" w:rsidR="00B4709A" w:rsidRDefault="00B47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B9FE9" w14:textId="77777777" w:rsidR="00B4709A" w:rsidRDefault="00B4709A">
      <w:pPr>
        <w:spacing w:after="0" w:line="240" w:lineRule="auto"/>
      </w:pPr>
      <w:r>
        <w:separator/>
      </w:r>
    </w:p>
  </w:footnote>
  <w:footnote w:type="continuationSeparator" w:id="0">
    <w:p w14:paraId="0641B91C" w14:textId="77777777" w:rsidR="00B4709A" w:rsidRDefault="00B47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2D96D" w14:textId="77777777" w:rsidR="00000000" w:rsidRDefault="008336E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05EC1633" w14:textId="77777777" w:rsidR="00000000" w:rsidRDefault="000000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AC0E6" w14:textId="77777777" w:rsidR="00000000" w:rsidRDefault="008336ED" w:rsidP="00300A7B">
    <w:pPr>
      <w:pStyle w:val="a4"/>
      <w:jc w:val="center"/>
    </w:pPr>
    <w:r>
      <w:t xml:space="preserve">                                                                                                                                                                                      </w:t>
    </w:r>
  </w:p>
  <w:p w14:paraId="4D3711D8" w14:textId="77777777" w:rsidR="00000000" w:rsidRDefault="00000000" w:rsidP="00892B1C">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43D31"/>
    <w:multiLevelType w:val="hybridMultilevel"/>
    <w:tmpl w:val="90F0DE0A"/>
    <w:lvl w:ilvl="0" w:tplc="8C96F1B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90B035E"/>
    <w:multiLevelType w:val="hybridMultilevel"/>
    <w:tmpl w:val="A8068100"/>
    <w:lvl w:ilvl="0" w:tplc="7BFCF696">
      <w:start w:val="1"/>
      <w:numFmt w:val="decimal"/>
      <w:lvlText w:val="%1."/>
      <w:lvlJc w:val="left"/>
      <w:pPr>
        <w:ind w:left="2789" w:hanging="378"/>
      </w:pPr>
      <w:rPr>
        <w:rFonts w:hint="default"/>
        <w:w w:val="102"/>
        <w:position w:val="1"/>
        <w:lang w:val="uk-UA" w:eastAsia="en-US" w:bidi="ar-SA"/>
      </w:rPr>
    </w:lvl>
    <w:lvl w:ilvl="1" w:tplc="77E0694A">
      <w:numFmt w:val="bullet"/>
      <w:lvlText w:val="•"/>
      <w:lvlJc w:val="left"/>
      <w:pPr>
        <w:ind w:left="1844" w:hanging="378"/>
      </w:pPr>
      <w:rPr>
        <w:rFonts w:hint="default"/>
        <w:lang w:val="uk-UA" w:eastAsia="en-US" w:bidi="ar-SA"/>
      </w:rPr>
    </w:lvl>
    <w:lvl w:ilvl="2" w:tplc="9B36DCEE">
      <w:numFmt w:val="bullet"/>
      <w:lvlText w:val="•"/>
      <w:lvlJc w:val="left"/>
      <w:pPr>
        <w:ind w:left="2749" w:hanging="378"/>
      </w:pPr>
      <w:rPr>
        <w:rFonts w:hint="default"/>
        <w:lang w:val="uk-UA" w:eastAsia="en-US" w:bidi="ar-SA"/>
      </w:rPr>
    </w:lvl>
    <w:lvl w:ilvl="3" w:tplc="16AC468C">
      <w:numFmt w:val="bullet"/>
      <w:lvlText w:val="•"/>
      <w:lvlJc w:val="left"/>
      <w:pPr>
        <w:ind w:left="3653" w:hanging="378"/>
      </w:pPr>
      <w:rPr>
        <w:rFonts w:hint="default"/>
        <w:lang w:val="uk-UA" w:eastAsia="en-US" w:bidi="ar-SA"/>
      </w:rPr>
    </w:lvl>
    <w:lvl w:ilvl="4" w:tplc="D794CA8E">
      <w:numFmt w:val="bullet"/>
      <w:lvlText w:val="•"/>
      <w:lvlJc w:val="left"/>
      <w:pPr>
        <w:ind w:left="4558" w:hanging="378"/>
      </w:pPr>
      <w:rPr>
        <w:rFonts w:hint="default"/>
        <w:lang w:val="uk-UA" w:eastAsia="en-US" w:bidi="ar-SA"/>
      </w:rPr>
    </w:lvl>
    <w:lvl w:ilvl="5" w:tplc="65B8990A">
      <w:numFmt w:val="bullet"/>
      <w:lvlText w:val="•"/>
      <w:lvlJc w:val="left"/>
      <w:pPr>
        <w:ind w:left="5462" w:hanging="378"/>
      </w:pPr>
      <w:rPr>
        <w:rFonts w:hint="default"/>
        <w:lang w:val="uk-UA" w:eastAsia="en-US" w:bidi="ar-SA"/>
      </w:rPr>
    </w:lvl>
    <w:lvl w:ilvl="6" w:tplc="BCDCC39A">
      <w:numFmt w:val="bullet"/>
      <w:lvlText w:val="•"/>
      <w:lvlJc w:val="left"/>
      <w:pPr>
        <w:ind w:left="6367" w:hanging="378"/>
      </w:pPr>
      <w:rPr>
        <w:rFonts w:hint="default"/>
        <w:lang w:val="uk-UA" w:eastAsia="en-US" w:bidi="ar-SA"/>
      </w:rPr>
    </w:lvl>
    <w:lvl w:ilvl="7" w:tplc="76D0A9E0">
      <w:numFmt w:val="bullet"/>
      <w:lvlText w:val="•"/>
      <w:lvlJc w:val="left"/>
      <w:pPr>
        <w:ind w:left="7271" w:hanging="378"/>
      </w:pPr>
      <w:rPr>
        <w:rFonts w:hint="default"/>
        <w:lang w:val="uk-UA" w:eastAsia="en-US" w:bidi="ar-SA"/>
      </w:rPr>
    </w:lvl>
    <w:lvl w:ilvl="8" w:tplc="9F5042BE">
      <w:numFmt w:val="bullet"/>
      <w:lvlText w:val="•"/>
      <w:lvlJc w:val="left"/>
      <w:pPr>
        <w:ind w:left="8176" w:hanging="378"/>
      </w:pPr>
      <w:rPr>
        <w:rFonts w:hint="default"/>
        <w:lang w:val="uk-UA" w:eastAsia="en-US" w:bidi="ar-SA"/>
      </w:rPr>
    </w:lvl>
  </w:abstractNum>
  <w:num w:numId="1" w16cid:durableId="1395003136">
    <w:abstractNumId w:val="1"/>
    <w:lvlOverride w:ilvl="0">
      <w:startOverride w:val="1"/>
    </w:lvlOverride>
    <w:lvlOverride w:ilvl="1"/>
    <w:lvlOverride w:ilvl="2"/>
    <w:lvlOverride w:ilvl="3"/>
    <w:lvlOverride w:ilvl="4"/>
    <w:lvlOverride w:ilvl="5"/>
    <w:lvlOverride w:ilvl="6"/>
    <w:lvlOverride w:ilvl="7"/>
    <w:lvlOverride w:ilvl="8"/>
  </w:num>
  <w:num w:numId="2" w16cid:durableId="74206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81"/>
    <w:rsid w:val="00052263"/>
    <w:rsid w:val="00072812"/>
    <w:rsid w:val="000D1E0A"/>
    <w:rsid w:val="000E7232"/>
    <w:rsid w:val="001B191F"/>
    <w:rsid w:val="00262281"/>
    <w:rsid w:val="003726D0"/>
    <w:rsid w:val="005E192C"/>
    <w:rsid w:val="00771E96"/>
    <w:rsid w:val="008336ED"/>
    <w:rsid w:val="008F127B"/>
    <w:rsid w:val="00AA2E1C"/>
    <w:rsid w:val="00B4709A"/>
    <w:rsid w:val="00C333CC"/>
    <w:rsid w:val="00D06077"/>
    <w:rsid w:val="00D845F5"/>
    <w:rsid w:val="00F17A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315E"/>
  <w15:chartTrackingRefBased/>
  <w15:docId w15:val="{0ADAAA11-E0EF-4EAF-B6BE-1004F9E84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232"/>
    <w:pPr>
      <w:suppressAutoHyphens/>
      <w:spacing w:after="200" w:line="276" w:lineRule="auto"/>
    </w:pPr>
    <w:rPr>
      <w:color w:val="00000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7232"/>
    <w:pPr>
      <w:suppressAutoHyphens/>
    </w:pPr>
    <w:rPr>
      <w:color w:val="00000A"/>
      <w:sz w:val="22"/>
      <w:szCs w:val="22"/>
    </w:rPr>
  </w:style>
  <w:style w:type="paragraph" w:styleId="a4">
    <w:name w:val="header"/>
    <w:basedOn w:val="a"/>
    <w:link w:val="a5"/>
    <w:uiPriority w:val="99"/>
    <w:semiHidden/>
    <w:unhideWhenUsed/>
    <w:rsid w:val="00262281"/>
    <w:pPr>
      <w:tabs>
        <w:tab w:val="center" w:pos="4819"/>
        <w:tab w:val="right" w:pos="9639"/>
      </w:tabs>
      <w:spacing w:after="0" w:line="240" w:lineRule="auto"/>
    </w:pPr>
  </w:style>
  <w:style w:type="character" w:customStyle="1" w:styleId="a5">
    <w:name w:val="Верхній колонтитул Знак"/>
    <w:basedOn w:val="a0"/>
    <w:link w:val="a4"/>
    <w:uiPriority w:val="99"/>
    <w:semiHidden/>
    <w:rsid w:val="00262281"/>
    <w:rPr>
      <w:color w:val="00000A"/>
      <w:sz w:val="22"/>
      <w:szCs w:val="22"/>
    </w:rPr>
  </w:style>
  <w:style w:type="character" w:styleId="a6">
    <w:name w:val="page number"/>
    <w:basedOn w:val="a0"/>
    <w:rsid w:val="00262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8980</Words>
  <Characters>5119</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Антонюк Валентина Миколаївна</dc:creator>
  <cp:keywords/>
  <dc:description/>
  <cp:lastModifiedBy>Пономаренко Оксана Володимирівна</cp:lastModifiedBy>
  <cp:revision>5</cp:revision>
  <dcterms:created xsi:type="dcterms:W3CDTF">2024-07-18T15:28:00Z</dcterms:created>
  <dcterms:modified xsi:type="dcterms:W3CDTF">2024-08-15T13:34:00Z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2024-08-15T13:34:41Z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9f9122ee-6466-412a-8e45-c0ba5c8a4b8c</vt:lpwstr>
  </property>
  <property fmtid="{D5CDD505-2E9C-101B-9397-08002B2CF9AE}" pid="8" name="MSIP_Label_defa4170-0d19-0005-0004-bc88714345d2_ContentBits">
    <vt:lpwstr>0</vt:lpwstr>
  </property>
</Properties>
</file>