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C9F" w:rsidRDefault="00654EF0" w:rsidP="004C15B7">
      <w:pPr>
        <w:ind w:left="-142" w:right="-144"/>
        <w:jc w:val="center"/>
        <w:rPr>
          <w:rFonts w:ascii="Times New Roman" w:hAnsi="Times New Roman" w:cs="Times New Roman"/>
          <w:sz w:val="28"/>
          <w:szCs w:val="28"/>
        </w:rPr>
      </w:pPr>
      <w:r>
        <w:rPr>
          <w:rFonts w:ascii="Times New Roman" w:hAnsi="Times New Roman" w:cs="Times New Roman"/>
          <w:noProof/>
          <w:sz w:val="28"/>
          <w:szCs w:val="28"/>
          <w:lang w:eastAsia="uk-UA"/>
        </w:rPr>
        <mc:AlternateContent>
          <mc:Choice Requires="wps">
            <w:drawing>
              <wp:anchor distT="0" distB="0" distL="114300" distR="114300" simplePos="0" relativeHeight="251659264" behindDoc="0" locked="0" layoutInCell="1" allowOverlap="1">
                <wp:simplePos x="0" y="0"/>
                <wp:positionH relativeFrom="column">
                  <wp:posOffset>320040</wp:posOffset>
                </wp:positionH>
                <wp:positionV relativeFrom="paragraph">
                  <wp:posOffset>-269240</wp:posOffset>
                </wp:positionV>
                <wp:extent cx="9601200" cy="1800225"/>
                <wp:effectExtent l="0" t="0" r="19050" b="28575"/>
                <wp:wrapNone/>
                <wp:docPr id="1" name="Прямокутник 1"/>
                <wp:cNvGraphicFramePr/>
                <a:graphic xmlns:a="http://schemas.openxmlformats.org/drawingml/2006/main">
                  <a:graphicData uri="http://schemas.microsoft.com/office/word/2010/wordprocessingShape">
                    <wps:wsp>
                      <wps:cNvSpPr/>
                      <wps:spPr>
                        <a:xfrm>
                          <a:off x="0" y="0"/>
                          <a:ext cx="9601200" cy="18002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4EF0" w:rsidRPr="00654EF0" w:rsidRDefault="00654EF0" w:rsidP="00654EF0">
                            <w:pPr>
                              <w:spacing w:after="0" w:line="240" w:lineRule="auto"/>
                              <w:jc w:val="center"/>
                              <w:rPr>
                                <w:rFonts w:ascii="Times New Roman" w:hAnsi="Times New Roman" w:cs="Times New Roman"/>
                                <w:b/>
                                <w:color w:val="000000" w:themeColor="text1"/>
                                <w:sz w:val="28"/>
                                <w:szCs w:val="28"/>
                              </w:rPr>
                            </w:pPr>
                            <w:r w:rsidRPr="00654EF0">
                              <w:rPr>
                                <w:rFonts w:ascii="Times New Roman" w:hAnsi="Times New Roman" w:cs="Times New Roman"/>
                                <w:b/>
                                <w:color w:val="000000" w:themeColor="text1"/>
                                <w:sz w:val="28"/>
                                <w:szCs w:val="28"/>
                              </w:rPr>
                              <w:t>ПОРІВНЯЛЬНА ТАБЛИЦЯ</w:t>
                            </w:r>
                          </w:p>
                          <w:p w:rsidR="00654EF0" w:rsidRPr="00654EF0" w:rsidRDefault="00654EF0" w:rsidP="00654EF0">
                            <w:pPr>
                              <w:spacing w:after="0" w:line="240" w:lineRule="auto"/>
                              <w:jc w:val="center"/>
                              <w:rPr>
                                <w:rFonts w:ascii="Times New Roman" w:hAnsi="Times New Roman" w:cs="Times New Roman"/>
                                <w:b/>
                                <w:color w:val="000000" w:themeColor="text1"/>
                                <w:sz w:val="28"/>
                                <w:szCs w:val="28"/>
                              </w:rPr>
                            </w:pPr>
                            <w:r w:rsidRPr="00654EF0">
                              <w:rPr>
                                <w:rFonts w:ascii="Times New Roman" w:hAnsi="Times New Roman" w:cs="Times New Roman"/>
                                <w:b/>
                                <w:color w:val="000000" w:themeColor="text1"/>
                                <w:sz w:val="28"/>
                                <w:szCs w:val="28"/>
                              </w:rPr>
                              <w:t>до проекту рішення Київської міської ради «Про внесення змін до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w:t>
                            </w:r>
                            <w:r w:rsidRPr="00654EF0">
                              <w:rPr>
                                <w:rStyle w:val="FontStyle15"/>
                                <w:b w:val="0"/>
                                <w:color w:val="000000" w:themeColor="text1"/>
                                <w:lang w:eastAsia="uk-UA"/>
                              </w:rPr>
                              <w:t>»</w:t>
                            </w:r>
                            <w:r w:rsidRPr="00654EF0">
                              <w:rPr>
                                <w:rFonts w:ascii="Times New Roman" w:hAnsi="Times New Roman" w:cs="Times New Roman"/>
                                <w:b/>
                                <w:color w:val="000000" w:themeColor="text1"/>
                                <w:sz w:val="28"/>
                                <w:szCs w:val="28"/>
                              </w:rPr>
                              <w:t>, затвердженої рішенням Київської міської ради від 20.01.2022                        № 4175/4216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кутник 1" o:spid="_x0000_s1026" style="position:absolute;left:0;text-align:left;margin-left:25.2pt;margin-top:-21.2pt;width:756pt;height:14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" fillcolor="white [3212]" strokecolor="white [3212]" strokeweight="1pt">
                <v:textbox>
                  <w:txbxContent>
                    <w:p w:rsidR="00654EF0" w:rsidRPr="00654EF0" w:rsidRDefault="00654EF0" w:rsidP="00654EF0">
                      <w:pPr>
                        <w:spacing w:after="0" w:line="240" w:lineRule="auto"/>
                        <w:jc w:val="center"/>
                        <w:rPr>
                          <w:rFonts w:ascii="Times New Roman" w:hAnsi="Times New Roman" w:cs="Times New Roman"/>
                          <w:b/>
                          <w:color w:val="000000" w:themeColor="text1"/>
                          <w:sz w:val="28"/>
                          <w:szCs w:val="28"/>
                        </w:rPr>
                      </w:pPr>
                      <w:r w:rsidRPr="00654EF0">
                        <w:rPr>
                          <w:rFonts w:ascii="Times New Roman" w:hAnsi="Times New Roman" w:cs="Times New Roman"/>
                          <w:b/>
                          <w:color w:val="000000" w:themeColor="text1"/>
                          <w:sz w:val="28"/>
                          <w:szCs w:val="28"/>
                        </w:rPr>
                        <w:t>ПОРІВНЯЛЬНА ТАБЛИЦЯ</w:t>
                      </w:r>
                    </w:p>
                    <w:p w:rsidR="00654EF0" w:rsidRPr="00654EF0" w:rsidRDefault="00654EF0" w:rsidP="00654EF0">
                      <w:pPr>
                        <w:spacing w:after="0" w:line="240" w:lineRule="auto"/>
                        <w:jc w:val="center"/>
                        <w:rPr>
                          <w:rFonts w:ascii="Times New Roman" w:hAnsi="Times New Roman" w:cs="Times New Roman"/>
                          <w:b/>
                          <w:color w:val="000000" w:themeColor="text1"/>
                          <w:sz w:val="28"/>
                          <w:szCs w:val="28"/>
                        </w:rPr>
                      </w:pPr>
                      <w:r w:rsidRPr="00654EF0">
                        <w:rPr>
                          <w:rFonts w:ascii="Times New Roman" w:hAnsi="Times New Roman" w:cs="Times New Roman"/>
                          <w:b/>
                          <w:color w:val="000000" w:themeColor="text1"/>
                          <w:sz w:val="28"/>
                          <w:szCs w:val="28"/>
                        </w:rPr>
                        <w:t>до проекту рішення Київської міської ради «Про внесення змін до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w:t>
                      </w:r>
                      <w:r w:rsidRPr="00654EF0">
                        <w:rPr>
                          <w:rStyle w:val="FontStyle15"/>
                          <w:b w:val="0"/>
                          <w:color w:val="000000" w:themeColor="text1"/>
                          <w:lang w:eastAsia="uk-UA"/>
                        </w:rPr>
                        <w:t>»</w:t>
                      </w:r>
                      <w:r w:rsidRPr="00654EF0">
                        <w:rPr>
                          <w:rFonts w:ascii="Times New Roman" w:hAnsi="Times New Roman" w:cs="Times New Roman"/>
                          <w:b/>
                          <w:color w:val="000000" w:themeColor="text1"/>
                          <w:sz w:val="28"/>
                          <w:szCs w:val="28"/>
                        </w:rPr>
                        <w:t>, затвердженої рішенням Київської міської ради від 20.01.2022                        № 4175/4216</w:t>
                      </w:r>
                    </w:p>
                  </w:txbxContent>
                </v:textbox>
              </v:rect>
            </w:pict>
          </mc:Fallback>
        </mc:AlternateContent>
      </w:r>
    </w:p>
    <w:p w:rsidR="00654EF0" w:rsidRDefault="00654EF0" w:rsidP="004C15B7">
      <w:pPr>
        <w:ind w:left="-142" w:right="-144"/>
        <w:jc w:val="center"/>
        <w:rPr>
          <w:rFonts w:ascii="Times New Roman" w:hAnsi="Times New Roman" w:cs="Times New Roman"/>
          <w:sz w:val="28"/>
          <w:szCs w:val="28"/>
        </w:rPr>
      </w:pPr>
    </w:p>
    <w:p w:rsidR="00654EF0" w:rsidRDefault="00654EF0" w:rsidP="004C15B7">
      <w:pPr>
        <w:ind w:left="-142" w:right="-144"/>
        <w:jc w:val="center"/>
        <w:rPr>
          <w:rFonts w:ascii="Times New Roman" w:hAnsi="Times New Roman" w:cs="Times New Roman"/>
          <w:sz w:val="28"/>
          <w:szCs w:val="28"/>
        </w:rPr>
      </w:pPr>
    </w:p>
    <w:p w:rsidR="00654EF0" w:rsidRDefault="00654EF0" w:rsidP="004C15B7">
      <w:pPr>
        <w:ind w:left="-142" w:right="-144"/>
        <w:jc w:val="center"/>
        <w:rPr>
          <w:rFonts w:ascii="Times New Roman" w:hAnsi="Times New Roman" w:cs="Times New Roman"/>
          <w:sz w:val="28"/>
          <w:szCs w:val="28"/>
        </w:rPr>
      </w:pPr>
    </w:p>
    <w:p w:rsidR="00654EF0" w:rsidRDefault="00654EF0" w:rsidP="004C15B7">
      <w:pPr>
        <w:ind w:left="-142" w:right="-144"/>
        <w:jc w:val="center"/>
        <w:rPr>
          <w:rFonts w:ascii="Times New Roman" w:hAnsi="Times New Roman" w:cs="Times New Roman"/>
          <w:sz w:val="28"/>
          <w:szCs w:val="28"/>
        </w:rPr>
      </w:pPr>
    </w:p>
    <w:p w:rsidR="00F23FCD" w:rsidRPr="00F23FCD" w:rsidRDefault="00F23FCD" w:rsidP="00F23FCD">
      <w:pPr>
        <w:spacing w:after="0"/>
        <w:ind w:left="-142"/>
        <w:jc w:val="center"/>
        <w:rPr>
          <w:rFonts w:ascii="Times New Roman" w:hAnsi="Times New Roman" w:cs="Times New Roman"/>
          <w:sz w:val="28"/>
          <w:szCs w:val="28"/>
        </w:rPr>
      </w:pPr>
      <w:r w:rsidRPr="00F23FCD">
        <w:rPr>
          <w:rFonts w:ascii="Times New Roman" w:hAnsi="Times New Roman" w:cs="Times New Roman"/>
          <w:sz w:val="28"/>
          <w:szCs w:val="28"/>
        </w:rPr>
        <w:t xml:space="preserve">І. ПАСПОРТ </w:t>
      </w:r>
    </w:p>
    <w:p w:rsidR="00F23FCD" w:rsidRDefault="00F23FCD" w:rsidP="00F23FCD">
      <w:pPr>
        <w:spacing w:after="0"/>
        <w:ind w:left="-142"/>
        <w:jc w:val="center"/>
        <w:rPr>
          <w:rFonts w:ascii="Times New Roman" w:hAnsi="Times New Roman" w:cs="Times New Roman"/>
          <w:sz w:val="28"/>
          <w:szCs w:val="28"/>
        </w:rPr>
      </w:pPr>
      <w:r w:rsidRPr="00F23FCD">
        <w:rPr>
          <w:rFonts w:ascii="Times New Roman" w:hAnsi="Times New Roman" w:cs="Times New Roman"/>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w:t>
      </w:r>
    </w:p>
    <w:p w:rsidR="005E043E" w:rsidRDefault="00F23FCD" w:rsidP="00F23FCD">
      <w:pPr>
        <w:spacing w:after="0"/>
        <w:ind w:left="-142"/>
        <w:jc w:val="center"/>
        <w:rPr>
          <w:rFonts w:ascii="Times New Roman" w:hAnsi="Times New Roman" w:cs="Times New Roman"/>
          <w:sz w:val="28"/>
          <w:szCs w:val="28"/>
        </w:rPr>
      </w:pPr>
      <w:r w:rsidRPr="00F23FCD">
        <w:rPr>
          <w:rFonts w:ascii="Times New Roman" w:hAnsi="Times New Roman" w:cs="Times New Roman"/>
          <w:sz w:val="28"/>
          <w:szCs w:val="28"/>
        </w:rPr>
        <w:t>на 2022 ‒ 2024 роки</w:t>
      </w:r>
    </w:p>
    <w:p w:rsidR="00384C03" w:rsidRPr="00384C03" w:rsidRDefault="00384C03" w:rsidP="00F23FCD">
      <w:pPr>
        <w:spacing w:after="0"/>
        <w:ind w:left="-142"/>
        <w:jc w:val="center"/>
        <w:rPr>
          <w:rFonts w:ascii="Times New Roman" w:hAnsi="Times New Roman" w:cs="Times New Roman"/>
          <w:sz w:val="10"/>
          <w:szCs w:val="10"/>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6"/>
        <w:gridCol w:w="1702"/>
        <w:gridCol w:w="5871"/>
      </w:tblGrid>
      <w:tr w:rsidR="007F25B4" w:rsidRPr="007F25B4" w:rsidTr="00203263">
        <w:trPr>
          <w:trHeight w:val="5409"/>
        </w:trPr>
        <w:tc>
          <w:tcPr>
            <w:tcW w:w="17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7F25B4" w:rsidRPr="007F25B4" w:rsidRDefault="007F25B4" w:rsidP="008974BD">
            <w:pPr>
              <w:rPr>
                <w:rFonts w:ascii="Times New Roman" w:hAnsi="Times New Roman" w:cs="Times New Roman"/>
                <w:sz w:val="15"/>
                <w:szCs w:val="15"/>
                <w:lang w:eastAsia="uk-UA"/>
              </w:rPr>
            </w:pPr>
            <w:r w:rsidRPr="007F25B4">
              <w:rPr>
                <w:rFonts w:ascii="Times New Roman" w:hAnsi="Times New Roman" w:cs="Times New Roman"/>
                <w:sz w:val="15"/>
                <w:szCs w:val="15"/>
                <w:lang w:eastAsia="uk-UA"/>
              </w:rPr>
              <w:t>6</w:t>
            </w:r>
            <w:r>
              <w:rPr>
                <w:rFonts w:ascii="Times New Roman" w:hAnsi="Times New Roman" w:cs="Times New Roman"/>
                <w:sz w:val="15"/>
                <w:szCs w:val="15"/>
                <w:lang w:eastAsia="uk-UA"/>
              </w:rPr>
              <w:t>.</w:t>
            </w:r>
          </w:p>
        </w:tc>
        <w:tc>
          <w:tcPr>
            <w:tcW w:w="1084"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7F25B4" w:rsidRPr="007F25B4" w:rsidRDefault="007F25B4" w:rsidP="008852BA">
            <w:pPr>
              <w:jc w:val="center"/>
              <w:rPr>
                <w:rFonts w:ascii="Times New Roman" w:hAnsi="Times New Roman" w:cs="Times New Roman"/>
                <w:sz w:val="15"/>
                <w:szCs w:val="15"/>
                <w:lang w:eastAsia="uk-UA"/>
              </w:rPr>
            </w:pPr>
            <w:r w:rsidRPr="007F25B4">
              <w:rPr>
                <w:rFonts w:ascii="Times New Roman" w:hAnsi="Times New Roman" w:cs="Times New Roman"/>
                <w:sz w:val="15"/>
                <w:szCs w:val="15"/>
                <w:lang w:eastAsia="uk-UA"/>
              </w:rPr>
              <w:t xml:space="preserve">Співвиконавці </w:t>
            </w:r>
            <w:r w:rsidR="008852BA">
              <w:rPr>
                <w:rFonts w:ascii="Times New Roman" w:hAnsi="Times New Roman" w:cs="Times New Roman"/>
                <w:sz w:val="15"/>
                <w:szCs w:val="15"/>
                <w:lang w:eastAsia="uk-UA"/>
              </w:rPr>
              <w:br/>
            </w:r>
            <w:r w:rsidRPr="007F25B4">
              <w:rPr>
                <w:rFonts w:ascii="Times New Roman" w:hAnsi="Times New Roman" w:cs="Times New Roman"/>
                <w:sz w:val="15"/>
                <w:szCs w:val="15"/>
                <w:lang w:eastAsia="uk-UA"/>
              </w:rPr>
              <w:t>програми</w:t>
            </w:r>
          </w:p>
        </w:tc>
        <w:tc>
          <w:tcPr>
            <w:tcW w:w="3741"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F25B4" w:rsidRPr="007F25B4" w:rsidRDefault="00203263" w:rsidP="001C3674">
            <w:pPr>
              <w:shd w:val="clear" w:color="auto" w:fill="FFFFFF"/>
              <w:ind w:right="132" w:firstLine="285"/>
              <w:jc w:val="both"/>
              <w:outlineLvl w:val="1"/>
              <w:rPr>
                <w:rFonts w:ascii="Times New Roman" w:hAnsi="Times New Roman" w:cs="Times New Roman"/>
                <w:sz w:val="15"/>
                <w:szCs w:val="15"/>
                <w:lang w:eastAsia="uk-UA"/>
              </w:rPr>
            </w:pPr>
            <w:r w:rsidRPr="00203263">
              <w:rPr>
                <w:rFonts w:ascii="Times New Roman" w:hAnsi="Times New Roman" w:cs="Times New Roman"/>
                <w:sz w:val="15"/>
                <w:szCs w:val="15"/>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Департамент будівництва та житлового забезпечення виконавчого органу Київської міської ради (Київської міської державної адміністрації) (далі - Департамент будівництва та житлового забезпечення), Київський міський територіальний центр комплектування та соціальної підтримки (далі -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203263">
              <w:rPr>
                <w:rFonts w:ascii="Times New Roman" w:hAnsi="Times New Roman" w:cs="Times New Roman"/>
                <w:sz w:val="15"/>
                <w:szCs w:val="15"/>
              </w:rPr>
              <w:t>Держприкордонслужби</w:t>
            </w:r>
            <w:proofErr w:type="spellEnd"/>
            <w:r w:rsidRPr="00203263">
              <w:rPr>
                <w:rFonts w:ascii="Times New Roman" w:hAnsi="Times New Roman" w:cs="Times New Roman"/>
                <w:sz w:val="15"/>
                <w:szCs w:val="15"/>
              </w:rPr>
              <w:t xml:space="preserve"> (дислоковані в/ч в м. Києві); Київська міська прокуратура, Національний військово-медичний клінічний центр «Головний військовий клінічний госпіталь» (далі - НВМКЦ «ГВКГ»); Управління поліції охорони в м. Києві; Територіальне управління бюро економічної безпеки у м. Києві (далі – Територіальне управління БЕБ у м. Києві), Акціонерне товариство «Українська оборонна промисловість»; Комунальна організація виконавчого органу Київської міської ради (Київської міської державної адміністрації) «Муніципальна охорона»; Комунальне некомерційне підприємство «Освітня агенція міста Києва» (далі – КНП «Освітня агенція міста Києва»), Київський військовий ліцей імені Івана Богуна, Київський професійний коледж з посиленою військовою та фізичною підготовкою, вищі військові навчальні заклади, заклади вищої освіти із специфічними умовами навчання, регіональний сервісний центр Головного сервісного центру Міністерства внутрішніх справ в м. Києві (філія Головного сервісного центру МВС) (далі – РСЦ ГСЦ МВС в м. Києві), Головне управління Державної казначейської служби України у м. Києві (далі – ГУ ДКСУ у м. Києві)</w:t>
            </w:r>
          </w:p>
        </w:tc>
      </w:tr>
    </w:tbl>
    <w:p w:rsidR="007F25B4" w:rsidRDefault="007F25B4" w:rsidP="00F23FCD">
      <w:pPr>
        <w:spacing w:after="0"/>
        <w:ind w:left="-142"/>
        <w:jc w:val="center"/>
        <w:rPr>
          <w:rFonts w:ascii="Times New Roman" w:hAnsi="Times New Roman" w:cs="Times New Roman"/>
          <w:sz w:val="28"/>
          <w:szCs w:val="28"/>
        </w:rPr>
      </w:pPr>
    </w:p>
    <w:p w:rsidR="007F25B4" w:rsidRDefault="007F25B4"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6100B7" w:rsidRDefault="006100B7" w:rsidP="006100B7">
      <w:pPr>
        <w:spacing w:after="0"/>
        <w:ind w:left="-142"/>
        <w:jc w:val="center"/>
        <w:rPr>
          <w:rFonts w:ascii="Times New Roman" w:hAnsi="Times New Roman" w:cs="Times New Roman"/>
          <w:sz w:val="28"/>
          <w:szCs w:val="28"/>
        </w:rPr>
      </w:pPr>
    </w:p>
    <w:p w:rsidR="00203263" w:rsidRDefault="00203263" w:rsidP="006100B7">
      <w:pPr>
        <w:spacing w:after="0"/>
        <w:ind w:left="-142"/>
        <w:jc w:val="center"/>
        <w:rPr>
          <w:rFonts w:ascii="Times New Roman" w:hAnsi="Times New Roman" w:cs="Times New Roman"/>
          <w:sz w:val="28"/>
          <w:szCs w:val="28"/>
        </w:rPr>
      </w:pPr>
    </w:p>
    <w:p w:rsidR="00203263" w:rsidRDefault="00203263" w:rsidP="006100B7">
      <w:pPr>
        <w:spacing w:after="0"/>
        <w:ind w:left="-142"/>
        <w:jc w:val="center"/>
        <w:rPr>
          <w:rFonts w:ascii="Times New Roman" w:hAnsi="Times New Roman" w:cs="Times New Roman"/>
          <w:sz w:val="28"/>
          <w:szCs w:val="28"/>
        </w:rPr>
      </w:pPr>
    </w:p>
    <w:p w:rsidR="006100B7" w:rsidRDefault="006100B7" w:rsidP="006100B7">
      <w:pPr>
        <w:spacing w:after="0"/>
        <w:ind w:left="-142"/>
        <w:jc w:val="center"/>
        <w:rPr>
          <w:rFonts w:ascii="Times New Roman" w:hAnsi="Times New Roman" w:cs="Times New Roman"/>
          <w:sz w:val="28"/>
          <w:szCs w:val="28"/>
        </w:rPr>
      </w:pPr>
    </w:p>
    <w:p w:rsidR="00654EF0" w:rsidRDefault="00654EF0" w:rsidP="006100B7">
      <w:pPr>
        <w:spacing w:after="0"/>
        <w:ind w:left="-142"/>
        <w:jc w:val="center"/>
        <w:rPr>
          <w:rFonts w:ascii="Times New Roman" w:hAnsi="Times New Roman" w:cs="Times New Roman"/>
          <w:sz w:val="28"/>
          <w:szCs w:val="28"/>
        </w:rPr>
      </w:pPr>
      <w:bookmarkStart w:id="0" w:name="_GoBack"/>
      <w:bookmarkEnd w:id="0"/>
    </w:p>
    <w:p w:rsidR="00234CCC" w:rsidRPr="00234CCC" w:rsidRDefault="00234CCC" w:rsidP="006100B7">
      <w:pPr>
        <w:spacing w:after="0"/>
        <w:ind w:left="-142"/>
        <w:jc w:val="center"/>
        <w:rPr>
          <w:rFonts w:ascii="Times New Roman" w:hAnsi="Times New Roman" w:cs="Times New Roman"/>
          <w:sz w:val="16"/>
          <w:szCs w:val="16"/>
        </w:rPr>
      </w:pPr>
    </w:p>
    <w:p w:rsidR="006100B7" w:rsidRPr="006100B7" w:rsidRDefault="006100B7" w:rsidP="006100B7">
      <w:pPr>
        <w:spacing w:after="0"/>
        <w:ind w:left="-142"/>
        <w:jc w:val="center"/>
        <w:rPr>
          <w:rFonts w:ascii="Times New Roman" w:hAnsi="Times New Roman" w:cs="Times New Roman"/>
          <w:sz w:val="28"/>
          <w:szCs w:val="28"/>
        </w:rPr>
      </w:pPr>
      <w:r w:rsidRPr="006100B7">
        <w:rPr>
          <w:rFonts w:ascii="Times New Roman" w:hAnsi="Times New Roman" w:cs="Times New Roman"/>
          <w:sz w:val="28"/>
          <w:szCs w:val="28"/>
        </w:rPr>
        <w:t xml:space="preserve">І. ПАСПОРТ </w:t>
      </w:r>
    </w:p>
    <w:p w:rsidR="006100B7" w:rsidRPr="006100B7" w:rsidRDefault="006100B7" w:rsidP="006100B7">
      <w:pPr>
        <w:spacing w:after="0"/>
        <w:ind w:left="-142"/>
        <w:jc w:val="center"/>
        <w:rPr>
          <w:rFonts w:ascii="Times New Roman" w:hAnsi="Times New Roman" w:cs="Times New Roman"/>
          <w:sz w:val="28"/>
          <w:szCs w:val="28"/>
        </w:rPr>
      </w:pPr>
      <w:r w:rsidRPr="006100B7">
        <w:rPr>
          <w:rFonts w:ascii="Times New Roman" w:hAnsi="Times New Roman" w:cs="Times New Roman"/>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w:t>
      </w:r>
    </w:p>
    <w:p w:rsidR="00F23FCD" w:rsidRDefault="006100B7" w:rsidP="00384C03">
      <w:pPr>
        <w:spacing w:after="0" w:line="240" w:lineRule="auto"/>
        <w:ind w:left="-142"/>
        <w:jc w:val="center"/>
        <w:rPr>
          <w:rFonts w:ascii="Times New Roman" w:hAnsi="Times New Roman" w:cs="Times New Roman"/>
          <w:sz w:val="28"/>
          <w:szCs w:val="28"/>
        </w:rPr>
      </w:pPr>
      <w:r w:rsidRPr="006100B7">
        <w:rPr>
          <w:rFonts w:ascii="Times New Roman" w:hAnsi="Times New Roman" w:cs="Times New Roman"/>
          <w:sz w:val="28"/>
          <w:szCs w:val="28"/>
        </w:rPr>
        <w:t>на 2022 ‒ 2024 роки</w:t>
      </w:r>
    </w:p>
    <w:p w:rsidR="00C145D9" w:rsidRPr="00C145D9" w:rsidRDefault="00C145D9" w:rsidP="00384C03">
      <w:pPr>
        <w:spacing w:after="0" w:line="240" w:lineRule="auto"/>
        <w:ind w:left="-142"/>
        <w:jc w:val="center"/>
        <w:rPr>
          <w:rFonts w:ascii="Times New Roman" w:hAnsi="Times New Roman" w:cs="Times New Roman"/>
          <w:sz w:val="10"/>
          <w:szCs w:val="10"/>
        </w:rPr>
      </w:pPr>
    </w:p>
    <w:tbl>
      <w:tblPr>
        <w:tblStyle w:val="a3"/>
        <w:tblW w:w="7792" w:type="dxa"/>
        <w:tblLook w:val="04A0" w:firstRow="1" w:lastRow="0" w:firstColumn="1" w:lastColumn="0" w:noHBand="0" w:noVBand="1"/>
      </w:tblPr>
      <w:tblGrid>
        <w:gridCol w:w="421"/>
        <w:gridCol w:w="1559"/>
        <w:gridCol w:w="5812"/>
      </w:tblGrid>
      <w:tr w:rsidR="006100B7" w:rsidRPr="00F23FCD" w:rsidTr="008852BA">
        <w:trPr>
          <w:trHeight w:val="5555"/>
        </w:trPr>
        <w:tc>
          <w:tcPr>
            <w:tcW w:w="421" w:type="dxa"/>
          </w:tcPr>
          <w:p w:rsidR="006100B7" w:rsidRPr="00F23FCD" w:rsidRDefault="006100B7" w:rsidP="008974BD">
            <w:pPr>
              <w:spacing w:line="259" w:lineRule="auto"/>
              <w:ind w:left="-142"/>
              <w:jc w:val="center"/>
              <w:rPr>
                <w:rFonts w:ascii="Times New Roman" w:hAnsi="Times New Roman" w:cs="Times New Roman"/>
                <w:sz w:val="15"/>
                <w:szCs w:val="15"/>
              </w:rPr>
            </w:pPr>
            <w:r w:rsidRPr="00F23FCD">
              <w:rPr>
                <w:rFonts w:ascii="Times New Roman" w:hAnsi="Times New Roman" w:cs="Times New Roman"/>
                <w:sz w:val="15"/>
                <w:szCs w:val="15"/>
              </w:rPr>
              <w:t>6.</w:t>
            </w:r>
          </w:p>
        </w:tc>
        <w:tc>
          <w:tcPr>
            <w:tcW w:w="1559" w:type="dxa"/>
          </w:tcPr>
          <w:p w:rsidR="006100B7" w:rsidRPr="00F23FCD" w:rsidRDefault="006100B7" w:rsidP="008974BD">
            <w:pPr>
              <w:spacing w:line="259" w:lineRule="auto"/>
              <w:ind w:left="-142"/>
              <w:jc w:val="center"/>
              <w:rPr>
                <w:rFonts w:ascii="Times New Roman" w:hAnsi="Times New Roman" w:cs="Times New Roman"/>
                <w:sz w:val="15"/>
                <w:szCs w:val="15"/>
              </w:rPr>
            </w:pPr>
            <w:r w:rsidRPr="00F23FCD">
              <w:rPr>
                <w:rFonts w:ascii="Times New Roman" w:hAnsi="Times New Roman" w:cs="Times New Roman"/>
                <w:sz w:val="15"/>
                <w:szCs w:val="15"/>
              </w:rPr>
              <w:t>Співвиконавці програми</w:t>
            </w:r>
          </w:p>
        </w:tc>
        <w:tc>
          <w:tcPr>
            <w:tcW w:w="5812" w:type="dxa"/>
          </w:tcPr>
          <w:p w:rsidR="007F25B4" w:rsidRPr="00203263" w:rsidRDefault="00203263" w:rsidP="001C3674">
            <w:pPr>
              <w:spacing w:line="259" w:lineRule="auto"/>
              <w:ind w:firstLine="173"/>
              <w:jc w:val="both"/>
              <w:rPr>
                <w:rFonts w:ascii="Times New Roman" w:hAnsi="Times New Roman" w:cs="Times New Roman"/>
                <w:sz w:val="15"/>
                <w:szCs w:val="15"/>
              </w:rPr>
            </w:pPr>
            <w:r w:rsidRPr="00203263">
              <w:rPr>
                <w:rFonts w:ascii="Times New Roman" w:hAnsi="Times New Roman" w:cs="Times New Roman"/>
                <w:sz w:val="15"/>
                <w:szCs w:val="15"/>
                <w:lang w:eastAsia="uk-UA"/>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Департамент будівництва та житлового забезпечення виконавчого органу Київської міської ради (Київської міської державної адміністрації) (далі - Департамент будівництва та житлового забезпечення), Київський міський територіальний центр комплектування та соціальної підтримки (далі -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203263">
              <w:rPr>
                <w:rFonts w:ascii="Times New Roman" w:hAnsi="Times New Roman" w:cs="Times New Roman"/>
                <w:sz w:val="15"/>
                <w:szCs w:val="15"/>
                <w:lang w:eastAsia="uk-UA"/>
              </w:rPr>
              <w:t>Держприкордонслужби</w:t>
            </w:r>
            <w:proofErr w:type="spellEnd"/>
            <w:r w:rsidRPr="00203263">
              <w:rPr>
                <w:rFonts w:ascii="Times New Roman" w:hAnsi="Times New Roman" w:cs="Times New Roman"/>
                <w:sz w:val="15"/>
                <w:szCs w:val="15"/>
                <w:lang w:eastAsia="uk-UA"/>
              </w:rPr>
              <w:t xml:space="preserve"> (дислоковані в/ч в м. Києві); Київська міська прокуратура, Національний військово-медичний клінічний центр «Головний військовий клінічний госпіталь» (далі - НВМКЦ «ГВКГ»); Управління поліції охорони в м. Києві; Територіальне управління бюро економічної безпеки у м. Києві (далі – Територіальне управління БЕБ у м. Києві), Державний концерн «</w:t>
            </w:r>
            <w:proofErr w:type="spellStart"/>
            <w:r w:rsidRPr="00203263">
              <w:rPr>
                <w:rFonts w:ascii="Times New Roman" w:hAnsi="Times New Roman" w:cs="Times New Roman"/>
                <w:sz w:val="15"/>
                <w:szCs w:val="15"/>
                <w:lang w:eastAsia="uk-UA"/>
              </w:rPr>
              <w:t>Укроборонпром</w:t>
            </w:r>
            <w:proofErr w:type="spellEnd"/>
            <w:r w:rsidRPr="00203263">
              <w:rPr>
                <w:rFonts w:ascii="Times New Roman" w:hAnsi="Times New Roman" w:cs="Times New Roman"/>
                <w:sz w:val="15"/>
                <w:szCs w:val="15"/>
                <w:lang w:eastAsia="uk-UA"/>
              </w:rPr>
              <w:t xml:space="preserve">»; Комунальна організація виконавчого органу Київської міської ради (Київської міської державної адміністрації) «Муніципальна охорона»; Комунальне некомерційне підприємство «Освітня агенція міста Києва» (далі – КНП «Освітня агенція міста Києва»), Київський військовий ліцей імені Івана Богуна, Київський професійний коледж з посиленою військовою та фізичною підготовкою, вищі військові навчальні заклади, заклади вищої освіти із специфічними умовами навчання, регіональний сервісний центр Головного сервісного центру Міністерства внутрішніх справ в м. Києві (філія Головного сервісного центру МВС) (далі – РСЦ ГСЦ МВС в м. Києві), </w:t>
            </w:r>
            <w:r w:rsidRPr="00203263">
              <w:rPr>
                <w:rFonts w:ascii="Times New Roman" w:hAnsi="Times New Roman" w:cs="Times New Roman"/>
                <w:b/>
                <w:i/>
                <w:sz w:val="15"/>
                <w:szCs w:val="15"/>
                <w:lang w:eastAsia="uk-UA"/>
              </w:rPr>
              <w:t>Державна установа «Територіальне медичне об’єднання МВС України по місту Києву та Київській області» (далі – ДУ «ТМО МВС України по місту Києву та Київській області»)</w:t>
            </w:r>
          </w:p>
        </w:tc>
      </w:tr>
    </w:tbl>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p w:rsidR="00F23FCD" w:rsidRDefault="00F23FCD" w:rsidP="00F23FCD">
      <w:pPr>
        <w:spacing w:after="0"/>
        <w:ind w:left="-142"/>
        <w:jc w:val="center"/>
        <w:rPr>
          <w:rFonts w:ascii="Times New Roman" w:hAnsi="Times New Roman" w:cs="Times New Roman"/>
          <w:sz w:val="28"/>
          <w:szCs w:val="28"/>
        </w:rPr>
      </w:pPr>
    </w:p>
    <w:tbl>
      <w:tblPr>
        <w:tblStyle w:val="a3"/>
        <w:tblW w:w="7653" w:type="dxa"/>
        <w:tblLook w:val="04A0" w:firstRow="1" w:lastRow="0" w:firstColumn="1" w:lastColumn="0" w:noHBand="0" w:noVBand="1"/>
      </w:tblPr>
      <w:tblGrid>
        <w:gridCol w:w="678"/>
        <w:gridCol w:w="1810"/>
        <w:gridCol w:w="1315"/>
        <w:gridCol w:w="1437"/>
        <w:gridCol w:w="1239"/>
        <w:gridCol w:w="1174"/>
      </w:tblGrid>
      <w:tr w:rsidR="00EA1B10" w:rsidRPr="002A0D5E" w:rsidTr="008974BD">
        <w:trPr>
          <w:trHeight w:val="927"/>
        </w:trPr>
        <w:tc>
          <w:tcPr>
            <w:tcW w:w="678" w:type="dxa"/>
            <w:vMerge w:val="restart"/>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w:t>
            </w:r>
          </w:p>
        </w:tc>
        <w:tc>
          <w:tcPr>
            <w:tcW w:w="1810" w:type="dxa"/>
            <w:vMerge w:val="restart"/>
          </w:tcPr>
          <w:p w:rsidR="00EA1B10" w:rsidRPr="002A0D5E"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Обсяги фінансових ресурсів, необхідних для реалізації програми</w:t>
            </w:r>
          </w:p>
        </w:tc>
        <w:tc>
          <w:tcPr>
            <w:tcW w:w="1315" w:type="dxa"/>
            <w:vMerge w:val="restart"/>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Всього </w:t>
            </w:r>
          </w:p>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(тис. грн)</w:t>
            </w:r>
          </w:p>
        </w:tc>
        <w:tc>
          <w:tcPr>
            <w:tcW w:w="3850" w:type="dxa"/>
            <w:gridSpan w:val="3"/>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у тому числі, за роками</w:t>
            </w:r>
          </w:p>
        </w:tc>
      </w:tr>
      <w:tr w:rsidR="00EA1B10" w:rsidRPr="002A0D5E" w:rsidTr="008974BD">
        <w:trPr>
          <w:trHeight w:val="964"/>
        </w:trPr>
        <w:tc>
          <w:tcPr>
            <w:tcW w:w="678" w:type="dxa"/>
            <w:vMerge/>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p>
        </w:tc>
        <w:tc>
          <w:tcPr>
            <w:tcW w:w="1810" w:type="dxa"/>
            <w:vMerge/>
          </w:tcPr>
          <w:p w:rsidR="00EA1B10" w:rsidRPr="002A0D5E" w:rsidRDefault="00EA1B10" w:rsidP="008974BD">
            <w:pPr>
              <w:ind w:left="-68" w:right="34" w:firstLine="91"/>
              <w:jc w:val="both"/>
              <w:rPr>
                <w:rFonts w:ascii="Times New Roman" w:eastAsia="Times New Roman" w:hAnsi="Times New Roman" w:cs="Times New Roman"/>
                <w:sz w:val="20"/>
                <w:szCs w:val="20"/>
                <w:lang w:eastAsia="uk-UA"/>
              </w:rPr>
            </w:pPr>
          </w:p>
        </w:tc>
        <w:tc>
          <w:tcPr>
            <w:tcW w:w="1315" w:type="dxa"/>
            <w:vMerge/>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p>
        </w:tc>
        <w:tc>
          <w:tcPr>
            <w:tcW w:w="1437" w:type="dxa"/>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2022 рік</w:t>
            </w:r>
          </w:p>
        </w:tc>
        <w:tc>
          <w:tcPr>
            <w:tcW w:w="1239" w:type="dxa"/>
            <w:vAlign w:val="center"/>
          </w:tcPr>
          <w:p w:rsidR="00EA1B10" w:rsidRPr="002A0D5E" w:rsidRDefault="00EA1B10" w:rsidP="008974BD">
            <w:pPr>
              <w:ind w:left="-68" w:right="34" w:hanging="39"/>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2023 рік</w:t>
            </w:r>
          </w:p>
        </w:tc>
        <w:tc>
          <w:tcPr>
            <w:tcW w:w="1174" w:type="dxa"/>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2024 рік</w:t>
            </w:r>
          </w:p>
        </w:tc>
      </w:tr>
      <w:tr w:rsidR="001B57EB" w:rsidRPr="002A0D5E" w:rsidTr="001B57EB">
        <w:tc>
          <w:tcPr>
            <w:tcW w:w="678" w:type="dxa"/>
          </w:tcPr>
          <w:p w:rsidR="001B57EB" w:rsidRPr="002A0D5E" w:rsidRDefault="001B57EB" w:rsidP="001B57EB">
            <w:pPr>
              <w:ind w:left="-68" w:right="34" w:firstLine="91"/>
              <w:jc w:val="center"/>
              <w:rPr>
                <w:rFonts w:ascii="Times New Roman" w:eastAsia="Times New Roman" w:hAnsi="Times New Roman" w:cs="Times New Roman"/>
                <w:sz w:val="20"/>
                <w:szCs w:val="20"/>
                <w:lang w:eastAsia="uk-UA"/>
              </w:rPr>
            </w:pPr>
          </w:p>
        </w:tc>
        <w:tc>
          <w:tcPr>
            <w:tcW w:w="1810" w:type="dxa"/>
          </w:tcPr>
          <w:p w:rsidR="001B57EB" w:rsidRPr="002A0D5E" w:rsidRDefault="001B57EB" w:rsidP="001B57EB">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Всього у тому числі за джерелами:</w:t>
            </w:r>
          </w:p>
        </w:tc>
        <w:tc>
          <w:tcPr>
            <w:tcW w:w="1315"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6132923,0</w:t>
            </w:r>
          </w:p>
        </w:tc>
        <w:tc>
          <w:tcPr>
            <w:tcW w:w="1437"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986667,5</w:t>
            </w:r>
          </w:p>
        </w:tc>
        <w:tc>
          <w:tcPr>
            <w:tcW w:w="1239"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5116391,9</w:t>
            </w:r>
          </w:p>
        </w:tc>
        <w:tc>
          <w:tcPr>
            <w:tcW w:w="1174"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29863,6</w:t>
            </w:r>
          </w:p>
        </w:tc>
      </w:tr>
      <w:tr w:rsidR="001B57EB" w:rsidRPr="002A0D5E" w:rsidTr="001B57EB">
        <w:tc>
          <w:tcPr>
            <w:tcW w:w="678" w:type="dxa"/>
          </w:tcPr>
          <w:p w:rsidR="001B57EB" w:rsidRPr="002A0D5E" w:rsidRDefault="001B57EB" w:rsidP="001B57EB">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8.1.</w:t>
            </w:r>
          </w:p>
        </w:tc>
        <w:tc>
          <w:tcPr>
            <w:tcW w:w="1810" w:type="dxa"/>
          </w:tcPr>
          <w:p w:rsidR="001B57EB" w:rsidRPr="002A0D5E" w:rsidRDefault="001B57EB" w:rsidP="001B57EB">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державний бюджет</w:t>
            </w:r>
          </w:p>
        </w:tc>
        <w:tc>
          <w:tcPr>
            <w:tcW w:w="1315"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w:t>
            </w:r>
          </w:p>
        </w:tc>
        <w:tc>
          <w:tcPr>
            <w:tcW w:w="1437"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w:t>
            </w:r>
          </w:p>
        </w:tc>
        <w:tc>
          <w:tcPr>
            <w:tcW w:w="1239"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w:t>
            </w:r>
          </w:p>
        </w:tc>
        <w:tc>
          <w:tcPr>
            <w:tcW w:w="1174"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w:t>
            </w:r>
          </w:p>
        </w:tc>
      </w:tr>
      <w:tr w:rsidR="001B57EB" w:rsidRPr="002A0D5E" w:rsidTr="001B57EB">
        <w:tc>
          <w:tcPr>
            <w:tcW w:w="678" w:type="dxa"/>
          </w:tcPr>
          <w:p w:rsidR="001B57EB" w:rsidRPr="002A0D5E" w:rsidRDefault="001B57EB" w:rsidP="001B57EB">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8.2.</w:t>
            </w:r>
          </w:p>
        </w:tc>
        <w:tc>
          <w:tcPr>
            <w:tcW w:w="1810" w:type="dxa"/>
          </w:tcPr>
          <w:p w:rsidR="001B57EB" w:rsidRPr="002A0D5E" w:rsidRDefault="001B57EB" w:rsidP="001B57EB">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бюджет міста Києва</w:t>
            </w:r>
          </w:p>
        </w:tc>
        <w:tc>
          <w:tcPr>
            <w:tcW w:w="1315"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6132923,0</w:t>
            </w:r>
          </w:p>
        </w:tc>
        <w:tc>
          <w:tcPr>
            <w:tcW w:w="1437"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986667,5</w:t>
            </w:r>
          </w:p>
        </w:tc>
        <w:tc>
          <w:tcPr>
            <w:tcW w:w="1239"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sz w:val="20"/>
                <w:szCs w:val="20"/>
              </w:rPr>
            </w:pPr>
            <w:r w:rsidRPr="001B57EB">
              <w:rPr>
                <w:sz w:val="20"/>
                <w:szCs w:val="20"/>
              </w:rPr>
              <w:t>5116391,9</w:t>
            </w:r>
          </w:p>
        </w:tc>
        <w:tc>
          <w:tcPr>
            <w:tcW w:w="1174" w:type="dxa"/>
            <w:tcBorders>
              <w:top w:val="outset" w:sz="6" w:space="0" w:color="auto"/>
              <w:left w:val="outset" w:sz="6" w:space="0" w:color="auto"/>
              <w:bottom w:val="outset" w:sz="6" w:space="0" w:color="auto"/>
              <w:right w:val="outset" w:sz="6" w:space="0" w:color="auto"/>
            </w:tcBorders>
            <w:vAlign w:val="center"/>
          </w:tcPr>
          <w:p w:rsidR="001B57EB" w:rsidRPr="001B57EB" w:rsidRDefault="001B57EB" w:rsidP="001B57EB">
            <w:pPr>
              <w:pStyle w:val="a6"/>
              <w:jc w:val="center"/>
              <w:rPr>
                <w:b/>
                <w:i/>
                <w:sz w:val="20"/>
                <w:szCs w:val="20"/>
              </w:rPr>
            </w:pPr>
            <w:r w:rsidRPr="001B57EB">
              <w:rPr>
                <w:b/>
                <w:i/>
                <w:sz w:val="20"/>
                <w:szCs w:val="20"/>
              </w:rPr>
              <w:t>29863,6</w:t>
            </w:r>
          </w:p>
        </w:tc>
      </w:tr>
      <w:tr w:rsidR="00EA1B10" w:rsidRPr="002A0D5E" w:rsidTr="008974BD">
        <w:tc>
          <w:tcPr>
            <w:tcW w:w="678" w:type="dxa"/>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8.3.</w:t>
            </w:r>
          </w:p>
        </w:tc>
        <w:tc>
          <w:tcPr>
            <w:tcW w:w="1810" w:type="dxa"/>
          </w:tcPr>
          <w:p w:rsidR="00EA1B10" w:rsidRPr="002A0D5E" w:rsidRDefault="00EA1B10" w:rsidP="008974BD">
            <w:pPr>
              <w:ind w:left="-68" w:right="34" w:firstLine="91"/>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інші джерела</w:t>
            </w:r>
          </w:p>
        </w:tc>
        <w:tc>
          <w:tcPr>
            <w:tcW w:w="1315" w:type="dxa"/>
            <w:shd w:val="clear" w:color="auto" w:fill="auto"/>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437" w:type="dxa"/>
            <w:shd w:val="clear" w:color="auto" w:fill="auto"/>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239" w:type="dxa"/>
            <w:shd w:val="clear" w:color="auto" w:fill="auto"/>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174" w:type="dxa"/>
            <w:shd w:val="clear" w:color="auto" w:fill="auto"/>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r>
    </w:tbl>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654EF0" w:rsidRDefault="00654EF0" w:rsidP="00F23FCD">
      <w:pPr>
        <w:spacing w:after="0"/>
        <w:ind w:left="-142"/>
        <w:jc w:val="center"/>
        <w:rPr>
          <w:rFonts w:ascii="Times New Roman" w:hAnsi="Times New Roman" w:cs="Times New Roman"/>
          <w:sz w:val="28"/>
          <w:szCs w:val="28"/>
        </w:rPr>
      </w:pPr>
    </w:p>
    <w:p w:rsidR="00654EF0" w:rsidRDefault="00654EF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tbl>
      <w:tblPr>
        <w:tblStyle w:val="a3"/>
        <w:tblW w:w="7083" w:type="dxa"/>
        <w:jc w:val="center"/>
        <w:tblLook w:val="04A0" w:firstRow="1" w:lastRow="0" w:firstColumn="1" w:lastColumn="0" w:noHBand="0" w:noVBand="1"/>
      </w:tblPr>
      <w:tblGrid>
        <w:gridCol w:w="575"/>
        <w:gridCol w:w="1797"/>
        <w:gridCol w:w="1273"/>
        <w:gridCol w:w="1107"/>
        <w:gridCol w:w="1224"/>
        <w:gridCol w:w="1107"/>
      </w:tblGrid>
      <w:tr w:rsidR="00EA1B10" w:rsidRPr="002A0D5E" w:rsidTr="008974BD">
        <w:trPr>
          <w:trHeight w:val="909"/>
          <w:jc w:val="center"/>
        </w:trPr>
        <w:tc>
          <w:tcPr>
            <w:tcW w:w="575" w:type="dxa"/>
            <w:vMerge w:val="restart"/>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w:t>
            </w:r>
          </w:p>
        </w:tc>
        <w:tc>
          <w:tcPr>
            <w:tcW w:w="1797" w:type="dxa"/>
            <w:vMerge w:val="restart"/>
          </w:tcPr>
          <w:p w:rsidR="00EA1B10" w:rsidRPr="00D27E32"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Обсяги </w:t>
            </w:r>
          </w:p>
          <w:p w:rsidR="00EA1B10"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фінансових </w:t>
            </w:r>
          </w:p>
          <w:p w:rsidR="00EA1B10"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ресурсів, </w:t>
            </w:r>
          </w:p>
          <w:p w:rsidR="00EA1B10"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необхідних для реалізації </w:t>
            </w:r>
          </w:p>
          <w:p w:rsidR="00EA1B10" w:rsidRPr="002A0D5E" w:rsidRDefault="00EA1B10" w:rsidP="008974BD">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програми</w:t>
            </w:r>
          </w:p>
        </w:tc>
        <w:tc>
          <w:tcPr>
            <w:tcW w:w="1273" w:type="dxa"/>
            <w:vMerge w:val="restart"/>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Всього </w:t>
            </w:r>
          </w:p>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(тис. грн)</w:t>
            </w:r>
          </w:p>
        </w:tc>
        <w:tc>
          <w:tcPr>
            <w:tcW w:w="3438" w:type="dxa"/>
            <w:gridSpan w:val="3"/>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у тому числі, за роками</w:t>
            </w:r>
          </w:p>
        </w:tc>
      </w:tr>
      <w:tr w:rsidR="00EA1B10" w:rsidRPr="002A0D5E" w:rsidTr="008974BD">
        <w:trPr>
          <w:trHeight w:val="978"/>
          <w:jc w:val="center"/>
        </w:trPr>
        <w:tc>
          <w:tcPr>
            <w:tcW w:w="575" w:type="dxa"/>
            <w:vMerge/>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p>
        </w:tc>
        <w:tc>
          <w:tcPr>
            <w:tcW w:w="1797" w:type="dxa"/>
            <w:vMerge/>
          </w:tcPr>
          <w:p w:rsidR="00EA1B10" w:rsidRPr="002A0D5E" w:rsidRDefault="00EA1B10" w:rsidP="008974BD">
            <w:pPr>
              <w:ind w:left="-68" w:right="34" w:firstLine="91"/>
              <w:jc w:val="both"/>
              <w:rPr>
                <w:rFonts w:ascii="Times New Roman" w:eastAsia="Times New Roman" w:hAnsi="Times New Roman" w:cs="Times New Roman"/>
                <w:sz w:val="20"/>
                <w:szCs w:val="20"/>
                <w:lang w:eastAsia="uk-UA"/>
              </w:rPr>
            </w:pPr>
          </w:p>
        </w:tc>
        <w:tc>
          <w:tcPr>
            <w:tcW w:w="1273" w:type="dxa"/>
            <w:vMerge/>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p>
        </w:tc>
        <w:tc>
          <w:tcPr>
            <w:tcW w:w="1107" w:type="dxa"/>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2022 рік</w:t>
            </w:r>
          </w:p>
        </w:tc>
        <w:tc>
          <w:tcPr>
            <w:tcW w:w="1224" w:type="dxa"/>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2023 рік</w:t>
            </w:r>
          </w:p>
        </w:tc>
        <w:tc>
          <w:tcPr>
            <w:tcW w:w="1107" w:type="dxa"/>
            <w:vAlign w:val="center"/>
          </w:tcPr>
          <w:p w:rsidR="00EA1B10" w:rsidRPr="002A0D5E" w:rsidRDefault="00EA1B10" w:rsidP="008974BD">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2024 рік</w:t>
            </w:r>
          </w:p>
        </w:tc>
      </w:tr>
      <w:tr w:rsidR="00EA1B10" w:rsidRPr="002A0D5E" w:rsidTr="008974BD">
        <w:trPr>
          <w:trHeight w:val="624"/>
          <w:jc w:val="center"/>
        </w:trPr>
        <w:tc>
          <w:tcPr>
            <w:tcW w:w="575" w:type="dxa"/>
          </w:tcPr>
          <w:p w:rsidR="00EA1B10" w:rsidRPr="002A0D5E" w:rsidRDefault="00EA1B10" w:rsidP="00EA1B10">
            <w:pPr>
              <w:ind w:left="-68" w:right="34" w:firstLine="91"/>
              <w:jc w:val="center"/>
              <w:rPr>
                <w:rFonts w:ascii="Times New Roman" w:eastAsia="Times New Roman" w:hAnsi="Times New Roman" w:cs="Times New Roman"/>
                <w:sz w:val="20"/>
                <w:szCs w:val="20"/>
                <w:lang w:eastAsia="uk-UA"/>
              </w:rPr>
            </w:pPr>
          </w:p>
        </w:tc>
        <w:tc>
          <w:tcPr>
            <w:tcW w:w="1797" w:type="dxa"/>
          </w:tcPr>
          <w:p w:rsidR="00EA1B10" w:rsidRDefault="00EA1B10" w:rsidP="00EA1B10">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Всього у тому </w:t>
            </w:r>
          </w:p>
          <w:p w:rsidR="00EA1B10" w:rsidRDefault="00EA1B10" w:rsidP="00EA1B10">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числі за </w:t>
            </w:r>
          </w:p>
          <w:p w:rsidR="00EA1B10" w:rsidRPr="002A0D5E" w:rsidRDefault="00EA1B10" w:rsidP="00EA1B10">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джерелами:</w:t>
            </w:r>
          </w:p>
        </w:tc>
        <w:tc>
          <w:tcPr>
            <w:tcW w:w="1273" w:type="dxa"/>
            <w:shd w:val="clear" w:color="auto" w:fill="auto"/>
            <w:vAlign w:val="center"/>
          </w:tcPr>
          <w:p w:rsidR="00EA1B10" w:rsidRPr="00EA1B10" w:rsidRDefault="00EA1B10"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i/>
                <w:sz w:val="20"/>
                <w:szCs w:val="20"/>
              </w:rPr>
              <w:t>7 </w:t>
            </w:r>
            <w:r w:rsidR="00C26524">
              <w:rPr>
                <w:rFonts w:ascii="Times New Roman" w:hAnsi="Times New Roman" w:cs="Times New Roman"/>
                <w:b/>
                <w:i/>
                <w:sz w:val="20"/>
                <w:szCs w:val="20"/>
              </w:rPr>
              <w:t>5</w:t>
            </w:r>
            <w:r w:rsidRPr="00EA1B10">
              <w:rPr>
                <w:rFonts w:ascii="Times New Roman" w:hAnsi="Times New Roman" w:cs="Times New Roman"/>
                <w:b/>
                <w:i/>
                <w:sz w:val="20"/>
                <w:szCs w:val="20"/>
              </w:rPr>
              <w:t>66 574,8</w:t>
            </w:r>
          </w:p>
        </w:tc>
        <w:tc>
          <w:tcPr>
            <w:tcW w:w="1107" w:type="dxa"/>
            <w:shd w:val="clear" w:color="auto" w:fill="auto"/>
            <w:vAlign w:val="center"/>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986667,5</w:t>
            </w:r>
          </w:p>
        </w:tc>
        <w:tc>
          <w:tcPr>
            <w:tcW w:w="1224" w:type="dxa"/>
            <w:shd w:val="clear" w:color="auto" w:fill="auto"/>
            <w:vAlign w:val="center"/>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bCs/>
                <w:sz w:val="20"/>
                <w:szCs w:val="20"/>
              </w:rPr>
              <w:t>5116391,9</w:t>
            </w:r>
          </w:p>
        </w:tc>
        <w:tc>
          <w:tcPr>
            <w:tcW w:w="1107" w:type="dxa"/>
            <w:shd w:val="clear" w:color="auto" w:fill="auto"/>
            <w:vAlign w:val="center"/>
          </w:tcPr>
          <w:p w:rsidR="00EA1B10" w:rsidRPr="00EA1B10" w:rsidRDefault="00EA1B10"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bCs/>
                <w:i/>
                <w:sz w:val="20"/>
                <w:szCs w:val="20"/>
              </w:rPr>
              <w:t>1</w:t>
            </w:r>
            <w:r w:rsidR="00C26524">
              <w:rPr>
                <w:rFonts w:ascii="Times New Roman" w:hAnsi="Times New Roman" w:cs="Times New Roman"/>
                <w:b/>
                <w:bCs/>
                <w:i/>
                <w:sz w:val="20"/>
                <w:szCs w:val="20"/>
              </w:rPr>
              <w:t>46</w:t>
            </w:r>
            <w:r w:rsidRPr="00EA1B10">
              <w:rPr>
                <w:rFonts w:ascii="Times New Roman" w:hAnsi="Times New Roman" w:cs="Times New Roman"/>
                <w:b/>
                <w:bCs/>
                <w:i/>
                <w:sz w:val="20"/>
                <w:szCs w:val="20"/>
              </w:rPr>
              <w:t>3515,4</w:t>
            </w:r>
          </w:p>
        </w:tc>
      </w:tr>
      <w:tr w:rsidR="00EA1B10" w:rsidRPr="002A0D5E" w:rsidTr="008974BD">
        <w:trPr>
          <w:trHeight w:val="492"/>
          <w:jc w:val="center"/>
        </w:trPr>
        <w:tc>
          <w:tcPr>
            <w:tcW w:w="575" w:type="dxa"/>
          </w:tcPr>
          <w:p w:rsidR="00EA1B10" w:rsidRPr="002A0D5E" w:rsidRDefault="00EA1B10" w:rsidP="00EA1B10">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8.1.</w:t>
            </w:r>
          </w:p>
        </w:tc>
        <w:tc>
          <w:tcPr>
            <w:tcW w:w="1797" w:type="dxa"/>
          </w:tcPr>
          <w:p w:rsidR="00EA1B10" w:rsidRPr="00D27E32" w:rsidRDefault="00EA1B10" w:rsidP="00EA1B10">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державний </w:t>
            </w:r>
          </w:p>
          <w:p w:rsidR="00EA1B10" w:rsidRPr="002A0D5E" w:rsidRDefault="00EA1B10" w:rsidP="00EA1B10">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бюджет</w:t>
            </w:r>
          </w:p>
        </w:tc>
        <w:tc>
          <w:tcPr>
            <w:tcW w:w="1273" w:type="dxa"/>
            <w:shd w:val="clear" w:color="auto" w:fill="auto"/>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107" w:type="dxa"/>
            <w:shd w:val="clear" w:color="auto" w:fill="auto"/>
            <w:vAlign w:val="center"/>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224" w:type="dxa"/>
            <w:shd w:val="clear" w:color="auto" w:fill="auto"/>
            <w:vAlign w:val="center"/>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107" w:type="dxa"/>
            <w:shd w:val="clear" w:color="auto" w:fill="auto"/>
            <w:vAlign w:val="center"/>
          </w:tcPr>
          <w:p w:rsidR="00EA1B10" w:rsidRPr="00EA1B10" w:rsidRDefault="00EA1B10" w:rsidP="00EA1B10">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r>
      <w:tr w:rsidR="00C26524" w:rsidRPr="002A0D5E" w:rsidTr="008974BD">
        <w:trPr>
          <w:trHeight w:val="415"/>
          <w:jc w:val="center"/>
        </w:trPr>
        <w:tc>
          <w:tcPr>
            <w:tcW w:w="575" w:type="dxa"/>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8.2.</w:t>
            </w:r>
          </w:p>
        </w:tc>
        <w:tc>
          <w:tcPr>
            <w:tcW w:w="1797" w:type="dxa"/>
          </w:tcPr>
          <w:p w:rsidR="00C26524" w:rsidRDefault="00C26524" w:rsidP="00C26524">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 xml:space="preserve">бюджет міста </w:t>
            </w:r>
          </w:p>
          <w:p w:rsidR="00C26524" w:rsidRPr="002A0D5E" w:rsidRDefault="00C26524" w:rsidP="00C26524">
            <w:pPr>
              <w:ind w:right="34"/>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Києва</w:t>
            </w:r>
          </w:p>
        </w:tc>
        <w:tc>
          <w:tcPr>
            <w:tcW w:w="1273"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i/>
                <w:sz w:val="20"/>
                <w:szCs w:val="20"/>
              </w:rPr>
              <w:t>7 </w:t>
            </w:r>
            <w:r>
              <w:rPr>
                <w:rFonts w:ascii="Times New Roman" w:hAnsi="Times New Roman" w:cs="Times New Roman"/>
                <w:b/>
                <w:i/>
                <w:sz w:val="20"/>
                <w:szCs w:val="20"/>
              </w:rPr>
              <w:t>5</w:t>
            </w:r>
            <w:r w:rsidRPr="00EA1B10">
              <w:rPr>
                <w:rFonts w:ascii="Times New Roman" w:hAnsi="Times New Roman" w:cs="Times New Roman"/>
                <w:b/>
                <w:i/>
                <w:sz w:val="20"/>
                <w:szCs w:val="20"/>
              </w:rPr>
              <w:t>66 574,8</w:t>
            </w:r>
          </w:p>
        </w:tc>
        <w:tc>
          <w:tcPr>
            <w:tcW w:w="1107"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986667,5</w:t>
            </w:r>
          </w:p>
        </w:tc>
        <w:tc>
          <w:tcPr>
            <w:tcW w:w="1224"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bCs/>
                <w:sz w:val="20"/>
                <w:szCs w:val="20"/>
              </w:rPr>
              <w:t>5116391,9</w:t>
            </w:r>
          </w:p>
        </w:tc>
        <w:tc>
          <w:tcPr>
            <w:tcW w:w="1107"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bCs/>
                <w:i/>
                <w:sz w:val="20"/>
                <w:szCs w:val="20"/>
              </w:rPr>
              <w:t>1</w:t>
            </w:r>
            <w:r>
              <w:rPr>
                <w:rFonts w:ascii="Times New Roman" w:hAnsi="Times New Roman" w:cs="Times New Roman"/>
                <w:b/>
                <w:bCs/>
                <w:i/>
                <w:sz w:val="20"/>
                <w:szCs w:val="20"/>
              </w:rPr>
              <w:t>46</w:t>
            </w:r>
            <w:r w:rsidRPr="00EA1B10">
              <w:rPr>
                <w:rFonts w:ascii="Times New Roman" w:hAnsi="Times New Roman" w:cs="Times New Roman"/>
                <w:b/>
                <w:bCs/>
                <w:i/>
                <w:sz w:val="20"/>
                <w:szCs w:val="20"/>
              </w:rPr>
              <w:t>3515,4</w:t>
            </w:r>
          </w:p>
        </w:tc>
      </w:tr>
      <w:tr w:rsidR="00C26524" w:rsidRPr="002A0D5E" w:rsidTr="008974BD">
        <w:trPr>
          <w:trHeight w:val="223"/>
          <w:jc w:val="center"/>
        </w:trPr>
        <w:tc>
          <w:tcPr>
            <w:tcW w:w="575" w:type="dxa"/>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8.3.</w:t>
            </w:r>
          </w:p>
        </w:tc>
        <w:tc>
          <w:tcPr>
            <w:tcW w:w="1797" w:type="dxa"/>
          </w:tcPr>
          <w:p w:rsidR="00C26524" w:rsidRPr="002A0D5E" w:rsidRDefault="00C26524" w:rsidP="00C26524">
            <w:pPr>
              <w:ind w:left="-68" w:right="34" w:firstLine="91"/>
              <w:jc w:val="both"/>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інші джерела</w:t>
            </w:r>
          </w:p>
        </w:tc>
        <w:tc>
          <w:tcPr>
            <w:tcW w:w="1273" w:type="dxa"/>
            <w:shd w:val="clear" w:color="auto" w:fill="auto"/>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107" w:type="dxa"/>
            <w:shd w:val="clear" w:color="auto" w:fill="auto"/>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224" w:type="dxa"/>
            <w:shd w:val="clear" w:color="auto" w:fill="auto"/>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c>
          <w:tcPr>
            <w:tcW w:w="1107" w:type="dxa"/>
            <w:shd w:val="clear" w:color="auto" w:fill="auto"/>
          </w:tcPr>
          <w:p w:rsidR="00C26524" w:rsidRPr="002A0D5E" w:rsidRDefault="00C26524" w:rsidP="00C26524">
            <w:pPr>
              <w:ind w:left="-68" w:right="34" w:firstLine="91"/>
              <w:jc w:val="center"/>
              <w:rPr>
                <w:rFonts w:ascii="Times New Roman" w:eastAsia="Times New Roman" w:hAnsi="Times New Roman" w:cs="Times New Roman"/>
                <w:sz w:val="20"/>
                <w:szCs w:val="20"/>
                <w:lang w:eastAsia="uk-UA"/>
              </w:rPr>
            </w:pPr>
            <w:r w:rsidRPr="002A0D5E">
              <w:rPr>
                <w:rFonts w:ascii="Times New Roman" w:eastAsia="Times New Roman" w:hAnsi="Times New Roman" w:cs="Times New Roman"/>
                <w:sz w:val="20"/>
                <w:szCs w:val="20"/>
                <w:lang w:eastAsia="uk-UA"/>
              </w:rPr>
              <w:t>-</w:t>
            </w:r>
          </w:p>
        </w:tc>
      </w:tr>
    </w:tbl>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EA1B10" w:rsidRDefault="00EA1B10" w:rsidP="00F23FCD">
      <w:pPr>
        <w:spacing w:after="0"/>
        <w:ind w:left="-142"/>
        <w:jc w:val="center"/>
        <w:rPr>
          <w:rFonts w:ascii="Times New Roman" w:hAnsi="Times New Roman" w:cs="Times New Roman"/>
          <w:sz w:val="28"/>
          <w:szCs w:val="28"/>
        </w:rPr>
      </w:pPr>
    </w:p>
    <w:p w:rsidR="000528EA" w:rsidRDefault="000528EA" w:rsidP="000528EA">
      <w:pPr>
        <w:ind w:left="-142" w:right="352"/>
        <w:jc w:val="center"/>
        <w:rPr>
          <w:rFonts w:ascii="Times New Roman" w:hAnsi="Times New Roman" w:cs="Times New Roman"/>
          <w:sz w:val="28"/>
          <w:szCs w:val="28"/>
        </w:rPr>
      </w:pPr>
      <w:r w:rsidRPr="004C15B7">
        <w:rPr>
          <w:rFonts w:ascii="Times New Roman" w:hAnsi="Times New Roman" w:cs="Times New Roman"/>
          <w:sz w:val="28"/>
          <w:szCs w:val="28"/>
        </w:rPr>
        <w:t>IV. ОБҐРУНТУВАННЯ ШЛЯХІВ І ЗАСОБІВ РОЗВ'ЯЗАННЯ ПРОБЛЕМ, ОБСЯГІВ ТА ДЖЕРЕЛ ФІНАНСУВАННЯ, СТРОКИ ВИКОНАННЯ ПРОГРАМИ</w:t>
      </w:r>
    </w:p>
    <w:p w:rsidR="000528EA" w:rsidRDefault="000528EA" w:rsidP="000528EA">
      <w:pPr>
        <w:spacing w:after="0" w:line="240" w:lineRule="auto"/>
        <w:ind w:left="-142"/>
        <w:jc w:val="center"/>
        <w:rPr>
          <w:rFonts w:ascii="Times New Roman" w:hAnsi="Times New Roman" w:cs="Times New Roman"/>
          <w:sz w:val="28"/>
          <w:szCs w:val="28"/>
        </w:rPr>
      </w:pPr>
      <w:r w:rsidRPr="004C15B7">
        <w:rPr>
          <w:rFonts w:ascii="Times New Roman" w:hAnsi="Times New Roman" w:cs="Times New Roman"/>
          <w:sz w:val="28"/>
          <w:szCs w:val="28"/>
        </w:rPr>
        <w:t>Обсяги та джерела фінансування Програми:</w:t>
      </w:r>
    </w:p>
    <w:p w:rsidR="000528EA" w:rsidRDefault="000528EA" w:rsidP="000528EA">
      <w:pPr>
        <w:spacing w:after="0"/>
        <w:ind w:left="-142"/>
        <w:jc w:val="center"/>
        <w:rPr>
          <w:rFonts w:ascii="Times New Roman" w:hAnsi="Times New Roman" w:cs="Times New Roman"/>
          <w:sz w:val="28"/>
          <w:szCs w:val="28"/>
        </w:rPr>
      </w:pPr>
    </w:p>
    <w:tbl>
      <w:tblPr>
        <w:tblStyle w:val="a3"/>
        <w:tblW w:w="0" w:type="auto"/>
        <w:tblInd w:w="-5" w:type="dxa"/>
        <w:tblLook w:val="04A0" w:firstRow="1" w:lastRow="0" w:firstColumn="1" w:lastColumn="0" w:noHBand="0" w:noVBand="1"/>
      </w:tblPr>
      <w:tblGrid>
        <w:gridCol w:w="1973"/>
        <w:gridCol w:w="1367"/>
        <w:gridCol w:w="1389"/>
        <w:gridCol w:w="1489"/>
        <w:gridCol w:w="1500"/>
      </w:tblGrid>
      <w:tr w:rsidR="000528EA" w:rsidRPr="004C15B7" w:rsidTr="008974BD">
        <w:tc>
          <w:tcPr>
            <w:tcW w:w="1973" w:type="dxa"/>
          </w:tcPr>
          <w:p w:rsidR="000528EA" w:rsidRPr="004C15B7" w:rsidRDefault="000528EA" w:rsidP="008974BD">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Обсяг коштів, які пропонується залучити на виконання Програми</w:t>
            </w:r>
          </w:p>
        </w:tc>
        <w:tc>
          <w:tcPr>
            <w:tcW w:w="1367"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2022 рік</w:t>
            </w:r>
          </w:p>
        </w:tc>
        <w:tc>
          <w:tcPr>
            <w:tcW w:w="1389"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2023 рік</w:t>
            </w:r>
          </w:p>
        </w:tc>
        <w:tc>
          <w:tcPr>
            <w:tcW w:w="1489"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2024 рік</w:t>
            </w:r>
          </w:p>
        </w:tc>
        <w:tc>
          <w:tcPr>
            <w:tcW w:w="1500" w:type="dxa"/>
          </w:tcPr>
          <w:p w:rsidR="000528EA" w:rsidRPr="004C15B7" w:rsidRDefault="000528EA" w:rsidP="008974BD">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Усього витрат на виконання Програми (тис. грн)</w:t>
            </w:r>
          </w:p>
        </w:tc>
      </w:tr>
      <w:tr w:rsidR="00C70BA0" w:rsidRPr="004C15B7" w:rsidTr="008974BD">
        <w:tc>
          <w:tcPr>
            <w:tcW w:w="1973" w:type="dxa"/>
          </w:tcPr>
          <w:p w:rsidR="00C70BA0" w:rsidRPr="004C15B7" w:rsidRDefault="00C70BA0" w:rsidP="00C70BA0">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Обсяг ресурсів, усього, у тому числі:</w:t>
            </w:r>
          </w:p>
        </w:tc>
        <w:tc>
          <w:tcPr>
            <w:tcW w:w="1367"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986667,5</w:t>
            </w:r>
          </w:p>
        </w:tc>
        <w:tc>
          <w:tcPr>
            <w:tcW w:w="13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5116391,9</w:t>
            </w:r>
          </w:p>
        </w:tc>
        <w:tc>
          <w:tcPr>
            <w:tcW w:w="14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29863,6</w:t>
            </w:r>
          </w:p>
        </w:tc>
        <w:tc>
          <w:tcPr>
            <w:tcW w:w="1500"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6132923,0</w:t>
            </w:r>
          </w:p>
        </w:tc>
      </w:tr>
      <w:tr w:rsidR="00C70BA0" w:rsidRPr="004C15B7" w:rsidTr="008974BD">
        <w:tc>
          <w:tcPr>
            <w:tcW w:w="1973" w:type="dxa"/>
          </w:tcPr>
          <w:p w:rsidR="00C70BA0" w:rsidRPr="004C15B7" w:rsidRDefault="00C70BA0" w:rsidP="00C70BA0">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Державний бюджет</w:t>
            </w:r>
          </w:p>
        </w:tc>
        <w:tc>
          <w:tcPr>
            <w:tcW w:w="1367"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w:t>
            </w:r>
          </w:p>
        </w:tc>
        <w:tc>
          <w:tcPr>
            <w:tcW w:w="13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w:t>
            </w:r>
          </w:p>
        </w:tc>
        <w:tc>
          <w:tcPr>
            <w:tcW w:w="14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w:t>
            </w:r>
          </w:p>
        </w:tc>
        <w:tc>
          <w:tcPr>
            <w:tcW w:w="1500"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w:t>
            </w:r>
          </w:p>
        </w:tc>
      </w:tr>
      <w:tr w:rsidR="00C70BA0" w:rsidRPr="004C15B7" w:rsidTr="008974BD">
        <w:tc>
          <w:tcPr>
            <w:tcW w:w="1973" w:type="dxa"/>
          </w:tcPr>
          <w:p w:rsidR="00C70BA0" w:rsidRPr="004C15B7" w:rsidRDefault="00C70BA0" w:rsidP="00C70BA0">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Бюджет міста Києва</w:t>
            </w:r>
          </w:p>
        </w:tc>
        <w:tc>
          <w:tcPr>
            <w:tcW w:w="1367"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986667,5</w:t>
            </w:r>
          </w:p>
        </w:tc>
        <w:tc>
          <w:tcPr>
            <w:tcW w:w="13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sz w:val="20"/>
                <w:szCs w:val="20"/>
              </w:rPr>
            </w:pPr>
            <w:r w:rsidRPr="001B57EB">
              <w:rPr>
                <w:sz w:val="20"/>
                <w:szCs w:val="20"/>
              </w:rPr>
              <w:t>5116391,9</w:t>
            </w:r>
          </w:p>
        </w:tc>
        <w:tc>
          <w:tcPr>
            <w:tcW w:w="1489"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29863,6</w:t>
            </w:r>
          </w:p>
        </w:tc>
        <w:tc>
          <w:tcPr>
            <w:tcW w:w="1500" w:type="dxa"/>
            <w:tcBorders>
              <w:top w:val="outset" w:sz="6" w:space="0" w:color="auto"/>
              <w:left w:val="outset" w:sz="6" w:space="0" w:color="auto"/>
              <w:bottom w:val="outset" w:sz="6" w:space="0" w:color="auto"/>
              <w:right w:val="outset" w:sz="6" w:space="0" w:color="auto"/>
            </w:tcBorders>
            <w:vAlign w:val="center"/>
          </w:tcPr>
          <w:p w:rsidR="00C70BA0" w:rsidRPr="001B57EB" w:rsidRDefault="00C70BA0" w:rsidP="00C70BA0">
            <w:pPr>
              <w:pStyle w:val="a6"/>
              <w:jc w:val="center"/>
              <w:rPr>
                <w:b/>
                <w:i/>
                <w:sz w:val="20"/>
                <w:szCs w:val="20"/>
              </w:rPr>
            </w:pPr>
            <w:r w:rsidRPr="001B57EB">
              <w:rPr>
                <w:b/>
                <w:i/>
                <w:sz w:val="20"/>
                <w:szCs w:val="20"/>
              </w:rPr>
              <w:t>6132923,0</w:t>
            </w:r>
          </w:p>
        </w:tc>
      </w:tr>
      <w:tr w:rsidR="000528EA" w:rsidRPr="004C15B7" w:rsidTr="008974BD">
        <w:tc>
          <w:tcPr>
            <w:tcW w:w="1973" w:type="dxa"/>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Інші джерела</w:t>
            </w:r>
          </w:p>
        </w:tc>
        <w:tc>
          <w:tcPr>
            <w:tcW w:w="1367" w:type="dxa"/>
          </w:tcPr>
          <w:p w:rsidR="000528EA" w:rsidRPr="00115B3A"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389" w:type="dxa"/>
          </w:tcPr>
          <w:p w:rsidR="000528EA" w:rsidRPr="00115B3A"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489" w:type="dxa"/>
          </w:tcPr>
          <w:p w:rsidR="000528EA" w:rsidRPr="00115B3A"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500" w:type="dxa"/>
          </w:tcPr>
          <w:p w:rsidR="000528EA" w:rsidRPr="00115B3A"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r>
    </w:tbl>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spacing w:after="0"/>
        <w:ind w:left="-142"/>
        <w:jc w:val="center"/>
        <w:rPr>
          <w:rFonts w:ascii="Times New Roman" w:hAnsi="Times New Roman" w:cs="Times New Roman"/>
          <w:sz w:val="28"/>
          <w:szCs w:val="28"/>
        </w:rPr>
      </w:pPr>
    </w:p>
    <w:p w:rsidR="000528EA" w:rsidRDefault="000528EA" w:rsidP="000528EA">
      <w:pPr>
        <w:ind w:left="-142" w:right="352"/>
        <w:jc w:val="center"/>
        <w:rPr>
          <w:rFonts w:ascii="Times New Roman" w:hAnsi="Times New Roman" w:cs="Times New Roman"/>
          <w:sz w:val="28"/>
          <w:szCs w:val="28"/>
        </w:rPr>
      </w:pPr>
      <w:r w:rsidRPr="004C15B7">
        <w:rPr>
          <w:rFonts w:ascii="Times New Roman" w:hAnsi="Times New Roman" w:cs="Times New Roman"/>
          <w:sz w:val="28"/>
          <w:szCs w:val="28"/>
        </w:rPr>
        <w:t>IV. ОБҐРУНТУВАННЯ ШЛЯХІВ І ЗАСОБІВ РОЗВ'ЯЗАННЯ ПРОБЛЕМ, ОБСЯГІВ ТА ДЖЕРЕЛ ФІНАНСУВАННЯ, СТРОКИ ВИКОНАННЯ ПРОГРАМИ</w:t>
      </w:r>
    </w:p>
    <w:p w:rsidR="000528EA" w:rsidRDefault="000528EA" w:rsidP="000528EA">
      <w:pPr>
        <w:spacing w:after="0"/>
        <w:ind w:left="-142" w:right="281"/>
        <w:jc w:val="center"/>
        <w:rPr>
          <w:rFonts w:ascii="Times New Roman" w:hAnsi="Times New Roman" w:cs="Times New Roman"/>
          <w:sz w:val="28"/>
          <w:szCs w:val="28"/>
        </w:rPr>
      </w:pPr>
      <w:r w:rsidRPr="004C15B7">
        <w:rPr>
          <w:rFonts w:ascii="Times New Roman" w:hAnsi="Times New Roman" w:cs="Times New Roman"/>
          <w:sz w:val="28"/>
          <w:szCs w:val="28"/>
        </w:rPr>
        <w:t>Обсяги та джерела фінансування Програми:</w:t>
      </w:r>
    </w:p>
    <w:p w:rsidR="000528EA" w:rsidRDefault="000528EA" w:rsidP="000528EA">
      <w:pPr>
        <w:spacing w:after="0"/>
        <w:ind w:left="-142"/>
        <w:jc w:val="center"/>
        <w:rPr>
          <w:rFonts w:ascii="Times New Roman" w:hAnsi="Times New Roman" w:cs="Times New Roman"/>
          <w:sz w:val="28"/>
          <w:szCs w:val="28"/>
        </w:rPr>
      </w:pPr>
    </w:p>
    <w:tbl>
      <w:tblPr>
        <w:tblStyle w:val="a3"/>
        <w:tblW w:w="0" w:type="auto"/>
        <w:tblInd w:w="-5" w:type="dxa"/>
        <w:tblLook w:val="04A0" w:firstRow="1" w:lastRow="0" w:firstColumn="1" w:lastColumn="0" w:noHBand="0" w:noVBand="1"/>
      </w:tblPr>
      <w:tblGrid>
        <w:gridCol w:w="2014"/>
        <w:gridCol w:w="1105"/>
        <w:gridCol w:w="1224"/>
        <w:gridCol w:w="1276"/>
        <w:gridCol w:w="1842"/>
      </w:tblGrid>
      <w:tr w:rsidR="000528EA" w:rsidRPr="004C15B7" w:rsidTr="008974BD">
        <w:tc>
          <w:tcPr>
            <w:tcW w:w="2014" w:type="dxa"/>
          </w:tcPr>
          <w:p w:rsidR="000528EA" w:rsidRPr="004C15B7" w:rsidRDefault="000528EA" w:rsidP="008974BD">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Обсяг коштів, які пропонується залучити на виконання Програми</w:t>
            </w:r>
          </w:p>
        </w:tc>
        <w:tc>
          <w:tcPr>
            <w:tcW w:w="1105"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2022 рік</w:t>
            </w:r>
          </w:p>
        </w:tc>
        <w:tc>
          <w:tcPr>
            <w:tcW w:w="1224"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2023 рік</w:t>
            </w:r>
          </w:p>
        </w:tc>
        <w:tc>
          <w:tcPr>
            <w:tcW w:w="1276" w:type="dxa"/>
            <w:vAlign w:val="center"/>
          </w:tcPr>
          <w:p w:rsidR="000528EA" w:rsidRPr="004C15B7" w:rsidRDefault="000528EA" w:rsidP="008974BD">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2024 рік</w:t>
            </w:r>
          </w:p>
        </w:tc>
        <w:tc>
          <w:tcPr>
            <w:tcW w:w="1842" w:type="dxa"/>
          </w:tcPr>
          <w:p w:rsidR="000528EA" w:rsidRPr="004C15B7" w:rsidRDefault="000528EA" w:rsidP="008974BD">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Усього витрат на виконання Програми (тис. грн)</w:t>
            </w:r>
          </w:p>
        </w:tc>
      </w:tr>
      <w:tr w:rsidR="00C26524" w:rsidRPr="004C15B7" w:rsidTr="008974BD">
        <w:tc>
          <w:tcPr>
            <w:tcW w:w="2014" w:type="dxa"/>
          </w:tcPr>
          <w:p w:rsidR="00C26524" w:rsidRDefault="00C26524" w:rsidP="00C26524">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 xml:space="preserve">Обсяг ресурсів, усього, у тому </w:t>
            </w:r>
          </w:p>
          <w:p w:rsidR="00C26524" w:rsidRPr="004C15B7" w:rsidRDefault="00C26524" w:rsidP="00C26524">
            <w:pPr>
              <w:spacing w:line="233" w:lineRule="auto"/>
              <w:contextualSpacing/>
              <w:jc w:val="center"/>
              <w:rPr>
                <w:rFonts w:ascii="Times New Roman" w:eastAsia="Calibri" w:hAnsi="Times New Roman" w:cs="Times New Roman"/>
                <w:sz w:val="20"/>
                <w:szCs w:val="20"/>
              </w:rPr>
            </w:pPr>
            <w:r w:rsidRPr="004C15B7">
              <w:rPr>
                <w:rFonts w:ascii="Times New Roman" w:eastAsia="Calibri" w:hAnsi="Times New Roman" w:cs="Times New Roman"/>
                <w:sz w:val="20"/>
                <w:szCs w:val="20"/>
              </w:rPr>
              <w:t>числі:</w:t>
            </w:r>
          </w:p>
        </w:tc>
        <w:tc>
          <w:tcPr>
            <w:tcW w:w="1105"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986667,5</w:t>
            </w:r>
          </w:p>
        </w:tc>
        <w:tc>
          <w:tcPr>
            <w:tcW w:w="1224"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bCs/>
                <w:sz w:val="20"/>
                <w:szCs w:val="20"/>
              </w:rPr>
              <w:t>5116391,9</w:t>
            </w:r>
          </w:p>
        </w:tc>
        <w:tc>
          <w:tcPr>
            <w:tcW w:w="1276"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bCs/>
                <w:i/>
                <w:sz w:val="20"/>
                <w:szCs w:val="20"/>
              </w:rPr>
              <w:t>1</w:t>
            </w:r>
            <w:r>
              <w:rPr>
                <w:rFonts w:ascii="Times New Roman" w:hAnsi="Times New Roman" w:cs="Times New Roman"/>
                <w:b/>
                <w:bCs/>
                <w:i/>
                <w:sz w:val="20"/>
                <w:szCs w:val="20"/>
              </w:rPr>
              <w:t>46</w:t>
            </w:r>
            <w:r w:rsidRPr="00EA1B10">
              <w:rPr>
                <w:rFonts w:ascii="Times New Roman" w:hAnsi="Times New Roman" w:cs="Times New Roman"/>
                <w:b/>
                <w:bCs/>
                <w:i/>
                <w:sz w:val="20"/>
                <w:szCs w:val="20"/>
              </w:rPr>
              <w:t>3515,4</w:t>
            </w:r>
          </w:p>
        </w:tc>
        <w:tc>
          <w:tcPr>
            <w:tcW w:w="1842"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i/>
                <w:sz w:val="20"/>
                <w:szCs w:val="20"/>
              </w:rPr>
              <w:t>7 </w:t>
            </w:r>
            <w:r>
              <w:rPr>
                <w:rFonts w:ascii="Times New Roman" w:hAnsi="Times New Roman" w:cs="Times New Roman"/>
                <w:b/>
                <w:i/>
                <w:sz w:val="20"/>
                <w:szCs w:val="20"/>
              </w:rPr>
              <w:t>5</w:t>
            </w:r>
            <w:r w:rsidRPr="00EA1B10">
              <w:rPr>
                <w:rFonts w:ascii="Times New Roman" w:hAnsi="Times New Roman" w:cs="Times New Roman"/>
                <w:b/>
                <w:i/>
                <w:sz w:val="20"/>
                <w:szCs w:val="20"/>
              </w:rPr>
              <w:t>66 574,8</w:t>
            </w:r>
          </w:p>
        </w:tc>
      </w:tr>
      <w:tr w:rsidR="00C26524" w:rsidRPr="004C15B7" w:rsidTr="008974BD">
        <w:tc>
          <w:tcPr>
            <w:tcW w:w="2014" w:type="dxa"/>
          </w:tcPr>
          <w:p w:rsidR="00C26524" w:rsidRPr="004C15B7"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Державний бюджет</w:t>
            </w:r>
          </w:p>
        </w:tc>
        <w:tc>
          <w:tcPr>
            <w:tcW w:w="1105"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224"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276"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c>
          <w:tcPr>
            <w:tcW w:w="1842" w:type="dxa"/>
            <w:shd w:val="clear" w:color="auto" w:fill="auto"/>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w:t>
            </w:r>
          </w:p>
        </w:tc>
      </w:tr>
      <w:tr w:rsidR="00C26524" w:rsidRPr="004C15B7" w:rsidTr="008974BD">
        <w:tc>
          <w:tcPr>
            <w:tcW w:w="2014" w:type="dxa"/>
          </w:tcPr>
          <w:p w:rsidR="00C26524"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 xml:space="preserve">Бюджет міста </w:t>
            </w:r>
          </w:p>
          <w:p w:rsidR="00C26524" w:rsidRPr="004C15B7"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Києва</w:t>
            </w:r>
          </w:p>
        </w:tc>
        <w:tc>
          <w:tcPr>
            <w:tcW w:w="1105"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sz w:val="20"/>
                <w:szCs w:val="20"/>
              </w:rPr>
              <w:t>986667,5</w:t>
            </w:r>
          </w:p>
        </w:tc>
        <w:tc>
          <w:tcPr>
            <w:tcW w:w="1224" w:type="dxa"/>
            <w:shd w:val="clear" w:color="auto" w:fill="auto"/>
            <w:vAlign w:val="center"/>
          </w:tcPr>
          <w:p w:rsidR="00C26524" w:rsidRPr="00EA1B10" w:rsidRDefault="00C26524" w:rsidP="00C26524">
            <w:pPr>
              <w:spacing w:line="233" w:lineRule="auto"/>
              <w:jc w:val="center"/>
              <w:rPr>
                <w:rFonts w:ascii="Times New Roman" w:hAnsi="Times New Roman" w:cs="Times New Roman"/>
                <w:sz w:val="20"/>
                <w:szCs w:val="20"/>
              </w:rPr>
            </w:pPr>
            <w:r w:rsidRPr="00EA1B10">
              <w:rPr>
                <w:rFonts w:ascii="Times New Roman" w:hAnsi="Times New Roman" w:cs="Times New Roman"/>
                <w:bCs/>
                <w:sz w:val="20"/>
                <w:szCs w:val="20"/>
              </w:rPr>
              <w:t>5116391,9</w:t>
            </w:r>
          </w:p>
        </w:tc>
        <w:tc>
          <w:tcPr>
            <w:tcW w:w="1276"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bCs/>
                <w:i/>
                <w:sz w:val="20"/>
                <w:szCs w:val="20"/>
              </w:rPr>
              <w:t>1</w:t>
            </w:r>
            <w:r>
              <w:rPr>
                <w:rFonts w:ascii="Times New Roman" w:hAnsi="Times New Roman" w:cs="Times New Roman"/>
                <w:b/>
                <w:bCs/>
                <w:i/>
                <w:sz w:val="20"/>
                <w:szCs w:val="20"/>
              </w:rPr>
              <w:t>46</w:t>
            </w:r>
            <w:r w:rsidRPr="00EA1B10">
              <w:rPr>
                <w:rFonts w:ascii="Times New Roman" w:hAnsi="Times New Roman" w:cs="Times New Roman"/>
                <w:b/>
                <w:bCs/>
                <w:i/>
                <w:sz w:val="20"/>
                <w:szCs w:val="20"/>
              </w:rPr>
              <w:t>3515,4</w:t>
            </w:r>
          </w:p>
        </w:tc>
        <w:tc>
          <w:tcPr>
            <w:tcW w:w="1842" w:type="dxa"/>
            <w:shd w:val="clear" w:color="auto" w:fill="auto"/>
            <w:vAlign w:val="center"/>
          </w:tcPr>
          <w:p w:rsidR="00C26524" w:rsidRPr="00EA1B10" w:rsidRDefault="00C26524" w:rsidP="00C26524">
            <w:pPr>
              <w:spacing w:line="233" w:lineRule="auto"/>
              <w:jc w:val="center"/>
              <w:rPr>
                <w:rFonts w:ascii="Times New Roman" w:hAnsi="Times New Roman" w:cs="Times New Roman"/>
                <w:b/>
                <w:i/>
                <w:sz w:val="20"/>
                <w:szCs w:val="20"/>
              </w:rPr>
            </w:pPr>
            <w:r w:rsidRPr="00EA1B10">
              <w:rPr>
                <w:rFonts w:ascii="Times New Roman" w:hAnsi="Times New Roman" w:cs="Times New Roman"/>
                <w:b/>
                <w:i/>
                <w:sz w:val="20"/>
                <w:szCs w:val="20"/>
              </w:rPr>
              <w:t>7 </w:t>
            </w:r>
            <w:r>
              <w:rPr>
                <w:rFonts w:ascii="Times New Roman" w:hAnsi="Times New Roman" w:cs="Times New Roman"/>
                <w:b/>
                <w:i/>
                <w:sz w:val="20"/>
                <w:szCs w:val="20"/>
              </w:rPr>
              <w:t>5</w:t>
            </w:r>
            <w:r w:rsidRPr="00EA1B10">
              <w:rPr>
                <w:rFonts w:ascii="Times New Roman" w:hAnsi="Times New Roman" w:cs="Times New Roman"/>
                <w:b/>
                <w:i/>
                <w:sz w:val="20"/>
                <w:szCs w:val="20"/>
              </w:rPr>
              <w:t>66 574,8</w:t>
            </w:r>
          </w:p>
        </w:tc>
      </w:tr>
      <w:tr w:rsidR="00C26524" w:rsidRPr="004C15B7" w:rsidTr="008974BD">
        <w:tc>
          <w:tcPr>
            <w:tcW w:w="2014" w:type="dxa"/>
          </w:tcPr>
          <w:p w:rsidR="00C26524" w:rsidRPr="004C15B7"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4C15B7">
              <w:rPr>
                <w:rFonts w:ascii="Times New Roman" w:eastAsia="Times New Roman" w:hAnsi="Times New Roman" w:cs="Times New Roman"/>
                <w:sz w:val="20"/>
                <w:szCs w:val="20"/>
                <w:lang w:eastAsia="uk-UA"/>
              </w:rPr>
              <w:t>Інші джерела</w:t>
            </w:r>
          </w:p>
        </w:tc>
        <w:tc>
          <w:tcPr>
            <w:tcW w:w="1105" w:type="dxa"/>
          </w:tcPr>
          <w:p w:rsidR="00C26524" w:rsidRPr="00115B3A"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224" w:type="dxa"/>
          </w:tcPr>
          <w:p w:rsidR="00C26524" w:rsidRPr="00115B3A"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276" w:type="dxa"/>
          </w:tcPr>
          <w:p w:rsidR="00C26524" w:rsidRPr="00115B3A"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c>
          <w:tcPr>
            <w:tcW w:w="1842" w:type="dxa"/>
          </w:tcPr>
          <w:p w:rsidR="00C26524" w:rsidRPr="00115B3A" w:rsidRDefault="00C26524" w:rsidP="00C26524">
            <w:pPr>
              <w:spacing w:line="233" w:lineRule="auto"/>
              <w:ind w:left="-68" w:right="34" w:firstLine="91"/>
              <w:jc w:val="center"/>
              <w:rPr>
                <w:rFonts w:ascii="Times New Roman" w:eastAsia="Times New Roman" w:hAnsi="Times New Roman" w:cs="Times New Roman"/>
                <w:sz w:val="20"/>
                <w:szCs w:val="20"/>
                <w:lang w:eastAsia="uk-UA"/>
              </w:rPr>
            </w:pPr>
            <w:r w:rsidRPr="00115B3A">
              <w:rPr>
                <w:rFonts w:ascii="Times New Roman" w:eastAsia="Times New Roman" w:hAnsi="Times New Roman" w:cs="Times New Roman"/>
                <w:sz w:val="20"/>
                <w:szCs w:val="20"/>
                <w:lang w:eastAsia="uk-UA"/>
              </w:rPr>
              <w:t>-</w:t>
            </w:r>
          </w:p>
        </w:tc>
      </w:tr>
    </w:tbl>
    <w:p w:rsidR="000528EA" w:rsidRDefault="000528EA" w:rsidP="000528EA">
      <w:pPr>
        <w:spacing w:after="0"/>
        <w:ind w:left="-142"/>
        <w:jc w:val="center"/>
        <w:rPr>
          <w:rFonts w:ascii="Times New Roman" w:hAnsi="Times New Roman" w:cs="Times New Roman"/>
          <w:sz w:val="28"/>
          <w:szCs w:val="28"/>
        </w:rPr>
      </w:pPr>
    </w:p>
    <w:p w:rsidR="000528EA" w:rsidRDefault="000528EA"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p w:rsidR="008937E1" w:rsidRDefault="008937E1" w:rsidP="00F23FCD">
      <w:pPr>
        <w:spacing w:after="0"/>
        <w:ind w:left="-142"/>
        <w:jc w:val="center"/>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696"/>
        <w:gridCol w:w="837"/>
        <w:gridCol w:w="1259"/>
        <w:gridCol w:w="624"/>
        <w:gridCol w:w="845"/>
        <w:gridCol w:w="791"/>
        <w:gridCol w:w="822"/>
        <w:gridCol w:w="769"/>
        <w:gridCol w:w="404"/>
        <w:gridCol w:w="404"/>
        <w:gridCol w:w="404"/>
      </w:tblGrid>
      <w:tr w:rsidR="00254B59" w:rsidRPr="00254B59" w:rsidTr="00254B59">
        <w:trPr>
          <w:jc w:val="center"/>
        </w:trPr>
        <w:tc>
          <w:tcPr>
            <w:tcW w:w="3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 xml:space="preserve">Оперативна ціль </w:t>
            </w:r>
            <w:r w:rsidRPr="00254B59">
              <w:rPr>
                <w:color w:val="0000FF"/>
                <w:sz w:val="14"/>
                <w:szCs w:val="14"/>
                <w:lang w:val="uk-UA"/>
              </w:rPr>
              <w:t>Стратегії розвитку міста Києва до 2025 року</w:t>
            </w:r>
          </w:p>
        </w:tc>
        <w:tc>
          <w:tcPr>
            <w:tcW w:w="4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Завдання програми</w:t>
            </w:r>
          </w:p>
        </w:tc>
        <w:tc>
          <w:tcPr>
            <w:tcW w:w="11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Заходи програми</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Строки виконання заходу</w:t>
            </w:r>
          </w:p>
        </w:tc>
        <w:tc>
          <w:tcPr>
            <w:tcW w:w="5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Виконавці заходу</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Джерела фінансування</w:t>
            </w:r>
          </w:p>
        </w:tc>
        <w:tc>
          <w:tcPr>
            <w:tcW w:w="4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Обсяги фінансування, тис. грн</w:t>
            </w:r>
          </w:p>
        </w:tc>
        <w:tc>
          <w:tcPr>
            <w:tcW w:w="1500" w:type="pct"/>
            <w:gridSpan w:val="4"/>
            <w:hideMark/>
          </w:tcPr>
          <w:p w:rsidR="00254B59" w:rsidRPr="00254B59" w:rsidRDefault="00254B59" w:rsidP="008974BD">
            <w:pPr>
              <w:pStyle w:val="a6"/>
              <w:jc w:val="center"/>
              <w:rPr>
                <w:sz w:val="14"/>
                <w:szCs w:val="14"/>
                <w:lang w:val="uk-UA"/>
              </w:rPr>
            </w:pPr>
            <w:r w:rsidRPr="00254B59">
              <w:rPr>
                <w:sz w:val="14"/>
                <w:szCs w:val="14"/>
                <w:lang w:val="uk-UA"/>
              </w:rPr>
              <w:t>Очікуваний результат (результативні показники)</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700" w:type="pct"/>
            <w:hideMark/>
          </w:tcPr>
          <w:p w:rsidR="00254B59" w:rsidRPr="00254B59" w:rsidRDefault="00254B59" w:rsidP="008974BD">
            <w:pPr>
              <w:pStyle w:val="a6"/>
              <w:jc w:val="center"/>
              <w:rPr>
                <w:sz w:val="14"/>
                <w:szCs w:val="14"/>
                <w:lang w:val="uk-UA"/>
              </w:rPr>
            </w:pPr>
            <w:r w:rsidRPr="00254B59">
              <w:rPr>
                <w:sz w:val="14"/>
                <w:szCs w:val="14"/>
                <w:lang w:val="uk-UA"/>
              </w:rPr>
              <w:t>Назва показника</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2022 рік</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2023 рік</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2024 рік</w:t>
            </w:r>
          </w:p>
        </w:tc>
      </w:tr>
      <w:tr w:rsidR="00254B59" w:rsidRPr="00254B59" w:rsidTr="00254B59">
        <w:trPr>
          <w:jc w:val="center"/>
        </w:trPr>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w:t>
            </w: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w:t>
            </w:r>
          </w:p>
        </w:tc>
        <w:tc>
          <w:tcPr>
            <w:tcW w:w="1100" w:type="pct"/>
            <w:hideMark/>
          </w:tcPr>
          <w:p w:rsidR="00254B59" w:rsidRPr="00254B59" w:rsidRDefault="00254B59" w:rsidP="008974BD">
            <w:pPr>
              <w:pStyle w:val="a6"/>
              <w:jc w:val="center"/>
              <w:rPr>
                <w:sz w:val="14"/>
                <w:szCs w:val="14"/>
                <w:lang w:val="uk-UA"/>
              </w:rPr>
            </w:pPr>
            <w:r w:rsidRPr="00254B59">
              <w:rPr>
                <w:sz w:val="14"/>
                <w:szCs w:val="14"/>
                <w:lang w:val="uk-UA"/>
              </w:rPr>
              <w:t>3</w:t>
            </w:r>
          </w:p>
        </w:tc>
        <w:tc>
          <w:tcPr>
            <w:tcW w:w="350" w:type="pct"/>
            <w:hideMark/>
          </w:tcPr>
          <w:p w:rsidR="00254B59" w:rsidRPr="00254B59" w:rsidRDefault="00254B59" w:rsidP="008974BD">
            <w:pPr>
              <w:pStyle w:val="a6"/>
              <w:jc w:val="center"/>
              <w:rPr>
                <w:sz w:val="14"/>
                <w:szCs w:val="14"/>
                <w:lang w:val="uk-UA"/>
              </w:rPr>
            </w:pPr>
            <w:r w:rsidRPr="00254B59">
              <w:rPr>
                <w:sz w:val="14"/>
                <w:szCs w:val="14"/>
                <w:lang w:val="uk-UA"/>
              </w:rPr>
              <w:t>4</w:t>
            </w:r>
          </w:p>
        </w:tc>
        <w:tc>
          <w:tcPr>
            <w:tcW w:w="500" w:type="pct"/>
            <w:hideMark/>
          </w:tcPr>
          <w:p w:rsidR="00254B59" w:rsidRPr="00254B59" w:rsidRDefault="00254B59" w:rsidP="008974BD">
            <w:pPr>
              <w:pStyle w:val="a6"/>
              <w:jc w:val="center"/>
              <w:rPr>
                <w:sz w:val="14"/>
                <w:szCs w:val="14"/>
                <w:lang w:val="uk-UA"/>
              </w:rPr>
            </w:pPr>
            <w:r w:rsidRPr="00254B59">
              <w:rPr>
                <w:sz w:val="14"/>
                <w:szCs w:val="14"/>
                <w:lang w:val="uk-UA"/>
              </w:rPr>
              <w:t>5</w:t>
            </w:r>
          </w:p>
        </w:tc>
        <w:tc>
          <w:tcPr>
            <w:tcW w:w="350" w:type="pct"/>
            <w:hideMark/>
          </w:tcPr>
          <w:p w:rsidR="00254B59" w:rsidRPr="00254B59" w:rsidRDefault="00254B59" w:rsidP="008974BD">
            <w:pPr>
              <w:pStyle w:val="a6"/>
              <w:jc w:val="center"/>
              <w:rPr>
                <w:sz w:val="14"/>
                <w:szCs w:val="14"/>
                <w:lang w:val="uk-UA"/>
              </w:rPr>
            </w:pPr>
            <w:r w:rsidRPr="00254B59">
              <w:rPr>
                <w:sz w:val="14"/>
                <w:szCs w:val="14"/>
                <w:lang w:val="uk-UA"/>
              </w:rPr>
              <w:t>6</w:t>
            </w: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7</w:t>
            </w:r>
          </w:p>
        </w:tc>
        <w:tc>
          <w:tcPr>
            <w:tcW w:w="700" w:type="pct"/>
            <w:hideMark/>
          </w:tcPr>
          <w:p w:rsidR="00254B59" w:rsidRPr="00254B59" w:rsidRDefault="00254B59" w:rsidP="008974BD">
            <w:pPr>
              <w:pStyle w:val="a6"/>
              <w:jc w:val="center"/>
              <w:rPr>
                <w:sz w:val="14"/>
                <w:szCs w:val="14"/>
                <w:lang w:val="uk-UA"/>
              </w:rPr>
            </w:pPr>
            <w:r w:rsidRPr="00254B59">
              <w:rPr>
                <w:sz w:val="14"/>
                <w:szCs w:val="14"/>
                <w:lang w:val="uk-UA"/>
              </w:rPr>
              <w:t>8</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9</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11</w:t>
            </w:r>
          </w:p>
        </w:tc>
      </w:tr>
      <w:tr w:rsidR="00254B59" w:rsidRPr="00254B59" w:rsidTr="00254B59">
        <w:trPr>
          <w:jc w:val="center"/>
        </w:trPr>
        <w:tc>
          <w:tcPr>
            <w:tcW w:w="300" w:type="pct"/>
            <w:vMerge w:val="restart"/>
            <w:hideMark/>
          </w:tcPr>
          <w:p w:rsidR="00254B59" w:rsidRPr="00254B59" w:rsidRDefault="00254B59" w:rsidP="008974BD">
            <w:pPr>
              <w:pStyle w:val="a6"/>
              <w:rPr>
                <w:sz w:val="14"/>
                <w:szCs w:val="14"/>
                <w:lang w:val="uk-UA"/>
              </w:rPr>
            </w:pPr>
            <w:r w:rsidRPr="00254B59">
              <w:rPr>
                <w:sz w:val="14"/>
                <w:szCs w:val="14"/>
                <w:lang w:val="uk-UA"/>
              </w:rPr>
              <w:t> </w:t>
            </w:r>
          </w:p>
        </w:tc>
        <w:tc>
          <w:tcPr>
            <w:tcW w:w="450" w:type="pct"/>
            <w:vMerge w:val="restart"/>
            <w:hideMark/>
          </w:tcPr>
          <w:p w:rsidR="00254B59" w:rsidRPr="00254B59" w:rsidRDefault="00254B59" w:rsidP="008974BD">
            <w:pPr>
              <w:pStyle w:val="a6"/>
              <w:rPr>
                <w:sz w:val="14"/>
                <w:szCs w:val="14"/>
                <w:lang w:val="uk-UA"/>
              </w:rPr>
            </w:pPr>
            <w:r w:rsidRPr="00254B59">
              <w:rPr>
                <w:sz w:val="14"/>
                <w:szCs w:val="14"/>
                <w:lang w:val="uk-UA"/>
              </w:rPr>
              <w:t>1. Заходи щодо організації військової служби, виконання військового обов'язку, мобілізаційної підготовки</w:t>
            </w:r>
          </w:p>
        </w:tc>
        <w:tc>
          <w:tcPr>
            <w:tcW w:w="4250" w:type="pct"/>
            <w:gridSpan w:val="9"/>
            <w:hideMark/>
          </w:tcPr>
          <w:p w:rsidR="00254B59" w:rsidRPr="00254B59" w:rsidRDefault="00254B59" w:rsidP="008974BD">
            <w:pPr>
              <w:pStyle w:val="a6"/>
              <w:jc w:val="center"/>
              <w:rPr>
                <w:sz w:val="14"/>
                <w:szCs w:val="14"/>
                <w:lang w:val="uk-UA"/>
              </w:rPr>
            </w:pPr>
            <w:r w:rsidRPr="00254B59">
              <w:rPr>
                <w:sz w:val="14"/>
                <w:szCs w:val="14"/>
                <w:lang w:val="uk-UA"/>
              </w:rPr>
              <w:t>1. Забезпечення функціонування медичних комісій</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1100" w:type="pct"/>
            <w:vMerge w:val="restart"/>
            <w:hideMark/>
          </w:tcPr>
          <w:p w:rsidR="00254B59" w:rsidRPr="00254B59" w:rsidRDefault="00254B59" w:rsidP="008974BD">
            <w:pPr>
              <w:pStyle w:val="a6"/>
              <w:rPr>
                <w:sz w:val="14"/>
                <w:szCs w:val="14"/>
                <w:lang w:val="uk-UA"/>
              </w:rPr>
            </w:pPr>
            <w:r w:rsidRPr="00254B59">
              <w:rPr>
                <w:sz w:val="14"/>
                <w:szCs w:val="14"/>
                <w:lang w:val="uk-UA"/>
              </w:rPr>
              <w:t>1. Надання медичних послуг із проведення обов'язкових медичних досліджень та профілактичного наркологічного та психіатричного оглядів громадянам призовного віку під час приписки до призовних дільниць, організації та проведення чергових призовів на строкову службу, військову службу за призовом осіб офіцерського складу, військовозобов'язаних та резервістів при укладанні контрактів на проходження військової служби, військовозобов'язаних та резервістів при укладанні контрактів на проходження служби за контрактом в бригаді Сил територіальної оборони міста Києва</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2022 - 2024 роки</w:t>
            </w:r>
          </w:p>
        </w:tc>
        <w:tc>
          <w:tcPr>
            <w:tcW w:w="500" w:type="pct"/>
            <w:vMerge w:val="restart"/>
            <w:hideMark/>
          </w:tcPr>
          <w:p w:rsidR="00254B59" w:rsidRPr="00254B59" w:rsidRDefault="00254B59" w:rsidP="008974BD">
            <w:pPr>
              <w:pStyle w:val="a6"/>
              <w:rPr>
                <w:sz w:val="14"/>
                <w:szCs w:val="14"/>
                <w:lang w:val="uk-UA"/>
              </w:rPr>
            </w:pPr>
            <w:r w:rsidRPr="00254B59">
              <w:rPr>
                <w:sz w:val="14"/>
                <w:szCs w:val="14"/>
                <w:lang w:val="uk-UA"/>
              </w:rPr>
              <w:t>Департамент муніципальної безпеки, Київський міський ТЦК та СП</w:t>
            </w:r>
          </w:p>
        </w:tc>
        <w:tc>
          <w:tcPr>
            <w:tcW w:w="350" w:type="pct"/>
            <w:vMerge w:val="restart"/>
            <w:hideMark/>
          </w:tcPr>
          <w:p w:rsidR="00254B59" w:rsidRPr="00254B59" w:rsidRDefault="00254B59" w:rsidP="008974BD">
            <w:pPr>
              <w:pStyle w:val="a6"/>
              <w:rPr>
                <w:sz w:val="14"/>
                <w:szCs w:val="14"/>
                <w:lang w:val="uk-UA"/>
              </w:rPr>
            </w:pPr>
            <w:r w:rsidRPr="00254B59">
              <w:rPr>
                <w:sz w:val="14"/>
                <w:szCs w:val="14"/>
                <w:lang w:val="uk-UA"/>
              </w:rPr>
              <w:t>Бюджет міста Києва</w:t>
            </w: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Всього:</w:t>
            </w:r>
            <w:r w:rsidRPr="00254B59">
              <w:rPr>
                <w:sz w:val="14"/>
                <w:szCs w:val="14"/>
                <w:lang w:val="uk-UA"/>
              </w:rPr>
              <w:br/>
              <w:t>20214,0</w:t>
            </w:r>
          </w:p>
        </w:tc>
        <w:tc>
          <w:tcPr>
            <w:tcW w:w="700" w:type="pct"/>
            <w:hideMark/>
          </w:tcPr>
          <w:p w:rsidR="00254B59" w:rsidRPr="00254B59" w:rsidRDefault="00254B59" w:rsidP="008974BD">
            <w:pPr>
              <w:pStyle w:val="a6"/>
              <w:rPr>
                <w:sz w:val="14"/>
                <w:szCs w:val="14"/>
                <w:lang w:val="uk-UA"/>
              </w:rPr>
            </w:pPr>
            <w:r w:rsidRPr="00254B59">
              <w:rPr>
                <w:sz w:val="14"/>
                <w:szCs w:val="14"/>
                <w:lang w:val="uk-UA"/>
              </w:rPr>
              <w:t>витрат</w:t>
            </w:r>
            <w:r w:rsidRPr="00254B59">
              <w:rPr>
                <w:sz w:val="14"/>
                <w:szCs w:val="14"/>
                <w:lang w:val="uk-UA"/>
              </w:rPr>
              <w:br/>
              <w:t>витрати на послуги з медичних досліджень, тис. грн</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5933,0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6800,5</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7480,5</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2022 рік</w:t>
            </w:r>
            <w:r w:rsidRPr="00254B59">
              <w:rPr>
                <w:sz w:val="14"/>
                <w:szCs w:val="14"/>
                <w:lang w:val="uk-UA"/>
              </w:rPr>
              <w:br/>
              <w:t>5933,0</w:t>
            </w:r>
          </w:p>
        </w:tc>
        <w:tc>
          <w:tcPr>
            <w:tcW w:w="700" w:type="pct"/>
            <w:hideMark/>
          </w:tcPr>
          <w:p w:rsidR="00254B59" w:rsidRPr="00254B59" w:rsidRDefault="00254B59" w:rsidP="008974BD">
            <w:pPr>
              <w:pStyle w:val="a6"/>
              <w:rPr>
                <w:sz w:val="14"/>
                <w:szCs w:val="14"/>
                <w:lang w:val="uk-UA"/>
              </w:rPr>
            </w:pPr>
            <w:r w:rsidRPr="00254B59">
              <w:rPr>
                <w:sz w:val="14"/>
                <w:szCs w:val="14"/>
                <w:lang w:val="uk-UA"/>
              </w:rPr>
              <w:t>продукту</w:t>
            </w:r>
            <w:r w:rsidRPr="00254B59">
              <w:rPr>
                <w:sz w:val="14"/>
                <w:szCs w:val="14"/>
                <w:lang w:val="uk-UA"/>
              </w:rPr>
              <w:br/>
              <w:t>кількість досліджень, од.</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4333</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4515</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4515</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2023 рік</w:t>
            </w:r>
            <w:r w:rsidRPr="00254B59">
              <w:rPr>
                <w:sz w:val="14"/>
                <w:szCs w:val="14"/>
                <w:lang w:val="uk-UA"/>
              </w:rPr>
              <w:br/>
              <w:t>6800,5</w:t>
            </w:r>
          </w:p>
        </w:tc>
        <w:tc>
          <w:tcPr>
            <w:tcW w:w="700" w:type="pct"/>
            <w:hideMark/>
          </w:tcPr>
          <w:p w:rsidR="00254B59" w:rsidRPr="00254B59" w:rsidRDefault="00254B59" w:rsidP="008974BD">
            <w:pPr>
              <w:pStyle w:val="a6"/>
              <w:rPr>
                <w:sz w:val="14"/>
                <w:szCs w:val="14"/>
                <w:lang w:val="uk-UA"/>
              </w:rPr>
            </w:pPr>
            <w:r w:rsidRPr="00254B59">
              <w:rPr>
                <w:sz w:val="14"/>
                <w:szCs w:val="14"/>
                <w:lang w:val="uk-UA"/>
              </w:rPr>
              <w:t>ефективності</w:t>
            </w:r>
            <w:r w:rsidRPr="00254B59">
              <w:rPr>
                <w:sz w:val="14"/>
                <w:szCs w:val="14"/>
                <w:lang w:val="uk-UA"/>
              </w:rPr>
              <w:br/>
              <w:t>витрати на одне дослідження, тис. грн</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1,37</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1,51</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1,66</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2024 рік</w:t>
            </w:r>
            <w:r w:rsidRPr="00254B59">
              <w:rPr>
                <w:sz w:val="14"/>
                <w:szCs w:val="14"/>
                <w:lang w:val="uk-UA"/>
              </w:rPr>
              <w:br/>
              <w:t>7480,5</w:t>
            </w:r>
          </w:p>
        </w:tc>
        <w:tc>
          <w:tcPr>
            <w:tcW w:w="700" w:type="pct"/>
            <w:hideMark/>
          </w:tcPr>
          <w:p w:rsidR="00254B59" w:rsidRPr="00254B59" w:rsidRDefault="00254B59" w:rsidP="008974BD">
            <w:pPr>
              <w:pStyle w:val="a6"/>
              <w:rPr>
                <w:sz w:val="14"/>
                <w:szCs w:val="14"/>
                <w:lang w:val="uk-UA"/>
              </w:rPr>
            </w:pPr>
            <w:r w:rsidRPr="00254B59">
              <w:rPr>
                <w:sz w:val="14"/>
                <w:szCs w:val="14"/>
                <w:lang w:val="uk-UA"/>
              </w:rPr>
              <w:t>якості</w:t>
            </w:r>
            <w:r w:rsidRPr="00254B59">
              <w:rPr>
                <w:sz w:val="14"/>
                <w:szCs w:val="14"/>
                <w:lang w:val="uk-UA"/>
              </w:rPr>
              <w:br/>
              <w:t>рівень виконання заходу, %</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100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100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100</w:t>
            </w: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03"/>
        <w:gridCol w:w="846"/>
        <w:gridCol w:w="1275"/>
        <w:gridCol w:w="632"/>
        <w:gridCol w:w="855"/>
        <w:gridCol w:w="801"/>
        <w:gridCol w:w="832"/>
        <w:gridCol w:w="779"/>
        <w:gridCol w:w="409"/>
        <w:gridCol w:w="409"/>
        <w:gridCol w:w="314"/>
      </w:tblGrid>
      <w:tr w:rsidR="00254B59" w:rsidRPr="00254B59" w:rsidTr="008974BD">
        <w:trPr>
          <w:jc w:val="center"/>
        </w:trPr>
        <w:tc>
          <w:tcPr>
            <w:tcW w:w="3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 xml:space="preserve">Оперативна ціль </w:t>
            </w:r>
            <w:r w:rsidRPr="00254B59">
              <w:rPr>
                <w:color w:val="0000FF"/>
                <w:sz w:val="14"/>
                <w:szCs w:val="14"/>
                <w:lang w:val="uk-UA"/>
              </w:rPr>
              <w:t>Стратегії розвитку міста Києва до 2025 року</w:t>
            </w:r>
          </w:p>
        </w:tc>
        <w:tc>
          <w:tcPr>
            <w:tcW w:w="4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Завдання програми</w:t>
            </w:r>
          </w:p>
        </w:tc>
        <w:tc>
          <w:tcPr>
            <w:tcW w:w="11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Заходи програми</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Строки виконання заходу</w:t>
            </w:r>
          </w:p>
        </w:tc>
        <w:tc>
          <w:tcPr>
            <w:tcW w:w="50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Виконавці заходу</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Джерела фінансування</w:t>
            </w:r>
          </w:p>
        </w:tc>
        <w:tc>
          <w:tcPr>
            <w:tcW w:w="4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Обсяги фінансування, тис. грн</w:t>
            </w:r>
          </w:p>
        </w:tc>
        <w:tc>
          <w:tcPr>
            <w:tcW w:w="1500" w:type="pct"/>
            <w:gridSpan w:val="4"/>
            <w:hideMark/>
          </w:tcPr>
          <w:p w:rsidR="00254B59" w:rsidRPr="00254B59" w:rsidRDefault="00254B59" w:rsidP="008974BD">
            <w:pPr>
              <w:pStyle w:val="a6"/>
              <w:jc w:val="center"/>
              <w:rPr>
                <w:sz w:val="14"/>
                <w:szCs w:val="14"/>
                <w:lang w:val="uk-UA"/>
              </w:rPr>
            </w:pPr>
            <w:r w:rsidRPr="00254B59">
              <w:rPr>
                <w:sz w:val="14"/>
                <w:szCs w:val="14"/>
                <w:lang w:val="uk-UA"/>
              </w:rPr>
              <w:t>Очікуваний результат (результативні показники)</w:t>
            </w:r>
          </w:p>
        </w:tc>
      </w:tr>
      <w:tr w:rsidR="00254B59" w:rsidRPr="00254B59" w:rsidTr="008974BD">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700" w:type="pct"/>
            <w:hideMark/>
          </w:tcPr>
          <w:p w:rsidR="00254B59" w:rsidRPr="00254B59" w:rsidRDefault="00254B59" w:rsidP="008974BD">
            <w:pPr>
              <w:pStyle w:val="a6"/>
              <w:jc w:val="center"/>
              <w:rPr>
                <w:sz w:val="14"/>
                <w:szCs w:val="14"/>
                <w:lang w:val="uk-UA"/>
              </w:rPr>
            </w:pPr>
            <w:r w:rsidRPr="00254B59">
              <w:rPr>
                <w:sz w:val="14"/>
                <w:szCs w:val="14"/>
                <w:lang w:val="uk-UA"/>
              </w:rPr>
              <w:t>Назва показника</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2022 рік</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2023 рік</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2024 рік</w:t>
            </w:r>
          </w:p>
        </w:tc>
      </w:tr>
      <w:tr w:rsidR="00254B59" w:rsidRPr="00254B59" w:rsidTr="008974BD">
        <w:trPr>
          <w:jc w:val="center"/>
        </w:trPr>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w:t>
            </w: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w:t>
            </w:r>
          </w:p>
        </w:tc>
        <w:tc>
          <w:tcPr>
            <w:tcW w:w="1100" w:type="pct"/>
            <w:hideMark/>
          </w:tcPr>
          <w:p w:rsidR="00254B59" w:rsidRPr="00254B59" w:rsidRDefault="00254B59" w:rsidP="008974BD">
            <w:pPr>
              <w:pStyle w:val="a6"/>
              <w:jc w:val="center"/>
              <w:rPr>
                <w:sz w:val="14"/>
                <w:szCs w:val="14"/>
                <w:lang w:val="uk-UA"/>
              </w:rPr>
            </w:pPr>
            <w:r w:rsidRPr="00254B59">
              <w:rPr>
                <w:sz w:val="14"/>
                <w:szCs w:val="14"/>
                <w:lang w:val="uk-UA"/>
              </w:rPr>
              <w:t>3</w:t>
            </w:r>
          </w:p>
        </w:tc>
        <w:tc>
          <w:tcPr>
            <w:tcW w:w="350" w:type="pct"/>
            <w:hideMark/>
          </w:tcPr>
          <w:p w:rsidR="00254B59" w:rsidRPr="00254B59" w:rsidRDefault="00254B59" w:rsidP="008974BD">
            <w:pPr>
              <w:pStyle w:val="a6"/>
              <w:jc w:val="center"/>
              <w:rPr>
                <w:sz w:val="14"/>
                <w:szCs w:val="14"/>
                <w:lang w:val="uk-UA"/>
              </w:rPr>
            </w:pPr>
            <w:r w:rsidRPr="00254B59">
              <w:rPr>
                <w:sz w:val="14"/>
                <w:szCs w:val="14"/>
                <w:lang w:val="uk-UA"/>
              </w:rPr>
              <w:t>4</w:t>
            </w:r>
          </w:p>
        </w:tc>
        <w:tc>
          <w:tcPr>
            <w:tcW w:w="500" w:type="pct"/>
            <w:hideMark/>
          </w:tcPr>
          <w:p w:rsidR="00254B59" w:rsidRPr="00254B59" w:rsidRDefault="00254B59" w:rsidP="008974BD">
            <w:pPr>
              <w:pStyle w:val="a6"/>
              <w:jc w:val="center"/>
              <w:rPr>
                <w:sz w:val="14"/>
                <w:szCs w:val="14"/>
                <w:lang w:val="uk-UA"/>
              </w:rPr>
            </w:pPr>
            <w:r w:rsidRPr="00254B59">
              <w:rPr>
                <w:sz w:val="14"/>
                <w:szCs w:val="14"/>
                <w:lang w:val="uk-UA"/>
              </w:rPr>
              <w:t>5</w:t>
            </w:r>
          </w:p>
        </w:tc>
        <w:tc>
          <w:tcPr>
            <w:tcW w:w="350" w:type="pct"/>
            <w:hideMark/>
          </w:tcPr>
          <w:p w:rsidR="00254B59" w:rsidRPr="00254B59" w:rsidRDefault="00254B59" w:rsidP="008974BD">
            <w:pPr>
              <w:pStyle w:val="a6"/>
              <w:jc w:val="center"/>
              <w:rPr>
                <w:sz w:val="14"/>
                <w:szCs w:val="14"/>
                <w:lang w:val="uk-UA"/>
              </w:rPr>
            </w:pPr>
            <w:r w:rsidRPr="00254B59">
              <w:rPr>
                <w:sz w:val="14"/>
                <w:szCs w:val="14"/>
                <w:lang w:val="uk-UA"/>
              </w:rPr>
              <w:t>6</w:t>
            </w: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7</w:t>
            </w:r>
          </w:p>
        </w:tc>
        <w:tc>
          <w:tcPr>
            <w:tcW w:w="700" w:type="pct"/>
            <w:hideMark/>
          </w:tcPr>
          <w:p w:rsidR="00254B59" w:rsidRPr="00254B59" w:rsidRDefault="00254B59" w:rsidP="008974BD">
            <w:pPr>
              <w:pStyle w:val="a6"/>
              <w:jc w:val="center"/>
              <w:rPr>
                <w:sz w:val="14"/>
                <w:szCs w:val="14"/>
                <w:lang w:val="uk-UA"/>
              </w:rPr>
            </w:pPr>
            <w:r w:rsidRPr="00254B59">
              <w:rPr>
                <w:sz w:val="14"/>
                <w:szCs w:val="14"/>
                <w:lang w:val="uk-UA"/>
              </w:rPr>
              <w:t>8</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9</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11</w:t>
            </w:r>
          </w:p>
        </w:tc>
      </w:tr>
      <w:tr w:rsidR="00254B59" w:rsidRPr="00254B59" w:rsidTr="008974BD">
        <w:trPr>
          <w:jc w:val="center"/>
        </w:trPr>
        <w:tc>
          <w:tcPr>
            <w:tcW w:w="300" w:type="pct"/>
            <w:vMerge w:val="restart"/>
            <w:hideMark/>
          </w:tcPr>
          <w:p w:rsidR="00254B59" w:rsidRPr="00254B59" w:rsidRDefault="00254B59" w:rsidP="008974BD">
            <w:pPr>
              <w:pStyle w:val="a6"/>
              <w:rPr>
                <w:sz w:val="14"/>
                <w:szCs w:val="14"/>
                <w:lang w:val="uk-UA"/>
              </w:rPr>
            </w:pPr>
            <w:r w:rsidRPr="00254B59">
              <w:rPr>
                <w:sz w:val="14"/>
                <w:szCs w:val="14"/>
                <w:lang w:val="uk-UA"/>
              </w:rPr>
              <w:t> </w:t>
            </w:r>
          </w:p>
        </w:tc>
        <w:tc>
          <w:tcPr>
            <w:tcW w:w="450" w:type="pct"/>
            <w:vMerge w:val="restart"/>
            <w:hideMark/>
          </w:tcPr>
          <w:p w:rsidR="00254B59" w:rsidRPr="00254B59" w:rsidRDefault="00254B59" w:rsidP="008974BD">
            <w:pPr>
              <w:pStyle w:val="a6"/>
              <w:rPr>
                <w:sz w:val="14"/>
                <w:szCs w:val="14"/>
                <w:lang w:val="uk-UA"/>
              </w:rPr>
            </w:pPr>
            <w:r w:rsidRPr="00254B59">
              <w:rPr>
                <w:sz w:val="14"/>
                <w:szCs w:val="14"/>
                <w:lang w:val="uk-UA"/>
              </w:rPr>
              <w:t>1. Заходи щодо організації військової служби, виконання військового обов'язку, мобілізаційної підготовки</w:t>
            </w:r>
          </w:p>
        </w:tc>
        <w:tc>
          <w:tcPr>
            <w:tcW w:w="4250" w:type="pct"/>
            <w:gridSpan w:val="9"/>
            <w:hideMark/>
          </w:tcPr>
          <w:p w:rsidR="00254B59" w:rsidRPr="00254B59" w:rsidRDefault="00254B59" w:rsidP="008974BD">
            <w:pPr>
              <w:pStyle w:val="a6"/>
              <w:jc w:val="center"/>
              <w:rPr>
                <w:sz w:val="14"/>
                <w:szCs w:val="14"/>
                <w:lang w:val="uk-UA"/>
              </w:rPr>
            </w:pPr>
            <w:r w:rsidRPr="00254B59">
              <w:rPr>
                <w:sz w:val="14"/>
                <w:szCs w:val="14"/>
                <w:lang w:val="uk-UA"/>
              </w:rPr>
              <w:t>1. Забезпечення функціонування медичних комісій</w:t>
            </w: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1100" w:type="pct"/>
            <w:vMerge w:val="restart"/>
            <w:hideMark/>
          </w:tcPr>
          <w:p w:rsidR="00254B59" w:rsidRPr="00254B59" w:rsidRDefault="00254B59" w:rsidP="008974BD">
            <w:pPr>
              <w:pStyle w:val="a6"/>
              <w:rPr>
                <w:sz w:val="14"/>
                <w:szCs w:val="14"/>
                <w:lang w:val="uk-UA"/>
              </w:rPr>
            </w:pPr>
            <w:r w:rsidRPr="00254B59">
              <w:rPr>
                <w:sz w:val="14"/>
                <w:szCs w:val="14"/>
                <w:lang w:val="uk-UA"/>
              </w:rPr>
              <w:t>1. Надання медичних послуг із проведення обов'язкових медичних досліджень та профілактичного наркологічного та психіатричного оглядів громадянам призовного віку під час приписки до призовних дільниць, організації та проведення чергових призовів на строкову службу, військову службу за призовом осіб офіцерського складу, військовозобов'язаних та резервістів при укладанні контрактів на проходження військової служби, військовозобов'язаних та резервістів при укладанні контрактів на проходження служби за контрактом в бригаді Сил територіальної оборони міста Києва</w:t>
            </w:r>
          </w:p>
        </w:tc>
        <w:tc>
          <w:tcPr>
            <w:tcW w:w="350" w:type="pct"/>
            <w:vMerge w:val="restart"/>
            <w:hideMark/>
          </w:tcPr>
          <w:p w:rsidR="00254B59" w:rsidRPr="00254B59" w:rsidRDefault="00254B59" w:rsidP="008974BD">
            <w:pPr>
              <w:pStyle w:val="a6"/>
              <w:jc w:val="center"/>
              <w:rPr>
                <w:sz w:val="14"/>
                <w:szCs w:val="14"/>
                <w:lang w:val="uk-UA"/>
              </w:rPr>
            </w:pPr>
            <w:r w:rsidRPr="00254B59">
              <w:rPr>
                <w:sz w:val="14"/>
                <w:szCs w:val="14"/>
                <w:lang w:val="uk-UA"/>
              </w:rPr>
              <w:t xml:space="preserve">2022 - </w:t>
            </w:r>
            <w:r w:rsidRPr="008974BD">
              <w:rPr>
                <w:b/>
                <w:sz w:val="14"/>
                <w:szCs w:val="14"/>
                <w:lang w:val="uk-UA"/>
              </w:rPr>
              <w:t>202</w:t>
            </w:r>
            <w:r w:rsidR="008974BD" w:rsidRPr="008974BD">
              <w:rPr>
                <w:b/>
                <w:sz w:val="14"/>
                <w:szCs w:val="14"/>
                <w:lang w:val="uk-UA"/>
              </w:rPr>
              <w:t>3</w:t>
            </w:r>
            <w:r w:rsidRPr="00254B59">
              <w:rPr>
                <w:sz w:val="14"/>
                <w:szCs w:val="14"/>
                <w:lang w:val="uk-UA"/>
              </w:rPr>
              <w:t xml:space="preserve"> роки</w:t>
            </w:r>
          </w:p>
        </w:tc>
        <w:tc>
          <w:tcPr>
            <w:tcW w:w="500" w:type="pct"/>
            <w:vMerge w:val="restart"/>
            <w:hideMark/>
          </w:tcPr>
          <w:p w:rsidR="00254B59" w:rsidRPr="00254B59" w:rsidRDefault="00254B59" w:rsidP="008974BD">
            <w:pPr>
              <w:pStyle w:val="a6"/>
              <w:rPr>
                <w:sz w:val="14"/>
                <w:szCs w:val="14"/>
                <w:lang w:val="uk-UA"/>
              </w:rPr>
            </w:pPr>
            <w:r w:rsidRPr="00254B59">
              <w:rPr>
                <w:sz w:val="14"/>
                <w:szCs w:val="14"/>
                <w:lang w:val="uk-UA"/>
              </w:rPr>
              <w:t>Департамент муніципальної безпеки, Київський міський ТЦК та СП</w:t>
            </w:r>
          </w:p>
        </w:tc>
        <w:tc>
          <w:tcPr>
            <w:tcW w:w="350" w:type="pct"/>
            <w:vMerge w:val="restart"/>
            <w:hideMark/>
          </w:tcPr>
          <w:p w:rsidR="00254B59" w:rsidRPr="00254B59" w:rsidRDefault="00254B59" w:rsidP="008974BD">
            <w:pPr>
              <w:pStyle w:val="a6"/>
              <w:rPr>
                <w:sz w:val="14"/>
                <w:szCs w:val="14"/>
                <w:lang w:val="uk-UA"/>
              </w:rPr>
            </w:pPr>
            <w:r w:rsidRPr="00254B59">
              <w:rPr>
                <w:sz w:val="14"/>
                <w:szCs w:val="14"/>
                <w:lang w:val="uk-UA"/>
              </w:rPr>
              <w:t>Бюджет міста Києва</w:t>
            </w:r>
          </w:p>
        </w:tc>
        <w:tc>
          <w:tcPr>
            <w:tcW w:w="450" w:type="pct"/>
            <w:hideMark/>
          </w:tcPr>
          <w:p w:rsidR="00254B59" w:rsidRPr="00254B59" w:rsidRDefault="00254B59" w:rsidP="00894B0C">
            <w:pPr>
              <w:pStyle w:val="a6"/>
              <w:jc w:val="center"/>
              <w:rPr>
                <w:sz w:val="14"/>
                <w:szCs w:val="14"/>
                <w:lang w:val="uk-UA"/>
              </w:rPr>
            </w:pPr>
            <w:r w:rsidRPr="00254B59">
              <w:rPr>
                <w:sz w:val="14"/>
                <w:szCs w:val="14"/>
                <w:lang w:val="uk-UA"/>
              </w:rPr>
              <w:t>Всього:</w:t>
            </w:r>
            <w:r w:rsidRPr="00254B59">
              <w:rPr>
                <w:sz w:val="14"/>
                <w:szCs w:val="14"/>
                <w:lang w:val="uk-UA"/>
              </w:rPr>
              <w:br/>
            </w:r>
            <w:r w:rsidR="00894B0C" w:rsidRPr="00894B0C">
              <w:rPr>
                <w:b/>
                <w:sz w:val="14"/>
                <w:szCs w:val="14"/>
                <w:lang w:val="uk-UA"/>
              </w:rPr>
              <w:t>1</w:t>
            </w:r>
            <w:r w:rsidRPr="00894B0C">
              <w:rPr>
                <w:b/>
                <w:sz w:val="14"/>
                <w:szCs w:val="14"/>
                <w:lang w:val="uk-UA"/>
              </w:rPr>
              <w:t>2</w:t>
            </w:r>
            <w:r w:rsidR="00894B0C" w:rsidRPr="00894B0C">
              <w:rPr>
                <w:b/>
                <w:sz w:val="14"/>
                <w:szCs w:val="14"/>
                <w:lang w:val="uk-UA"/>
              </w:rPr>
              <w:t>733</w:t>
            </w:r>
            <w:r w:rsidRPr="00894B0C">
              <w:rPr>
                <w:b/>
                <w:sz w:val="14"/>
                <w:szCs w:val="14"/>
                <w:lang w:val="uk-UA"/>
              </w:rPr>
              <w:t>,</w:t>
            </w:r>
            <w:r w:rsidR="00894B0C" w:rsidRPr="00894B0C">
              <w:rPr>
                <w:b/>
                <w:sz w:val="14"/>
                <w:szCs w:val="14"/>
                <w:lang w:val="uk-UA"/>
              </w:rPr>
              <w:t>5</w:t>
            </w:r>
          </w:p>
        </w:tc>
        <w:tc>
          <w:tcPr>
            <w:tcW w:w="700" w:type="pct"/>
            <w:hideMark/>
          </w:tcPr>
          <w:p w:rsidR="00254B59" w:rsidRPr="00254B59" w:rsidRDefault="00254B59" w:rsidP="008974BD">
            <w:pPr>
              <w:pStyle w:val="a6"/>
              <w:rPr>
                <w:sz w:val="14"/>
                <w:szCs w:val="14"/>
                <w:lang w:val="uk-UA"/>
              </w:rPr>
            </w:pPr>
            <w:r w:rsidRPr="00254B59">
              <w:rPr>
                <w:sz w:val="14"/>
                <w:szCs w:val="14"/>
                <w:lang w:val="uk-UA"/>
              </w:rPr>
              <w:t>витрат</w:t>
            </w:r>
            <w:r w:rsidRPr="00254B59">
              <w:rPr>
                <w:sz w:val="14"/>
                <w:szCs w:val="14"/>
                <w:lang w:val="uk-UA"/>
              </w:rPr>
              <w:br/>
              <w:t>витрати на послуги з медичних досліджень, тис. грн</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5933,0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6800,5</w:t>
            </w:r>
          </w:p>
        </w:tc>
        <w:tc>
          <w:tcPr>
            <w:tcW w:w="250" w:type="pct"/>
          </w:tcPr>
          <w:p w:rsidR="00254B59" w:rsidRPr="00254B59" w:rsidRDefault="00254B59" w:rsidP="008974BD">
            <w:pPr>
              <w:pStyle w:val="a6"/>
              <w:jc w:val="center"/>
              <w:rPr>
                <w:sz w:val="14"/>
                <w:szCs w:val="14"/>
                <w:lang w:val="uk-UA"/>
              </w:rPr>
            </w:pP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2022 рік</w:t>
            </w:r>
            <w:r w:rsidRPr="00254B59">
              <w:rPr>
                <w:sz w:val="14"/>
                <w:szCs w:val="14"/>
                <w:lang w:val="uk-UA"/>
              </w:rPr>
              <w:br/>
              <w:t>5933,0</w:t>
            </w:r>
          </w:p>
        </w:tc>
        <w:tc>
          <w:tcPr>
            <w:tcW w:w="700" w:type="pct"/>
            <w:hideMark/>
          </w:tcPr>
          <w:p w:rsidR="00254B59" w:rsidRPr="00254B59" w:rsidRDefault="00254B59" w:rsidP="008974BD">
            <w:pPr>
              <w:pStyle w:val="a6"/>
              <w:rPr>
                <w:sz w:val="14"/>
                <w:szCs w:val="14"/>
                <w:lang w:val="uk-UA"/>
              </w:rPr>
            </w:pPr>
            <w:r w:rsidRPr="00254B59">
              <w:rPr>
                <w:sz w:val="14"/>
                <w:szCs w:val="14"/>
                <w:lang w:val="uk-UA"/>
              </w:rPr>
              <w:t>продукту</w:t>
            </w:r>
            <w:r w:rsidRPr="00254B59">
              <w:rPr>
                <w:sz w:val="14"/>
                <w:szCs w:val="14"/>
                <w:lang w:val="uk-UA"/>
              </w:rPr>
              <w:br/>
              <w:t>кількість досліджень, од.</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4333</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4515</w:t>
            </w:r>
          </w:p>
        </w:tc>
        <w:tc>
          <w:tcPr>
            <w:tcW w:w="250" w:type="pct"/>
          </w:tcPr>
          <w:p w:rsidR="00254B59" w:rsidRPr="00254B59" w:rsidRDefault="00254B59" w:rsidP="008974BD">
            <w:pPr>
              <w:pStyle w:val="a6"/>
              <w:jc w:val="center"/>
              <w:rPr>
                <w:sz w:val="14"/>
                <w:szCs w:val="14"/>
                <w:lang w:val="uk-UA"/>
              </w:rPr>
            </w:pP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hideMark/>
          </w:tcPr>
          <w:p w:rsidR="00254B59" w:rsidRPr="00254B59" w:rsidRDefault="00254B59" w:rsidP="008974BD">
            <w:pPr>
              <w:pStyle w:val="a6"/>
              <w:jc w:val="center"/>
              <w:rPr>
                <w:sz w:val="14"/>
                <w:szCs w:val="14"/>
                <w:lang w:val="uk-UA"/>
              </w:rPr>
            </w:pPr>
            <w:r w:rsidRPr="00254B59">
              <w:rPr>
                <w:sz w:val="14"/>
                <w:szCs w:val="14"/>
                <w:lang w:val="uk-UA"/>
              </w:rPr>
              <w:t>2023 рік</w:t>
            </w:r>
            <w:r w:rsidRPr="00254B59">
              <w:rPr>
                <w:sz w:val="14"/>
                <w:szCs w:val="14"/>
                <w:lang w:val="uk-UA"/>
              </w:rPr>
              <w:br/>
              <w:t>6800,5</w:t>
            </w:r>
          </w:p>
        </w:tc>
        <w:tc>
          <w:tcPr>
            <w:tcW w:w="700" w:type="pct"/>
            <w:hideMark/>
          </w:tcPr>
          <w:p w:rsidR="00254B59" w:rsidRPr="00254B59" w:rsidRDefault="00254B59" w:rsidP="008974BD">
            <w:pPr>
              <w:pStyle w:val="a6"/>
              <w:rPr>
                <w:sz w:val="14"/>
                <w:szCs w:val="14"/>
                <w:lang w:val="uk-UA"/>
              </w:rPr>
            </w:pPr>
            <w:r w:rsidRPr="00254B59">
              <w:rPr>
                <w:sz w:val="14"/>
                <w:szCs w:val="14"/>
                <w:lang w:val="uk-UA"/>
              </w:rPr>
              <w:t>ефективності</w:t>
            </w:r>
            <w:r w:rsidRPr="00254B59">
              <w:rPr>
                <w:sz w:val="14"/>
                <w:szCs w:val="14"/>
                <w:lang w:val="uk-UA"/>
              </w:rPr>
              <w:br/>
              <w:t>витрати на одне дослідження, тис. грн</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1,37</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1,51</w:t>
            </w:r>
          </w:p>
        </w:tc>
        <w:tc>
          <w:tcPr>
            <w:tcW w:w="250" w:type="pct"/>
          </w:tcPr>
          <w:p w:rsidR="00254B59" w:rsidRPr="00254B59" w:rsidRDefault="00254B59" w:rsidP="008974BD">
            <w:pPr>
              <w:pStyle w:val="a6"/>
              <w:jc w:val="center"/>
              <w:rPr>
                <w:sz w:val="14"/>
                <w:szCs w:val="14"/>
                <w:lang w:val="uk-UA"/>
              </w:rPr>
            </w:pPr>
          </w:p>
        </w:tc>
      </w:tr>
      <w:tr w:rsidR="00254B59" w:rsidRPr="00254B59" w:rsidTr="00254B59">
        <w:trPr>
          <w:jc w:val="center"/>
        </w:trPr>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0" w:type="auto"/>
            <w:vMerge/>
            <w:vAlign w:val="center"/>
            <w:hideMark/>
          </w:tcPr>
          <w:p w:rsidR="00254B59" w:rsidRPr="00254B59" w:rsidRDefault="00254B59" w:rsidP="008974BD">
            <w:pPr>
              <w:rPr>
                <w:rFonts w:ascii="Times New Roman" w:hAnsi="Times New Roman" w:cs="Times New Roman"/>
                <w:sz w:val="14"/>
                <w:szCs w:val="14"/>
              </w:rPr>
            </w:pPr>
          </w:p>
        </w:tc>
        <w:tc>
          <w:tcPr>
            <w:tcW w:w="450" w:type="pct"/>
          </w:tcPr>
          <w:p w:rsidR="00254B59" w:rsidRPr="00254B59" w:rsidRDefault="00254B59" w:rsidP="008974BD">
            <w:pPr>
              <w:pStyle w:val="a6"/>
              <w:jc w:val="center"/>
              <w:rPr>
                <w:sz w:val="14"/>
                <w:szCs w:val="14"/>
                <w:lang w:val="uk-UA"/>
              </w:rPr>
            </w:pPr>
          </w:p>
        </w:tc>
        <w:tc>
          <w:tcPr>
            <w:tcW w:w="700" w:type="pct"/>
            <w:hideMark/>
          </w:tcPr>
          <w:p w:rsidR="00254B59" w:rsidRPr="00254B59" w:rsidRDefault="00254B59" w:rsidP="008974BD">
            <w:pPr>
              <w:pStyle w:val="a6"/>
              <w:rPr>
                <w:sz w:val="14"/>
                <w:szCs w:val="14"/>
                <w:lang w:val="uk-UA"/>
              </w:rPr>
            </w:pPr>
            <w:r w:rsidRPr="00254B59">
              <w:rPr>
                <w:sz w:val="14"/>
                <w:szCs w:val="14"/>
                <w:lang w:val="uk-UA"/>
              </w:rPr>
              <w:t>якості</w:t>
            </w:r>
            <w:r w:rsidRPr="00254B59">
              <w:rPr>
                <w:sz w:val="14"/>
                <w:szCs w:val="14"/>
                <w:lang w:val="uk-UA"/>
              </w:rPr>
              <w:br/>
              <w:t>рівень виконання заходу, %</w:t>
            </w:r>
          </w:p>
        </w:tc>
        <w:tc>
          <w:tcPr>
            <w:tcW w:w="300" w:type="pct"/>
            <w:hideMark/>
          </w:tcPr>
          <w:p w:rsidR="00254B59" w:rsidRPr="00254B59" w:rsidRDefault="00254B59" w:rsidP="008974BD">
            <w:pPr>
              <w:pStyle w:val="a6"/>
              <w:jc w:val="center"/>
              <w:rPr>
                <w:sz w:val="14"/>
                <w:szCs w:val="14"/>
                <w:lang w:val="uk-UA"/>
              </w:rPr>
            </w:pPr>
            <w:r w:rsidRPr="00254B59">
              <w:rPr>
                <w:sz w:val="14"/>
                <w:szCs w:val="14"/>
                <w:lang w:val="uk-UA"/>
              </w:rPr>
              <w:t>100</w:t>
            </w:r>
          </w:p>
        </w:tc>
        <w:tc>
          <w:tcPr>
            <w:tcW w:w="250" w:type="pct"/>
            <w:hideMark/>
          </w:tcPr>
          <w:p w:rsidR="00254B59" w:rsidRPr="00254B59" w:rsidRDefault="00254B59" w:rsidP="008974BD">
            <w:pPr>
              <w:pStyle w:val="a6"/>
              <w:jc w:val="center"/>
              <w:rPr>
                <w:sz w:val="14"/>
                <w:szCs w:val="14"/>
                <w:lang w:val="uk-UA"/>
              </w:rPr>
            </w:pPr>
            <w:r w:rsidRPr="00254B59">
              <w:rPr>
                <w:sz w:val="14"/>
                <w:szCs w:val="14"/>
                <w:lang w:val="uk-UA"/>
              </w:rPr>
              <w:t>100</w:t>
            </w:r>
          </w:p>
        </w:tc>
        <w:tc>
          <w:tcPr>
            <w:tcW w:w="250" w:type="pct"/>
          </w:tcPr>
          <w:p w:rsidR="00254B59" w:rsidRPr="00254B59" w:rsidRDefault="00254B59" w:rsidP="008974BD">
            <w:pPr>
              <w:pStyle w:val="a6"/>
              <w:jc w:val="center"/>
              <w:rPr>
                <w:sz w:val="14"/>
                <w:szCs w:val="14"/>
                <w:lang w:val="uk-UA"/>
              </w:rPr>
            </w:pP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51"/>
        <w:gridCol w:w="465"/>
        <w:gridCol w:w="1459"/>
        <w:gridCol w:w="741"/>
        <w:gridCol w:w="711"/>
        <w:gridCol w:w="1192"/>
        <w:gridCol w:w="510"/>
        <w:gridCol w:w="510"/>
        <w:gridCol w:w="510"/>
      </w:tblGrid>
      <w:tr w:rsidR="00254B59" w:rsidRPr="00254B59" w:rsidTr="00254B59">
        <w:trPr>
          <w:jc w:val="center"/>
        </w:trPr>
        <w:tc>
          <w:tcPr>
            <w:tcW w:w="4250" w:type="pct"/>
            <w:gridSpan w:val="9"/>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 Транспортне забезпечення заходів призову, мобілізації та евакуації</w:t>
            </w:r>
          </w:p>
        </w:tc>
      </w:tr>
      <w:tr w:rsidR="00254B59" w:rsidRPr="00254B59" w:rsidTr="00254B59">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2.1. Забезпечення перевезення військово-лікарської комісії Київського міського ТЦК та СП на збірний пункт Київського міського ТЦК та СП та у зворотному напрямку (витрати на перевезення)</w:t>
            </w:r>
          </w:p>
        </w:tc>
        <w:tc>
          <w:tcPr>
            <w:tcW w:w="35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2022 - 2024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Департамент транспортної інфраструктури,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Всього:</w:t>
            </w:r>
            <w:r w:rsidRPr="00254B59">
              <w:rPr>
                <w:sz w:val="20"/>
                <w:szCs w:val="20"/>
                <w:lang w:val="uk-UA"/>
              </w:rPr>
              <w:br/>
              <w:t>583,4</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витрат</w:t>
            </w:r>
            <w:r w:rsidRPr="00254B59">
              <w:rPr>
                <w:sz w:val="20"/>
                <w:szCs w:val="20"/>
                <w:lang w:val="uk-UA"/>
              </w:rPr>
              <w:br/>
              <w:t>витрати на перевезення військово-лікарських комісій, тис. грн</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177,2</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193,9</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212,3</w:t>
            </w: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2022 рік</w:t>
            </w:r>
            <w:r w:rsidRPr="00254B59">
              <w:rPr>
                <w:sz w:val="20"/>
                <w:szCs w:val="20"/>
                <w:lang w:val="uk-UA"/>
              </w:rPr>
              <w:br/>
              <w:t>177,2</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продукту</w:t>
            </w:r>
            <w:r w:rsidRPr="00254B59">
              <w:rPr>
                <w:sz w:val="20"/>
                <w:szCs w:val="20"/>
                <w:lang w:val="uk-UA"/>
              </w:rPr>
              <w:br/>
              <w:t>циклів перевезення, од.</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w:t>
            </w: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2023 рік</w:t>
            </w:r>
            <w:r w:rsidRPr="00254B59">
              <w:rPr>
                <w:sz w:val="20"/>
                <w:szCs w:val="20"/>
                <w:lang w:val="uk-UA"/>
              </w:rPr>
              <w:br/>
              <w:t>193,9</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ефективності</w:t>
            </w:r>
            <w:r w:rsidRPr="00254B59">
              <w:rPr>
                <w:sz w:val="20"/>
                <w:szCs w:val="20"/>
                <w:lang w:val="uk-UA"/>
              </w:rPr>
              <w:br/>
              <w:t>витрати на перевезення військово-лікарських комісій, тис. грн</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177,2</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193,9</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212,3</w:t>
            </w: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2024 рік</w:t>
            </w:r>
            <w:r w:rsidRPr="00254B59">
              <w:rPr>
                <w:sz w:val="20"/>
                <w:szCs w:val="20"/>
                <w:lang w:val="uk-UA"/>
              </w:rPr>
              <w:br/>
              <w:t>212,3</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якості</w:t>
            </w:r>
            <w:r w:rsidRPr="00254B59">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100</w:t>
            </w: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17"/>
        <w:gridCol w:w="534"/>
        <w:gridCol w:w="1459"/>
        <w:gridCol w:w="741"/>
        <w:gridCol w:w="717"/>
        <w:gridCol w:w="1192"/>
        <w:gridCol w:w="510"/>
        <w:gridCol w:w="510"/>
        <w:gridCol w:w="269"/>
      </w:tblGrid>
      <w:tr w:rsidR="00254B59" w:rsidRPr="00254B59" w:rsidTr="008974BD">
        <w:trPr>
          <w:jc w:val="center"/>
        </w:trPr>
        <w:tc>
          <w:tcPr>
            <w:tcW w:w="4250" w:type="pct"/>
            <w:gridSpan w:val="9"/>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 Транспортне забезпечення заходів призову, мобілізації та евакуації</w:t>
            </w:r>
          </w:p>
        </w:tc>
      </w:tr>
      <w:tr w:rsidR="00254B59" w:rsidRPr="00254B59" w:rsidTr="00254B59">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2.1. Забезпечення перевезення військово-лікарської комісії Київського міського ТЦК та СП на збірний пункт Київського міського ТЦК та СП та у зворотному напрямку (витрати на перевезення)</w:t>
            </w:r>
          </w:p>
        </w:tc>
        <w:tc>
          <w:tcPr>
            <w:tcW w:w="35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 xml:space="preserve">2022 - </w:t>
            </w:r>
            <w:r w:rsidRPr="008974BD">
              <w:rPr>
                <w:b/>
                <w:sz w:val="20"/>
                <w:szCs w:val="20"/>
                <w:lang w:val="uk-UA"/>
              </w:rPr>
              <w:t>202</w:t>
            </w:r>
            <w:r w:rsidR="008974BD" w:rsidRPr="008974BD">
              <w:rPr>
                <w:b/>
                <w:sz w:val="20"/>
                <w:szCs w:val="20"/>
                <w:lang w:val="uk-UA"/>
              </w:rPr>
              <w:t>3</w:t>
            </w:r>
            <w:r w:rsidRPr="00254B59">
              <w:rPr>
                <w:sz w:val="20"/>
                <w:szCs w:val="20"/>
                <w:lang w:val="uk-UA"/>
              </w:rPr>
              <w:t xml:space="preserve">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Департамент транспортної інфраструктури,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4B0C">
            <w:pPr>
              <w:pStyle w:val="a6"/>
              <w:jc w:val="center"/>
              <w:rPr>
                <w:lang w:val="uk-UA"/>
              </w:rPr>
            </w:pPr>
            <w:r w:rsidRPr="00254B59">
              <w:rPr>
                <w:sz w:val="20"/>
                <w:szCs w:val="20"/>
                <w:lang w:val="uk-UA"/>
              </w:rPr>
              <w:t>Всього:</w:t>
            </w:r>
            <w:r w:rsidRPr="00254B59">
              <w:rPr>
                <w:sz w:val="20"/>
                <w:szCs w:val="20"/>
                <w:lang w:val="uk-UA"/>
              </w:rPr>
              <w:br/>
            </w:r>
            <w:r w:rsidRPr="00894B0C">
              <w:rPr>
                <w:b/>
                <w:sz w:val="20"/>
                <w:szCs w:val="20"/>
                <w:lang w:val="uk-UA"/>
              </w:rPr>
              <w:t>3</w:t>
            </w:r>
            <w:r w:rsidR="00894B0C" w:rsidRPr="00894B0C">
              <w:rPr>
                <w:b/>
                <w:sz w:val="20"/>
                <w:szCs w:val="20"/>
                <w:lang w:val="uk-UA"/>
              </w:rPr>
              <w:t>71</w:t>
            </w:r>
            <w:r w:rsidRPr="00894B0C">
              <w:rPr>
                <w:b/>
                <w:sz w:val="20"/>
                <w:szCs w:val="20"/>
                <w:lang w:val="uk-UA"/>
              </w:rPr>
              <w:t>,</w:t>
            </w:r>
            <w:r w:rsidR="00894B0C" w:rsidRPr="00894B0C">
              <w:rPr>
                <w:b/>
                <w:sz w:val="20"/>
                <w:szCs w:val="20"/>
                <w:lang w:val="uk-UA"/>
              </w:rPr>
              <w:t>1</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витрат</w:t>
            </w:r>
            <w:r w:rsidRPr="00254B59">
              <w:rPr>
                <w:sz w:val="20"/>
                <w:szCs w:val="20"/>
                <w:lang w:val="uk-UA"/>
              </w:rPr>
              <w:br/>
              <w:t>витрати на перевезення військово-лікарських комісій, тис. грн</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177,2</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193,9</w:t>
            </w:r>
          </w:p>
        </w:tc>
        <w:tc>
          <w:tcPr>
            <w:tcW w:w="250" w:type="pct"/>
            <w:tcBorders>
              <w:top w:val="outset" w:sz="6" w:space="0" w:color="auto"/>
              <w:left w:val="outset" w:sz="6" w:space="0" w:color="auto"/>
              <w:bottom w:val="outset" w:sz="6" w:space="0" w:color="auto"/>
              <w:right w:val="outset" w:sz="6" w:space="0" w:color="auto"/>
            </w:tcBorders>
          </w:tcPr>
          <w:p w:rsidR="00254B59" w:rsidRPr="00254B59" w:rsidRDefault="00254B59" w:rsidP="008974BD">
            <w:pPr>
              <w:pStyle w:val="a6"/>
              <w:jc w:val="center"/>
              <w:rPr>
                <w:lang w:val="uk-UA"/>
              </w:rPr>
            </w:pP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2022 рік</w:t>
            </w:r>
            <w:r w:rsidRPr="00254B59">
              <w:rPr>
                <w:sz w:val="20"/>
                <w:szCs w:val="20"/>
                <w:lang w:val="uk-UA"/>
              </w:rPr>
              <w:br/>
              <w:t>177,2</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продукту</w:t>
            </w:r>
            <w:r w:rsidRPr="00254B59">
              <w:rPr>
                <w:sz w:val="20"/>
                <w:szCs w:val="20"/>
                <w:lang w:val="uk-UA"/>
              </w:rPr>
              <w:br/>
              <w:t>циклів перевезення, од.</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tcPr>
          <w:p w:rsidR="00254B59" w:rsidRPr="00254B59" w:rsidRDefault="00254B59" w:rsidP="008974BD">
            <w:pPr>
              <w:pStyle w:val="a6"/>
              <w:jc w:val="center"/>
              <w:rPr>
                <w:lang w:val="uk-UA"/>
              </w:rPr>
            </w:pP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2023 рік</w:t>
            </w:r>
            <w:r w:rsidRPr="00254B59">
              <w:rPr>
                <w:sz w:val="20"/>
                <w:szCs w:val="20"/>
                <w:lang w:val="uk-UA"/>
              </w:rPr>
              <w:br/>
              <w:t>193,9</w:t>
            </w: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ефективності</w:t>
            </w:r>
            <w:r w:rsidRPr="00254B59">
              <w:rPr>
                <w:sz w:val="20"/>
                <w:szCs w:val="20"/>
                <w:lang w:val="uk-UA"/>
              </w:rPr>
              <w:br/>
              <w:t>витрати на перевезення військово-лікарських комісій, тис. грн</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177,2</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193,9</w:t>
            </w:r>
          </w:p>
        </w:tc>
        <w:tc>
          <w:tcPr>
            <w:tcW w:w="250" w:type="pct"/>
            <w:tcBorders>
              <w:top w:val="outset" w:sz="6" w:space="0" w:color="auto"/>
              <w:left w:val="outset" w:sz="6" w:space="0" w:color="auto"/>
              <w:bottom w:val="outset" w:sz="6" w:space="0" w:color="auto"/>
              <w:right w:val="outset" w:sz="6" w:space="0" w:color="auto"/>
            </w:tcBorders>
          </w:tcPr>
          <w:p w:rsidR="00254B59" w:rsidRPr="00254B59" w:rsidRDefault="00254B59" w:rsidP="008974BD">
            <w:pPr>
              <w:pStyle w:val="a6"/>
              <w:jc w:val="center"/>
              <w:rPr>
                <w:lang w:val="uk-UA"/>
              </w:rPr>
            </w:pPr>
          </w:p>
        </w:tc>
      </w:tr>
      <w:tr w:rsidR="00254B59" w:rsidRPr="00254B59" w:rsidTr="00254B5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254B59" w:rsidRPr="00254B59" w:rsidRDefault="00254B59" w:rsidP="008974BD"/>
        </w:tc>
        <w:tc>
          <w:tcPr>
            <w:tcW w:w="4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p>
        </w:tc>
        <w:tc>
          <w:tcPr>
            <w:tcW w:w="7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rPr>
                <w:lang w:val="uk-UA"/>
              </w:rPr>
            </w:pPr>
            <w:r w:rsidRPr="00254B59">
              <w:rPr>
                <w:sz w:val="20"/>
                <w:szCs w:val="20"/>
                <w:lang w:val="uk-UA"/>
              </w:rPr>
              <w:t>якості</w:t>
            </w:r>
            <w:r w:rsidRPr="00254B59">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254B59" w:rsidRPr="00254B59" w:rsidRDefault="00254B59" w:rsidP="008974BD">
            <w:pPr>
              <w:pStyle w:val="a6"/>
              <w:jc w:val="center"/>
              <w:rPr>
                <w:lang w:val="uk-UA"/>
              </w:rPr>
            </w:pPr>
            <w:r w:rsidRPr="00254B59">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tcPr>
          <w:p w:rsidR="00254B59" w:rsidRPr="00254B59" w:rsidRDefault="00254B59" w:rsidP="008974BD">
            <w:pPr>
              <w:pStyle w:val="a6"/>
              <w:jc w:val="center"/>
              <w:rPr>
                <w:lang w:val="uk-UA"/>
              </w:rPr>
            </w:pP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40"/>
        <w:gridCol w:w="448"/>
        <w:gridCol w:w="1260"/>
        <w:gridCol w:w="712"/>
        <w:gridCol w:w="683"/>
        <w:gridCol w:w="1333"/>
        <w:gridCol w:w="491"/>
        <w:gridCol w:w="491"/>
        <w:gridCol w:w="491"/>
      </w:tblGrid>
      <w:tr w:rsidR="00930103" w:rsidRPr="00930103" w:rsidTr="00930103">
        <w:trPr>
          <w:jc w:val="center"/>
        </w:trPr>
        <w:tc>
          <w:tcPr>
            <w:tcW w:w="4250" w:type="pct"/>
            <w:gridSpan w:val="9"/>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3. Вдосконалення військового обліку, оновлення обладнання для зберігання та обробки облікових даних</w:t>
            </w:r>
          </w:p>
        </w:tc>
      </w:tr>
      <w:tr w:rsidR="00930103" w:rsidRPr="00930103" w:rsidTr="00930103">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 xml:space="preserve">3. Дообладнання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призовників та військовозобов'язаних, кандидатів на проходження військової служби за контрактом збірного пункту Київського міського ТЦК та СП сучасною комп'ютерною технікою та необхідним обладнанням</w:t>
            </w:r>
          </w:p>
        </w:tc>
        <w:tc>
          <w:tcPr>
            <w:tcW w:w="35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2022 - 2024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Департамент муніципальної безпеки,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Всього:</w:t>
            </w:r>
            <w:r w:rsidRPr="00930103">
              <w:rPr>
                <w:sz w:val="20"/>
                <w:szCs w:val="20"/>
                <w:lang w:val="uk-UA"/>
              </w:rPr>
              <w:br/>
              <w:t>322,5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витрат</w:t>
            </w:r>
            <w:r w:rsidRPr="00930103">
              <w:rPr>
                <w:sz w:val="20"/>
                <w:szCs w:val="20"/>
                <w:lang w:val="uk-UA"/>
              </w:rPr>
              <w:br/>
              <w:t xml:space="preserve">витрати на 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тис. грн</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111,5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рік</w:t>
            </w:r>
            <w:r w:rsidRPr="00930103">
              <w:rPr>
                <w:sz w:val="20"/>
                <w:szCs w:val="20"/>
                <w:lang w:val="uk-UA"/>
              </w:rPr>
              <w:br/>
              <w:t>111,5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продукту</w:t>
            </w:r>
            <w:r w:rsidRPr="00930103">
              <w:rPr>
                <w:sz w:val="20"/>
                <w:szCs w:val="20"/>
                <w:lang w:val="uk-UA"/>
              </w:rPr>
              <w:br/>
              <w:t>кількість класів, од.</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w:t>
            </w: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2023 рік</w:t>
            </w:r>
            <w:r w:rsidRPr="00930103">
              <w:rPr>
                <w:sz w:val="20"/>
                <w:szCs w:val="20"/>
                <w:lang w:val="uk-UA"/>
              </w:rPr>
              <w:br/>
              <w:t>105,5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ефективності</w:t>
            </w:r>
            <w:r w:rsidRPr="00930103">
              <w:rPr>
                <w:sz w:val="20"/>
                <w:szCs w:val="20"/>
                <w:lang w:val="uk-UA"/>
              </w:rPr>
              <w:br/>
              <w:t xml:space="preserve">витрати на 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тис. грн</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111,5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2024 рік</w:t>
            </w:r>
            <w:r w:rsidRPr="00930103">
              <w:rPr>
                <w:sz w:val="20"/>
                <w:szCs w:val="20"/>
                <w:lang w:val="uk-UA"/>
              </w:rPr>
              <w:br/>
              <w:t>105,5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якості</w:t>
            </w:r>
            <w:r w:rsidRPr="00930103">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24"/>
        <w:gridCol w:w="465"/>
        <w:gridCol w:w="1313"/>
        <w:gridCol w:w="741"/>
        <w:gridCol w:w="711"/>
        <w:gridCol w:w="1390"/>
        <w:gridCol w:w="510"/>
        <w:gridCol w:w="510"/>
        <w:gridCol w:w="185"/>
      </w:tblGrid>
      <w:tr w:rsidR="00930103" w:rsidRPr="00930103" w:rsidTr="008974BD">
        <w:trPr>
          <w:jc w:val="center"/>
        </w:trPr>
        <w:tc>
          <w:tcPr>
            <w:tcW w:w="4250" w:type="pct"/>
            <w:gridSpan w:val="9"/>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3. Вдосконалення військового обліку, оновлення обладнання для зберігання та обробки облікових даних</w:t>
            </w:r>
          </w:p>
        </w:tc>
      </w:tr>
      <w:tr w:rsidR="00930103" w:rsidRPr="00930103" w:rsidTr="00930103">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 xml:space="preserve">3. Дообладнання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призовників та військовозобов'язаних, кандидатів на проходження військової служби за контрактом збірного пункту Київського міського ТЦК та СП сучасною комп'ютерною технікою та необхідним обладнанням</w:t>
            </w:r>
          </w:p>
        </w:tc>
        <w:tc>
          <w:tcPr>
            <w:tcW w:w="35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 xml:space="preserve">2022 - </w:t>
            </w:r>
            <w:r w:rsidR="00622FFE" w:rsidRPr="00622FFE">
              <w:rPr>
                <w:b/>
                <w:sz w:val="20"/>
                <w:szCs w:val="20"/>
                <w:lang w:val="uk-UA"/>
              </w:rPr>
              <w:t>202</w:t>
            </w:r>
            <w:r w:rsidR="00622FFE">
              <w:rPr>
                <w:b/>
                <w:sz w:val="20"/>
                <w:szCs w:val="20"/>
                <w:lang w:val="uk-UA"/>
              </w:rPr>
              <w:t>3</w:t>
            </w:r>
            <w:r w:rsidRPr="00930103">
              <w:rPr>
                <w:sz w:val="20"/>
                <w:szCs w:val="20"/>
                <w:lang w:val="uk-UA"/>
              </w:rPr>
              <w:t xml:space="preserve">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Департамент муніципальної безпеки,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4B0C">
            <w:pPr>
              <w:pStyle w:val="a6"/>
              <w:jc w:val="center"/>
              <w:rPr>
                <w:lang w:val="uk-UA"/>
              </w:rPr>
            </w:pPr>
            <w:r w:rsidRPr="00930103">
              <w:rPr>
                <w:sz w:val="20"/>
                <w:szCs w:val="20"/>
                <w:lang w:val="uk-UA"/>
              </w:rPr>
              <w:t>Всього:</w:t>
            </w:r>
            <w:r w:rsidRPr="00930103">
              <w:rPr>
                <w:sz w:val="20"/>
                <w:szCs w:val="20"/>
                <w:lang w:val="uk-UA"/>
              </w:rPr>
              <w:br/>
            </w:r>
            <w:r w:rsidRPr="00894B0C">
              <w:rPr>
                <w:b/>
                <w:sz w:val="20"/>
                <w:szCs w:val="20"/>
                <w:lang w:val="uk-UA"/>
              </w:rPr>
              <w:t>2</w:t>
            </w:r>
            <w:r w:rsidR="00894B0C" w:rsidRPr="00894B0C">
              <w:rPr>
                <w:b/>
                <w:sz w:val="20"/>
                <w:szCs w:val="20"/>
                <w:lang w:val="uk-UA"/>
              </w:rPr>
              <w:t>17</w:t>
            </w:r>
            <w:r w:rsidRPr="00894B0C">
              <w:rPr>
                <w:b/>
                <w:sz w:val="20"/>
                <w:szCs w:val="20"/>
                <w:lang w:val="uk-UA"/>
              </w:rPr>
              <w:t>,</w:t>
            </w:r>
            <w:r w:rsidR="00894B0C" w:rsidRPr="00894B0C">
              <w:rPr>
                <w:b/>
                <w:sz w:val="20"/>
                <w:szCs w:val="20"/>
                <w:lang w:val="uk-UA"/>
              </w:rPr>
              <w:t>0</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витрат</w:t>
            </w:r>
            <w:r w:rsidRPr="00930103">
              <w:rPr>
                <w:sz w:val="20"/>
                <w:szCs w:val="20"/>
                <w:lang w:val="uk-UA"/>
              </w:rPr>
              <w:br/>
              <w:t xml:space="preserve">витрати на 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тис. грн</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111,5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c>
          <w:tcPr>
            <w:tcW w:w="250" w:type="pct"/>
            <w:tcBorders>
              <w:top w:val="outset" w:sz="6" w:space="0" w:color="auto"/>
              <w:left w:val="outset" w:sz="6" w:space="0" w:color="auto"/>
              <w:bottom w:val="outset" w:sz="6" w:space="0" w:color="auto"/>
              <w:right w:val="outset" w:sz="6" w:space="0" w:color="auto"/>
            </w:tcBorders>
          </w:tcPr>
          <w:p w:rsidR="00930103" w:rsidRPr="00930103" w:rsidRDefault="00930103" w:rsidP="008974BD">
            <w:pPr>
              <w:pStyle w:val="a6"/>
              <w:jc w:val="center"/>
              <w:rPr>
                <w:lang w:val="uk-UA"/>
              </w:rPr>
            </w:pP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рік</w:t>
            </w:r>
            <w:r w:rsidRPr="00930103">
              <w:rPr>
                <w:sz w:val="20"/>
                <w:szCs w:val="20"/>
                <w:lang w:val="uk-UA"/>
              </w:rPr>
              <w:br/>
              <w:t>111,5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продукту</w:t>
            </w:r>
            <w:r w:rsidRPr="00930103">
              <w:rPr>
                <w:sz w:val="20"/>
                <w:szCs w:val="20"/>
                <w:lang w:val="uk-UA"/>
              </w:rPr>
              <w:br/>
              <w:t>кількість класів, од.</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tcPr>
          <w:p w:rsidR="00930103" w:rsidRPr="00930103" w:rsidRDefault="00930103" w:rsidP="008974BD">
            <w:pPr>
              <w:pStyle w:val="a6"/>
              <w:jc w:val="center"/>
              <w:rPr>
                <w:lang w:val="uk-UA"/>
              </w:rPr>
            </w:pP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2023 рік</w:t>
            </w:r>
            <w:r w:rsidRPr="00930103">
              <w:rPr>
                <w:sz w:val="20"/>
                <w:szCs w:val="20"/>
                <w:lang w:val="uk-UA"/>
              </w:rPr>
              <w:br/>
              <w:t>105,5</w:t>
            </w: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ефективності</w:t>
            </w:r>
            <w:r w:rsidRPr="00930103">
              <w:rPr>
                <w:sz w:val="20"/>
                <w:szCs w:val="20"/>
                <w:lang w:val="uk-UA"/>
              </w:rPr>
              <w:br/>
              <w:t xml:space="preserve">витрати на обладнання класу </w:t>
            </w:r>
            <w:proofErr w:type="spellStart"/>
            <w:r w:rsidRPr="00930103">
              <w:rPr>
                <w:sz w:val="20"/>
                <w:szCs w:val="20"/>
                <w:lang w:val="uk-UA"/>
              </w:rPr>
              <w:t>професійно</w:t>
            </w:r>
            <w:proofErr w:type="spellEnd"/>
            <w:r w:rsidRPr="00930103">
              <w:rPr>
                <w:sz w:val="20"/>
                <w:szCs w:val="20"/>
                <w:lang w:val="uk-UA"/>
              </w:rPr>
              <w:t>-психологічного відбору, тис. грн</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111,5</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105,5</w:t>
            </w:r>
          </w:p>
        </w:tc>
        <w:tc>
          <w:tcPr>
            <w:tcW w:w="250" w:type="pct"/>
            <w:tcBorders>
              <w:top w:val="outset" w:sz="6" w:space="0" w:color="auto"/>
              <w:left w:val="outset" w:sz="6" w:space="0" w:color="auto"/>
              <w:bottom w:val="outset" w:sz="6" w:space="0" w:color="auto"/>
              <w:right w:val="outset" w:sz="6" w:space="0" w:color="auto"/>
            </w:tcBorders>
          </w:tcPr>
          <w:p w:rsidR="00930103" w:rsidRPr="00930103" w:rsidRDefault="00930103" w:rsidP="008974BD">
            <w:pPr>
              <w:pStyle w:val="a6"/>
              <w:jc w:val="center"/>
              <w:rPr>
                <w:lang w:val="uk-UA"/>
              </w:rPr>
            </w:pPr>
          </w:p>
        </w:tc>
      </w:tr>
      <w:tr w:rsidR="00930103" w:rsidRPr="00930103" w:rsidTr="00930103">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p>
        </w:tc>
        <w:tc>
          <w:tcPr>
            <w:tcW w:w="7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якості</w:t>
            </w:r>
            <w:r w:rsidRPr="00930103">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tcPr>
          <w:p w:rsidR="00930103" w:rsidRPr="00930103" w:rsidRDefault="00930103" w:rsidP="008974BD">
            <w:pPr>
              <w:pStyle w:val="a6"/>
              <w:jc w:val="center"/>
              <w:rPr>
                <w:lang w:val="uk-UA"/>
              </w:rPr>
            </w:pPr>
          </w:p>
        </w:tc>
      </w:tr>
    </w:tbl>
    <w:p w:rsidR="00254B59" w:rsidRDefault="00254B59"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97"/>
        <w:gridCol w:w="465"/>
        <w:gridCol w:w="1313"/>
        <w:gridCol w:w="741"/>
        <w:gridCol w:w="810"/>
        <w:gridCol w:w="1192"/>
        <w:gridCol w:w="710"/>
        <w:gridCol w:w="810"/>
        <w:gridCol w:w="511"/>
      </w:tblGrid>
      <w:tr w:rsidR="00930103" w:rsidRPr="00930103" w:rsidTr="00654EF0">
        <w:trPr>
          <w:jc w:val="center"/>
        </w:trPr>
        <w:tc>
          <w:tcPr>
            <w:tcW w:w="5000" w:type="pct"/>
            <w:gridSpan w:val="9"/>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4. Вдосконалення пунктів постійної дислокації сил оборони та безпеки міста Києва</w:t>
            </w:r>
          </w:p>
        </w:tc>
      </w:tr>
      <w:tr w:rsidR="00930103" w:rsidRPr="00930103" w:rsidTr="00654EF0">
        <w:trPr>
          <w:jc w:val="center"/>
        </w:trPr>
        <w:tc>
          <w:tcPr>
            <w:tcW w:w="827"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4.1. Капітальний і поточний ремонт приміщень</w:t>
            </w:r>
          </w:p>
        </w:tc>
        <w:tc>
          <w:tcPr>
            <w:tcW w:w="296"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2022 - 2024 роки</w:t>
            </w:r>
          </w:p>
        </w:tc>
        <w:tc>
          <w:tcPr>
            <w:tcW w:w="836"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НВМКЦ "ГВКГ", Головне управління Національної поліції в м. Києві, Київський військовий ліцей імені Івана Богуна, вищі військові навчальні заклади, заклади вищої освіти із специфічними умовами навчання</w:t>
            </w:r>
          </w:p>
        </w:tc>
        <w:tc>
          <w:tcPr>
            <w:tcW w:w="472"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Бюджет міста Києва</w:t>
            </w:r>
          </w:p>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4B0C">
            <w:pPr>
              <w:pStyle w:val="a6"/>
              <w:jc w:val="center"/>
              <w:rPr>
                <w:lang w:val="uk-UA"/>
              </w:rPr>
            </w:pPr>
            <w:r w:rsidRPr="00930103">
              <w:rPr>
                <w:sz w:val="20"/>
                <w:szCs w:val="20"/>
                <w:lang w:val="uk-UA"/>
              </w:rPr>
              <w:t>Всього:</w:t>
            </w:r>
            <w:r w:rsidRPr="00930103">
              <w:rPr>
                <w:sz w:val="20"/>
                <w:szCs w:val="20"/>
                <w:lang w:val="uk-UA"/>
              </w:rPr>
              <w:br/>
            </w:r>
            <w:r w:rsidR="00894B0C">
              <w:rPr>
                <w:sz w:val="20"/>
                <w:szCs w:val="20"/>
                <w:lang w:val="uk-UA"/>
              </w:rPr>
              <w:t>4</w:t>
            </w:r>
            <w:r w:rsidRPr="00930103">
              <w:rPr>
                <w:sz w:val="20"/>
                <w:szCs w:val="20"/>
                <w:lang w:val="uk-UA"/>
              </w:rPr>
              <w:t>63400,0</w:t>
            </w:r>
          </w:p>
        </w:tc>
        <w:tc>
          <w:tcPr>
            <w:tcW w:w="75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витрат</w:t>
            </w:r>
            <w:r w:rsidRPr="00930103">
              <w:rPr>
                <w:sz w:val="20"/>
                <w:szCs w:val="20"/>
                <w:lang w:val="uk-UA"/>
              </w:rPr>
              <w:br/>
              <w:t>витрати на ремонт приміщень ТЦК та СП, тис. грн</w:t>
            </w:r>
          </w:p>
        </w:tc>
        <w:tc>
          <w:tcPr>
            <w:tcW w:w="452"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62900,0</w:t>
            </w:r>
          </w:p>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400000,0</w:t>
            </w:r>
          </w:p>
        </w:tc>
        <w:tc>
          <w:tcPr>
            <w:tcW w:w="32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500,0</w:t>
            </w:r>
          </w:p>
        </w:tc>
      </w:tr>
      <w:tr w:rsidR="00930103" w:rsidRPr="00930103"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рік</w:t>
            </w:r>
            <w:r w:rsidRPr="00930103">
              <w:rPr>
                <w:sz w:val="20"/>
                <w:szCs w:val="20"/>
                <w:lang w:val="uk-UA"/>
              </w:rPr>
              <w:br/>
              <w:t>62900,0</w:t>
            </w:r>
          </w:p>
        </w:tc>
        <w:tc>
          <w:tcPr>
            <w:tcW w:w="75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продукту</w:t>
            </w:r>
            <w:r w:rsidRPr="00930103">
              <w:rPr>
                <w:sz w:val="20"/>
                <w:szCs w:val="20"/>
                <w:lang w:val="uk-UA"/>
              </w:rPr>
              <w:br/>
              <w:t>кількість об'єктів поточного ремонту, од.</w:t>
            </w:r>
          </w:p>
        </w:tc>
        <w:tc>
          <w:tcPr>
            <w:tcW w:w="452"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w:t>
            </w:r>
          </w:p>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80</w:t>
            </w:r>
          </w:p>
        </w:tc>
        <w:tc>
          <w:tcPr>
            <w:tcW w:w="32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w:t>
            </w:r>
          </w:p>
        </w:tc>
      </w:tr>
      <w:tr w:rsidR="00930103" w:rsidRPr="00930103"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2023 рік</w:t>
            </w:r>
            <w:r w:rsidRPr="00930103">
              <w:rPr>
                <w:sz w:val="20"/>
                <w:szCs w:val="20"/>
                <w:lang w:val="uk-UA"/>
              </w:rPr>
              <w:br/>
              <w:t>400000,0</w:t>
            </w:r>
          </w:p>
        </w:tc>
        <w:tc>
          <w:tcPr>
            <w:tcW w:w="75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ефективності</w:t>
            </w:r>
            <w:r w:rsidRPr="00930103">
              <w:rPr>
                <w:sz w:val="20"/>
                <w:szCs w:val="20"/>
                <w:lang w:val="uk-UA"/>
              </w:rPr>
              <w:br/>
              <w:t>середні витрати на ремонт приміщень ТЦК та СП, тис. грн</w:t>
            </w:r>
          </w:p>
        </w:tc>
        <w:tc>
          <w:tcPr>
            <w:tcW w:w="452"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6290,0</w:t>
            </w:r>
          </w:p>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5000,0</w:t>
            </w:r>
          </w:p>
        </w:tc>
        <w:tc>
          <w:tcPr>
            <w:tcW w:w="32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50,0</w:t>
            </w:r>
          </w:p>
        </w:tc>
      </w:tr>
      <w:tr w:rsidR="00930103" w:rsidRPr="00930103"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2024 рік</w:t>
            </w:r>
            <w:r w:rsidRPr="00930103">
              <w:rPr>
                <w:sz w:val="20"/>
                <w:szCs w:val="20"/>
                <w:lang w:val="uk-UA"/>
              </w:rPr>
              <w:br/>
              <w:t>500,0</w:t>
            </w:r>
          </w:p>
        </w:tc>
        <w:tc>
          <w:tcPr>
            <w:tcW w:w="75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якості</w:t>
            </w:r>
            <w:r w:rsidRPr="00930103">
              <w:rPr>
                <w:sz w:val="20"/>
                <w:szCs w:val="20"/>
                <w:lang w:val="uk-UA"/>
              </w:rPr>
              <w:br/>
              <w:t>рівень виконання заходу, %</w:t>
            </w:r>
          </w:p>
        </w:tc>
        <w:tc>
          <w:tcPr>
            <w:tcW w:w="452"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516"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32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r>
    </w:tbl>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p w:rsidR="00930103" w:rsidRDefault="00930103" w:rsidP="00F23FCD">
      <w:pPr>
        <w:spacing w:after="0"/>
        <w:ind w:left="-142"/>
        <w:jc w:val="center"/>
        <w:rPr>
          <w:rFonts w:ascii="Times New Roman" w:hAnsi="Times New Roman" w:cs="Times New Roman"/>
          <w:sz w:val="28"/>
          <w:szCs w:val="28"/>
        </w:rPr>
      </w:pPr>
    </w:p>
    <w:tbl>
      <w:tblPr>
        <w:tblW w:w="5076"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34"/>
        <w:gridCol w:w="465"/>
        <w:gridCol w:w="1313"/>
        <w:gridCol w:w="741"/>
        <w:gridCol w:w="810"/>
        <w:gridCol w:w="1192"/>
        <w:gridCol w:w="710"/>
        <w:gridCol w:w="810"/>
        <w:gridCol w:w="810"/>
      </w:tblGrid>
      <w:tr w:rsidR="00930103" w:rsidRPr="00930103" w:rsidTr="0053725E">
        <w:trPr>
          <w:jc w:val="center"/>
        </w:trPr>
        <w:tc>
          <w:tcPr>
            <w:tcW w:w="5000" w:type="pct"/>
            <w:gridSpan w:val="9"/>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4. Вдосконалення пунктів постійної дислокації сил оборони та безпеки міста Києва</w:t>
            </w:r>
          </w:p>
        </w:tc>
      </w:tr>
      <w:tr w:rsidR="0053725E" w:rsidRPr="00930103" w:rsidTr="0053725E">
        <w:trPr>
          <w:jc w:val="center"/>
        </w:trPr>
        <w:tc>
          <w:tcPr>
            <w:tcW w:w="700"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4.1. Капітальний і поточний ремонт приміщень</w:t>
            </w:r>
          </w:p>
        </w:tc>
        <w:tc>
          <w:tcPr>
            <w:tcW w:w="287"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2022 - 2024 роки</w:t>
            </w:r>
          </w:p>
        </w:tc>
        <w:tc>
          <w:tcPr>
            <w:tcW w:w="876"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НВМКЦ "ГВКГ", Головне управління Національної поліції в м. Києві, Київський військовий ліцей імені Івана Богуна, вищі військові навчальні заклади, заклади вищої освіти із специфічними умовами навчання</w:t>
            </w:r>
            <w:r w:rsidR="0053725E" w:rsidRPr="00397C2A">
              <w:rPr>
                <w:b/>
                <w:sz w:val="20"/>
                <w:szCs w:val="20"/>
                <w:lang w:val="uk-UA"/>
              </w:rPr>
              <w:t xml:space="preserve">, </w:t>
            </w:r>
            <w:r w:rsidR="0053725E" w:rsidRPr="0053725E">
              <w:rPr>
                <w:b/>
                <w:sz w:val="20"/>
                <w:szCs w:val="20"/>
                <w:lang w:val="uk-UA"/>
              </w:rPr>
              <w:t>ДУ «ТМО МВС України по місту Києву та Київській області»</w:t>
            </w:r>
          </w:p>
        </w:tc>
        <w:tc>
          <w:tcPr>
            <w:tcW w:w="457" w:type="pct"/>
            <w:vMerge w:val="restar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Бюджет міста Києва</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037454">
            <w:pPr>
              <w:pStyle w:val="a6"/>
              <w:jc w:val="center"/>
              <w:rPr>
                <w:lang w:val="uk-UA"/>
              </w:rPr>
            </w:pPr>
            <w:r w:rsidRPr="00930103">
              <w:rPr>
                <w:sz w:val="20"/>
                <w:szCs w:val="20"/>
                <w:lang w:val="uk-UA"/>
              </w:rPr>
              <w:t>Всього:</w:t>
            </w:r>
            <w:r w:rsidRPr="00930103">
              <w:rPr>
                <w:sz w:val="20"/>
                <w:szCs w:val="20"/>
                <w:lang w:val="uk-UA"/>
              </w:rPr>
              <w:br/>
            </w:r>
            <w:r w:rsidRPr="00037454">
              <w:rPr>
                <w:b/>
                <w:sz w:val="20"/>
                <w:szCs w:val="20"/>
                <w:lang w:val="uk-UA"/>
              </w:rPr>
              <w:t>56</w:t>
            </w:r>
            <w:r w:rsidR="00037454" w:rsidRPr="00037454">
              <w:rPr>
                <w:b/>
                <w:sz w:val="20"/>
                <w:szCs w:val="20"/>
                <w:lang w:val="uk-UA"/>
              </w:rPr>
              <w:t>29</w:t>
            </w:r>
            <w:r w:rsidRPr="00037454">
              <w:rPr>
                <w:b/>
                <w:sz w:val="20"/>
                <w:szCs w:val="20"/>
                <w:lang w:val="uk-UA"/>
              </w:rPr>
              <w:t>00,0</w:t>
            </w:r>
          </w:p>
        </w:tc>
        <w:tc>
          <w:tcPr>
            <w:tcW w:w="73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витрат</w:t>
            </w:r>
            <w:r w:rsidRPr="00930103">
              <w:rPr>
                <w:sz w:val="20"/>
                <w:szCs w:val="20"/>
                <w:lang w:val="uk-UA"/>
              </w:rPr>
              <w:br/>
              <w:t>витрати на ремонт приміщень ТЦК та СП, тис. грн</w:t>
            </w:r>
          </w:p>
        </w:tc>
        <w:tc>
          <w:tcPr>
            <w:tcW w:w="438"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62900,0</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400000,0</w:t>
            </w:r>
          </w:p>
        </w:tc>
        <w:tc>
          <w:tcPr>
            <w:tcW w:w="499" w:type="pct"/>
            <w:tcBorders>
              <w:top w:val="outset" w:sz="6" w:space="0" w:color="auto"/>
              <w:left w:val="outset" w:sz="6" w:space="0" w:color="auto"/>
              <w:bottom w:val="outset" w:sz="6" w:space="0" w:color="auto"/>
              <w:right w:val="outset" w:sz="6" w:space="0" w:color="auto"/>
            </w:tcBorders>
            <w:hideMark/>
          </w:tcPr>
          <w:p w:rsidR="00930103" w:rsidRPr="0053725E" w:rsidRDefault="0053725E" w:rsidP="008974BD">
            <w:pPr>
              <w:pStyle w:val="a6"/>
              <w:jc w:val="center"/>
              <w:rPr>
                <w:b/>
                <w:lang w:val="uk-UA"/>
              </w:rPr>
            </w:pPr>
            <w:r w:rsidRPr="0053725E">
              <w:rPr>
                <w:b/>
                <w:sz w:val="20"/>
                <w:szCs w:val="20"/>
                <w:lang w:val="uk-UA"/>
              </w:rPr>
              <w:t>1000</w:t>
            </w:r>
            <w:r w:rsidR="00930103" w:rsidRPr="0053725E">
              <w:rPr>
                <w:b/>
                <w:sz w:val="20"/>
                <w:szCs w:val="20"/>
                <w:lang w:val="uk-UA"/>
              </w:rPr>
              <w:t>00,0</w:t>
            </w:r>
          </w:p>
        </w:tc>
      </w:tr>
      <w:tr w:rsidR="0053725E" w:rsidRPr="00930103" w:rsidTr="0053725E">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876" w:type="pct"/>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2022 рік</w:t>
            </w:r>
            <w:r w:rsidRPr="00930103">
              <w:rPr>
                <w:sz w:val="20"/>
                <w:szCs w:val="20"/>
                <w:lang w:val="uk-UA"/>
              </w:rPr>
              <w:br/>
              <w:t>62900,0</w:t>
            </w:r>
          </w:p>
        </w:tc>
        <w:tc>
          <w:tcPr>
            <w:tcW w:w="73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продукту</w:t>
            </w:r>
            <w:r w:rsidRPr="00930103">
              <w:rPr>
                <w:sz w:val="20"/>
                <w:szCs w:val="20"/>
                <w:lang w:val="uk-UA"/>
              </w:rPr>
              <w:br/>
              <w:t>кількість об'єктів поточного ремонту, од.</w:t>
            </w:r>
          </w:p>
        </w:tc>
        <w:tc>
          <w:tcPr>
            <w:tcW w:w="438"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80</w:t>
            </w:r>
          </w:p>
        </w:tc>
        <w:tc>
          <w:tcPr>
            <w:tcW w:w="499" w:type="pct"/>
            <w:tcBorders>
              <w:top w:val="outset" w:sz="6" w:space="0" w:color="auto"/>
              <w:left w:val="outset" w:sz="6" w:space="0" w:color="auto"/>
              <w:bottom w:val="outset" w:sz="6" w:space="0" w:color="auto"/>
              <w:right w:val="outset" w:sz="6" w:space="0" w:color="auto"/>
            </w:tcBorders>
            <w:hideMark/>
          </w:tcPr>
          <w:p w:rsidR="00930103" w:rsidRPr="0053725E" w:rsidRDefault="0053725E" w:rsidP="008974BD">
            <w:pPr>
              <w:pStyle w:val="a6"/>
              <w:jc w:val="center"/>
              <w:rPr>
                <w:b/>
                <w:lang w:val="uk-UA"/>
              </w:rPr>
            </w:pPr>
            <w:r w:rsidRPr="0053725E">
              <w:rPr>
                <w:b/>
                <w:sz w:val="20"/>
                <w:szCs w:val="20"/>
                <w:lang w:val="uk-UA"/>
              </w:rPr>
              <w:t>4</w:t>
            </w:r>
            <w:r w:rsidR="00930103" w:rsidRPr="0053725E">
              <w:rPr>
                <w:b/>
                <w:sz w:val="20"/>
                <w:szCs w:val="20"/>
                <w:lang w:val="uk-UA"/>
              </w:rPr>
              <w:t>0</w:t>
            </w:r>
          </w:p>
        </w:tc>
      </w:tr>
      <w:tr w:rsidR="0053725E" w:rsidRPr="00930103" w:rsidTr="0053725E">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876" w:type="pct"/>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2023 рік</w:t>
            </w:r>
            <w:r w:rsidRPr="00930103">
              <w:rPr>
                <w:sz w:val="20"/>
                <w:szCs w:val="20"/>
                <w:lang w:val="uk-UA"/>
              </w:rPr>
              <w:br/>
              <w:t>400000,0</w:t>
            </w:r>
          </w:p>
        </w:tc>
        <w:tc>
          <w:tcPr>
            <w:tcW w:w="73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ефективності</w:t>
            </w:r>
            <w:r w:rsidRPr="00930103">
              <w:rPr>
                <w:sz w:val="20"/>
                <w:szCs w:val="20"/>
                <w:lang w:val="uk-UA"/>
              </w:rPr>
              <w:br/>
              <w:t>середні витрати на ремонт приміщень ТЦК та СП, тис. грн</w:t>
            </w:r>
          </w:p>
        </w:tc>
        <w:tc>
          <w:tcPr>
            <w:tcW w:w="438"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6290,0</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5000,0</w:t>
            </w:r>
          </w:p>
        </w:tc>
        <w:tc>
          <w:tcPr>
            <w:tcW w:w="499" w:type="pct"/>
            <w:tcBorders>
              <w:top w:val="outset" w:sz="6" w:space="0" w:color="auto"/>
              <w:left w:val="outset" w:sz="6" w:space="0" w:color="auto"/>
              <w:bottom w:val="outset" w:sz="6" w:space="0" w:color="auto"/>
              <w:right w:val="outset" w:sz="6" w:space="0" w:color="auto"/>
            </w:tcBorders>
            <w:hideMark/>
          </w:tcPr>
          <w:p w:rsidR="00930103" w:rsidRPr="0053725E" w:rsidRDefault="0053725E" w:rsidP="008974BD">
            <w:pPr>
              <w:pStyle w:val="a6"/>
              <w:jc w:val="center"/>
              <w:rPr>
                <w:b/>
                <w:lang w:val="uk-UA"/>
              </w:rPr>
            </w:pPr>
            <w:r w:rsidRPr="0053725E">
              <w:rPr>
                <w:b/>
                <w:sz w:val="20"/>
                <w:szCs w:val="20"/>
                <w:lang w:val="uk-UA"/>
              </w:rPr>
              <w:t>2</w:t>
            </w:r>
            <w:r w:rsidR="00930103" w:rsidRPr="0053725E">
              <w:rPr>
                <w:b/>
                <w:sz w:val="20"/>
                <w:szCs w:val="20"/>
                <w:lang w:val="uk-UA"/>
              </w:rPr>
              <w:t>5</w:t>
            </w:r>
            <w:r w:rsidRPr="0053725E">
              <w:rPr>
                <w:b/>
                <w:sz w:val="20"/>
                <w:szCs w:val="20"/>
                <w:lang w:val="uk-UA"/>
              </w:rPr>
              <w:t>0</w:t>
            </w:r>
            <w:r w:rsidR="00930103" w:rsidRPr="0053725E">
              <w:rPr>
                <w:b/>
                <w:sz w:val="20"/>
                <w:szCs w:val="20"/>
                <w:lang w:val="uk-UA"/>
              </w:rPr>
              <w:t>0,0</w:t>
            </w:r>
          </w:p>
        </w:tc>
      </w:tr>
      <w:tr w:rsidR="0053725E" w:rsidRPr="00930103" w:rsidTr="0053725E">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876" w:type="pct"/>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930103" w:rsidRPr="00930103" w:rsidRDefault="00930103" w:rsidP="008974BD"/>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53725E">
            <w:pPr>
              <w:pStyle w:val="a6"/>
              <w:jc w:val="center"/>
              <w:rPr>
                <w:lang w:val="uk-UA"/>
              </w:rPr>
            </w:pPr>
            <w:r w:rsidRPr="00930103">
              <w:rPr>
                <w:sz w:val="20"/>
                <w:szCs w:val="20"/>
                <w:lang w:val="uk-UA"/>
              </w:rPr>
              <w:t>2024 рік</w:t>
            </w:r>
            <w:r w:rsidRPr="00930103">
              <w:rPr>
                <w:sz w:val="20"/>
                <w:szCs w:val="20"/>
                <w:lang w:val="uk-UA"/>
              </w:rPr>
              <w:br/>
            </w:r>
            <w:r w:rsidR="0053725E" w:rsidRPr="0053725E">
              <w:rPr>
                <w:b/>
                <w:sz w:val="20"/>
                <w:szCs w:val="20"/>
                <w:lang w:val="uk-UA"/>
              </w:rPr>
              <w:t>1000</w:t>
            </w:r>
            <w:r w:rsidRPr="0053725E">
              <w:rPr>
                <w:b/>
                <w:sz w:val="20"/>
                <w:szCs w:val="20"/>
                <w:lang w:val="uk-UA"/>
              </w:rPr>
              <w:t>00,0</w:t>
            </w:r>
          </w:p>
        </w:tc>
        <w:tc>
          <w:tcPr>
            <w:tcW w:w="735"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rPr>
                <w:lang w:val="uk-UA"/>
              </w:rPr>
            </w:pPr>
            <w:r w:rsidRPr="00930103">
              <w:rPr>
                <w:sz w:val="20"/>
                <w:szCs w:val="20"/>
                <w:lang w:val="uk-UA"/>
              </w:rPr>
              <w:t>якості</w:t>
            </w:r>
            <w:r w:rsidRPr="00930103">
              <w:rPr>
                <w:sz w:val="20"/>
                <w:szCs w:val="20"/>
                <w:lang w:val="uk-UA"/>
              </w:rPr>
              <w:br/>
              <w:t>рівень виконання заходу, %</w:t>
            </w:r>
          </w:p>
        </w:tc>
        <w:tc>
          <w:tcPr>
            <w:tcW w:w="438"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c>
          <w:tcPr>
            <w:tcW w:w="499" w:type="pct"/>
            <w:tcBorders>
              <w:top w:val="outset" w:sz="6" w:space="0" w:color="auto"/>
              <w:left w:val="outset" w:sz="6" w:space="0" w:color="auto"/>
              <w:bottom w:val="outset" w:sz="6" w:space="0" w:color="auto"/>
              <w:right w:val="outset" w:sz="6" w:space="0" w:color="auto"/>
            </w:tcBorders>
            <w:hideMark/>
          </w:tcPr>
          <w:p w:rsidR="00930103" w:rsidRPr="00930103" w:rsidRDefault="00930103" w:rsidP="008974BD">
            <w:pPr>
              <w:pStyle w:val="a6"/>
              <w:jc w:val="center"/>
              <w:rPr>
                <w:lang w:val="uk-UA"/>
              </w:rPr>
            </w:pPr>
            <w:r w:rsidRPr="00930103">
              <w:rPr>
                <w:sz w:val="20"/>
                <w:szCs w:val="20"/>
                <w:lang w:val="uk-UA"/>
              </w:rPr>
              <w:t>100</w:t>
            </w:r>
          </w:p>
        </w:tc>
      </w:tr>
    </w:tbl>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42"/>
        <w:gridCol w:w="558"/>
        <w:gridCol w:w="1313"/>
        <w:gridCol w:w="741"/>
        <w:gridCol w:w="741"/>
        <w:gridCol w:w="1205"/>
        <w:gridCol w:w="510"/>
        <w:gridCol w:w="329"/>
        <w:gridCol w:w="510"/>
      </w:tblGrid>
      <w:tr w:rsidR="008974BD" w:rsidRPr="006277B1" w:rsidTr="008974BD">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4.2. Поточний ремонт приміщень збірного пункту Київського міського ТЦК та СП (придбання будівельних матеріалів, обладнання та інвентарю)</w:t>
            </w:r>
          </w:p>
        </w:tc>
        <w:tc>
          <w:tcPr>
            <w:tcW w:w="35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2022 - 2024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Департамент муніципальної безпеки,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Всього:</w:t>
            </w:r>
            <w:r w:rsidRPr="006277B1">
              <w:rPr>
                <w:sz w:val="20"/>
                <w:szCs w:val="20"/>
                <w:lang w:val="uk-UA"/>
              </w:rPr>
              <w:br/>
              <w:t>1566,6</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витрат</w:t>
            </w:r>
            <w:r w:rsidRPr="006277B1">
              <w:rPr>
                <w:sz w:val="20"/>
                <w:szCs w:val="20"/>
                <w:lang w:val="uk-UA"/>
              </w:rPr>
              <w:br/>
              <w:t>витрати на ремонт приміщень збірного пункту Київського міського ТЦК та СП, тис. грн</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2022 рік</w:t>
            </w:r>
            <w:r w:rsidRPr="006277B1">
              <w:rPr>
                <w:sz w:val="20"/>
                <w:szCs w:val="20"/>
                <w:lang w:val="uk-UA"/>
              </w:rPr>
              <w:br/>
              <w:t>783,3</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продукту</w:t>
            </w:r>
            <w:r w:rsidRPr="006277B1">
              <w:rPr>
                <w:sz w:val="20"/>
                <w:szCs w:val="20"/>
                <w:lang w:val="uk-UA"/>
              </w:rPr>
              <w:br/>
              <w:t>кількість об'єктів поточного ремонту, од.</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w:t>
            </w: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2023 рік</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ефективності</w:t>
            </w:r>
            <w:r w:rsidRPr="006277B1">
              <w:rPr>
                <w:sz w:val="20"/>
                <w:szCs w:val="20"/>
                <w:lang w:val="uk-UA"/>
              </w:rPr>
              <w:br/>
              <w:t>середні витрати на ремонт приміщень збірного пункту Київського міського ТЦК та СП, тис. грн</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2024 рік</w:t>
            </w:r>
            <w:r w:rsidRPr="006277B1">
              <w:rPr>
                <w:sz w:val="20"/>
                <w:szCs w:val="20"/>
                <w:lang w:val="uk-UA"/>
              </w:rPr>
              <w:br/>
              <w:t>783,3</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100</w:t>
            </w: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61"/>
        <w:gridCol w:w="577"/>
        <w:gridCol w:w="1313"/>
        <w:gridCol w:w="741"/>
        <w:gridCol w:w="761"/>
        <w:gridCol w:w="1225"/>
        <w:gridCol w:w="510"/>
        <w:gridCol w:w="368"/>
        <w:gridCol w:w="393"/>
      </w:tblGrid>
      <w:tr w:rsidR="008974BD" w:rsidRPr="006277B1" w:rsidTr="008974BD">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4.2. Поточний ремонт приміщень збірного пункту Київського міського ТЦК та СП (придбання будівельних матеріалів, обладнання та інвентарю)</w:t>
            </w:r>
          </w:p>
        </w:tc>
        <w:tc>
          <w:tcPr>
            <w:tcW w:w="35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622FFE">
            <w:pPr>
              <w:pStyle w:val="a6"/>
              <w:jc w:val="center"/>
              <w:rPr>
                <w:lang w:val="uk-UA"/>
              </w:rPr>
            </w:pPr>
            <w:r w:rsidRPr="006277B1">
              <w:rPr>
                <w:sz w:val="20"/>
                <w:szCs w:val="20"/>
                <w:lang w:val="uk-UA"/>
              </w:rPr>
              <w:t xml:space="preserve">2022 </w:t>
            </w:r>
            <w:r w:rsidRPr="00622FFE">
              <w:rPr>
                <w:b/>
                <w:sz w:val="20"/>
                <w:szCs w:val="20"/>
                <w:lang w:val="uk-UA"/>
              </w:rPr>
              <w:t>р</w:t>
            </w:r>
            <w:r w:rsidR="00622FFE" w:rsidRPr="00622FFE">
              <w:rPr>
                <w:b/>
                <w:sz w:val="20"/>
                <w:szCs w:val="20"/>
                <w:lang w:val="uk-UA"/>
              </w:rPr>
              <w:t>ік</w:t>
            </w:r>
          </w:p>
        </w:tc>
        <w:tc>
          <w:tcPr>
            <w:tcW w:w="50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Департамент муніципальної безпеки, Київський міський ТЦК та СП</w:t>
            </w:r>
          </w:p>
        </w:tc>
        <w:tc>
          <w:tcPr>
            <w:tcW w:w="350" w:type="pct"/>
            <w:vMerge w:val="restar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397C2A">
            <w:pPr>
              <w:pStyle w:val="a6"/>
              <w:jc w:val="center"/>
              <w:rPr>
                <w:lang w:val="uk-UA"/>
              </w:rPr>
            </w:pPr>
            <w:r w:rsidRPr="006277B1">
              <w:rPr>
                <w:sz w:val="20"/>
                <w:szCs w:val="20"/>
                <w:lang w:val="uk-UA"/>
              </w:rPr>
              <w:t>Всього:</w:t>
            </w:r>
            <w:r w:rsidRPr="006277B1">
              <w:rPr>
                <w:sz w:val="20"/>
                <w:szCs w:val="20"/>
                <w:lang w:val="uk-UA"/>
              </w:rPr>
              <w:br/>
            </w:r>
            <w:r w:rsidR="00397C2A" w:rsidRPr="00397C2A">
              <w:rPr>
                <w:b/>
                <w:sz w:val="20"/>
                <w:szCs w:val="20"/>
                <w:lang w:val="uk-UA"/>
              </w:rPr>
              <w:t>783,3</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витрат</w:t>
            </w:r>
            <w:r w:rsidRPr="006277B1">
              <w:rPr>
                <w:sz w:val="20"/>
                <w:szCs w:val="20"/>
                <w:lang w:val="uk-UA"/>
              </w:rPr>
              <w:br/>
              <w:t>витрати на ремонт приміщень збірного пункту Київського міського ТЦК та СП, тис. грн</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tcPr>
          <w:p w:rsidR="008974BD" w:rsidRPr="006277B1" w:rsidRDefault="008974BD" w:rsidP="008974BD">
            <w:pPr>
              <w:pStyle w:val="a6"/>
              <w:jc w:val="center"/>
              <w:rPr>
                <w:lang w:val="uk-UA"/>
              </w:rPr>
            </w:pP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2022 рік</w:t>
            </w:r>
            <w:r w:rsidRPr="006277B1">
              <w:rPr>
                <w:sz w:val="20"/>
                <w:szCs w:val="20"/>
                <w:lang w:val="uk-UA"/>
              </w:rPr>
              <w:br/>
              <w:t>783,3</w:t>
            </w: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продукту</w:t>
            </w:r>
            <w:r w:rsidRPr="006277B1">
              <w:rPr>
                <w:sz w:val="20"/>
                <w:szCs w:val="20"/>
                <w:lang w:val="uk-UA"/>
              </w:rPr>
              <w:br/>
              <w:t>кількість об'єктів поточного ремонту, од.</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tcPr>
          <w:p w:rsidR="008974BD" w:rsidRPr="006277B1" w:rsidRDefault="008974BD" w:rsidP="008974BD">
            <w:pPr>
              <w:pStyle w:val="a6"/>
              <w:jc w:val="center"/>
              <w:rPr>
                <w:lang w:val="uk-UA"/>
              </w:rPr>
            </w:pP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ефективності</w:t>
            </w:r>
            <w:r w:rsidRPr="006277B1">
              <w:rPr>
                <w:sz w:val="20"/>
                <w:szCs w:val="20"/>
                <w:lang w:val="uk-UA"/>
              </w:rPr>
              <w:br/>
              <w:t>середні витрати на ремонт приміщень збірного пункту Київського міського ТЦК та СП, тис. грн</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783,3</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tcPr>
          <w:p w:rsidR="008974BD" w:rsidRPr="006277B1" w:rsidRDefault="008974BD" w:rsidP="008974BD">
            <w:pPr>
              <w:pStyle w:val="a6"/>
              <w:jc w:val="center"/>
              <w:rPr>
                <w:lang w:val="uk-UA"/>
              </w:rPr>
            </w:pPr>
          </w:p>
        </w:tc>
      </w:tr>
      <w:tr w:rsidR="008974BD" w:rsidRPr="006277B1" w:rsidTr="008974BD">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0" w:type="auto"/>
            <w:vMerge/>
            <w:tcBorders>
              <w:top w:val="outset" w:sz="6" w:space="0" w:color="auto"/>
              <w:left w:val="outset" w:sz="6" w:space="0" w:color="auto"/>
              <w:bottom w:val="outset" w:sz="6" w:space="0" w:color="auto"/>
              <w:right w:val="outset" w:sz="6" w:space="0" w:color="auto"/>
            </w:tcBorders>
            <w:vAlign w:val="center"/>
            <w:hideMark/>
          </w:tcPr>
          <w:p w:rsidR="008974BD" w:rsidRPr="006277B1" w:rsidRDefault="008974BD" w:rsidP="008974BD"/>
        </w:tc>
        <w:tc>
          <w:tcPr>
            <w:tcW w:w="4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p>
        </w:tc>
        <w:tc>
          <w:tcPr>
            <w:tcW w:w="7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8974BD" w:rsidRPr="006277B1" w:rsidRDefault="008974BD" w:rsidP="008974BD">
            <w:pPr>
              <w:pStyle w:val="a6"/>
              <w:jc w:val="center"/>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tcPr>
          <w:p w:rsidR="008974BD" w:rsidRPr="006277B1" w:rsidRDefault="008974BD" w:rsidP="008974BD">
            <w:pPr>
              <w:pStyle w:val="a6"/>
              <w:jc w:val="center"/>
              <w:rPr>
                <w:lang w:val="uk-UA"/>
              </w:rPr>
            </w:pP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33"/>
        <w:gridCol w:w="402"/>
        <w:gridCol w:w="1767"/>
        <w:gridCol w:w="635"/>
        <w:gridCol w:w="778"/>
        <w:gridCol w:w="1237"/>
        <w:gridCol w:w="694"/>
        <w:gridCol w:w="778"/>
        <w:gridCol w:w="525"/>
      </w:tblGrid>
      <w:tr w:rsidR="00397C2A" w:rsidRPr="00397C2A" w:rsidTr="00397C2A">
        <w:trPr>
          <w:jc w:val="center"/>
        </w:trPr>
        <w:tc>
          <w:tcPr>
            <w:tcW w:w="4250" w:type="pct"/>
            <w:gridSpan w:val="9"/>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7. Матеріально-технічне забезпечення сил оборони та безпеки міста Києва</w:t>
            </w:r>
          </w:p>
        </w:tc>
      </w:tr>
      <w:tr w:rsidR="00397C2A" w:rsidRPr="00397C2A" w:rsidTr="00397C2A">
        <w:trPr>
          <w:jc w:val="center"/>
        </w:trPr>
        <w:tc>
          <w:tcPr>
            <w:tcW w:w="1100"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7.1. Матеріально-технічне забезпечення розміщення, підготовки, виконання завдань підрозділів сил оборони та безпеки міста Києва</w:t>
            </w:r>
          </w:p>
        </w:tc>
        <w:tc>
          <w:tcPr>
            <w:tcW w:w="350"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2022 - 2024 роки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 xml:space="preserve">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та Державної спеціальної служби транспорту,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397C2A">
              <w:rPr>
                <w:sz w:val="18"/>
                <w:szCs w:val="18"/>
                <w:lang w:val="uk-UA"/>
              </w:rPr>
              <w:t>Держприкордонслужби</w:t>
            </w:r>
            <w:proofErr w:type="spellEnd"/>
            <w:r w:rsidRPr="00397C2A">
              <w:rPr>
                <w:sz w:val="18"/>
                <w:szCs w:val="18"/>
                <w:lang w:val="uk-UA"/>
              </w:rPr>
              <w:t xml:space="preserve"> (дислоковані в/ч в м. Києві), Київська міська прокуратура, НВМКЦ "ГВКГ", Управління поліції охорони в м. Києві, Територіальне управління БЕБ у м. Києві, вищі військові навчальні заклади, заклади вищої освіти із специфічними умовами навчання, РСЦ ГСЦ МВС в м. Києві </w:t>
            </w:r>
          </w:p>
        </w:tc>
        <w:tc>
          <w:tcPr>
            <w:tcW w:w="350"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Всього:</w:t>
            </w:r>
            <w:r w:rsidRPr="00397C2A">
              <w:rPr>
                <w:sz w:val="18"/>
                <w:szCs w:val="18"/>
                <w:lang w:val="uk-UA"/>
              </w:rPr>
              <w:br/>
              <w:t>3583298,8</w:t>
            </w:r>
          </w:p>
        </w:tc>
        <w:tc>
          <w:tcPr>
            <w:tcW w:w="7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витрат</w:t>
            </w:r>
            <w:r w:rsidRPr="00397C2A">
              <w:rPr>
                <w:sz w:val="18"/>
                <w:szCs w:val="18"/>
                <w:lang w:val="uk-UA"/>
              </w:rPr>
              <w:br/>
              <w:t>витрати на обладнання об'єктів для розміщення, навчально-матеріальної бази, забезпечення виконання завдань підрозділами сил оборони та безпеки міста Києва, тис. грн</w:t>
            </w:r>
          </w:p>
        </w:tc>
        <w:tc>
          <w:tcPr>
            <w:tcW w:w="3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697292,4</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2884500,0</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1506,4</w:t>
            </w:r>
          </w:p>
        </w:tc>
      </w:tr>
      <w:tr w:rsidR="00397C2A" w:rsidRPr="00397C2A" w:rsidTr="00397C2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2022 рік</w:t>
            </w:r>
            <w:r w:rsidRPr="00397C2A">
              <w:rPr>
                <w:sz w:val="18"/>
                <w:szCs w:val="18"/>
                <w:lang w:val="uk-UA"/>
              </w:rPr>
              <w:br/>
              <w:t>697292,4</w:t>
            </w:r>
          </w:p>
        </w:tc>
        <w:tc>
          <w:tcPr>
            <w:tcW w:w="7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продукту</w:t>
            </w:r>
            <w:r w:rsidRPr="00397C2A">
              <w:rPr>
                <w:sz w:val="18"/>
                <w:szCs w:val="18"/>
                <w:lang w:val="uk-UA"/>
              </w:rPr>
              <w:br/>
              <w:t>кількість підрозділів сил оборони та безпеки міста Києва, які забезпечуються, од.</w:t>
            </w:r>
          </w:p>
        </w:tc>
        <w:tc>
          <w:tcPr>
            <w:tcW w:w="3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15</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50</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9</w:t>
            </w:r>
          </w:p>
        </w:tc>
      </w:tr>
      <w:tr w:rsidR="00397C2A" w:rsidRPr="00397C2A" w:rsidTr="00397C2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2023 рік</w:t>
            </w:r>
            <w:r w:rsidRPr="00397C2A">
              <w:rPr>
                <w:sz w:val="18"/>
                <w:szCs w:val="18"/>
                <w:lang w:val="uk-UA"/>
              </w:rPr>
              <w:br/>
              <w:t>2884500,0</w:t>
            </w:r>
          </w:p>
        </w:tc>
        <w:tc>
          <w:tcPr>
            <w:tcW w:w="7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ефективності</w:t>
            </w:r>
            <w:r w:rsidRPr="00397C2A">
              <w:rPr>
                <w:sz w:val="18"/>
                <w:szCs w:val="18"/>
                <w:lang w:val="uk-UA"/>
              </w:rPr>
              <w:br/>
              <w:t>середні витрати на обладнання двох бригад територіальної оборони міста Києва, тис. грн</w:t>
            </w:r>
          </w:p>
        </w:tc>
        <w:tc>
          <w:tcPr>
            <w:tcW w:w="3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46486,2</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57690,0</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167,4</w:t>
            </w:r>
          </w:p>
        </w:tc>
      </w:tr>
      <w:tr w:rsidR="00397C2A" w:rsidRPr="00397C2A" w:rsidTr="00397C2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2024 рік</w:t>
            </w:r>
            <w:r w:rsidRPr="00397C2A">
              <w:rPr>
                <w:sz w:val="18"/>
                <w:szCs w:val="18"/>
                <w:lang w:val="uk-UA"/>
              </w:rPr>
              <w:br/>
              <w:t>1506,4</w:t>
            </w:r>
          </w:p>
        </w:tc>
        <w:tc>
          <w:tcPr>
            <w:tcW w:w="7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якості</w:t>
            </w:r>
            <w:r w:rsidRPr="00397C2A">
              <w:rPr>
                <w:sz w:val="18"/>
                <w:szCs w:val="18"/>
                <w:lang w:val="uk-UA"/>
              </w:rPr>
              <w:br/>
              <w:t>рівень виконання заходу, %</w:t>
            </w:r>
          </w:p>
        </w:tc>
        <w:tc>
          <w:tcPr>
            <w:tcW w:w="30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c>
          <w:tcPr>
            <w:tcW w:w="250" w:type="pc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96"/>
        <w:gridCol w:w="388"/>
        <w:gridCol w:w="239"/>
        <w:gridCol w:w="411"/>
        <w:gridCol w:w="1060"/>
        <w:gridCol w:w="165"/>
        <w:gridCol w:w="454"/>
        <w:gridCol w:w="197"/>
        <w:gridCol w:w="558"/>
        <w:gridCol w:w="152"/>
        <w:gridCol w:w="1045"/>
        <w:gridCol w:w="489"/>
        <w:gridCol w:w="185"/>
        <w:gridCol w:w="440"/>
        <w:gridCol w:w="315"/>
        <w:gridCol w:w="393"/>
        <w:gridCol w:w="362"/>
      </w:tblGrid>
      <w:tr w:rsidR="00397C2A" w:rsidRPr="00397C2A" w:rsidTr="00654EF0">
        <w:trPr>
          <w:jc w:val="center"/>
        </w:trPr>
        <w:tc>
          <w:tcPr>
            <w:tcW w:w="5000" w:type="pct"/>
            <w:gridSpan w:val="17"/>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7. Матеріально-технічне забезпечення сил оборони та безпеки міста Києва</w:t>
            </w:r>
          </w:p>
        </w:tc>
      </w:tr>
      <w:tr w:rsidR="00397C2A" w:rsidRPr="00397C2A" w:rsidTr="00654EF0">
        <w:trPr>
          <w:jc w:val="center"/>
        </w:trPr>
        <w:tc>
          <w:tcPr>
            <w:tcW w:w="638"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7.1. Матеріально-технічне забезпечення розміщення, підготовки, виконання завдань підрозділів сил оборони та безпеки міста Києва</w:t>
            </w:r>
          </w:p>
        </w:tc>
        <w:tc>
          <w:tcPr>
            <w:tcW w:w="248" w:type="pct"/>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2022 - 2024 роки</w:t>
            </w:r>
          </w:p>
        </w:tc>
        <w:tc>
          <w:tcPr>
            <w:tcW w:w="1089" w:type="pct"/>
            <w:gridSpan w:val="3"/>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397C2A">
            <w:pPr>
              <w:pStyle w:val="a6"/>
              <w:rPr>
                <w:sz w:val="18"/>
                <w:szCs w:val="18"/>
                <w:lang w:val="uk-UA"/>
              </w:rPr>
            </w:pPr>
            <w:r w:rsidRPr="00397C2A">
              <w:rPr>
                <w:sz w:val="18"/>
                <w:szCs w:val="18"/>
                <w:lang w:val="uk-UA"/>
              </w:rPr>
              <w:t xml:space="preserve">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та Державної спеціальної служби транспорту,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397C2A">
              <w:rPr>
                <w:sz w:val="18"/>
                <w:szCs w:val="18"/>
                <w:lang w:val="uk-UA"/>
              </w:rPr>
              <w:t>Держприкордонслужби</w:t>
            </w:r>
            <w:proofErr w:type="spellEnd"/>
            <w:r w:rsidRPr="00397C2A">
              <w:rPr>
                <w:sz w:val="18"/>
                <w:szCs w:val="18"/>
                <w:lang w:val="uk-UA"/>
              </w:rPr>
              <w:t xml:space="preserve"> (дислоковані в/ч в м. Києві), Київська міська прокуратура, НВМКЦ "ГВКГ", Управління поліції охорони в м. Києві, Територіальне управління БЕБ у м. Києві, вищі військові навчальні заклади, заклади вищої освіти із специфічними умовами навчання, РСЦ ГСЦ МВС в м. Києві</w:t>
            </w:r>
            <w:r w:rsidRPr="00397C2A">
              <w:rPr>
                <w:b/>
                <w:sz w:val="20"/>
                <w:szCs w:val="20"/>
                <w:lang w:val="uk-UA"/>
              </w:rPr>
              <w:t xml:space="preserve">, </w:t>
            </w:r>
            <w:r w:rsidRPr="0053725E">
              <w:rPr>
                <w:b/>
                <w:sz w:val="20"/>
                <w:szCs w:val="20"/>
                <w:lang w:val="uk-UA"/>
              </w:rPr>
              <w:t>ДУ «ТМО МВС України по місту Києву та Київській області»</w:t>
            </w:r>
          </w:p>
        </w:tc>
        <w:tc>
          <w:tcPr>
            <w:tcW w:w="392" w:type="pct"/>
            <w:gridSpan w:val="2"/>
            <w:vMerge w:val="restart"/>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Бюджет міста Києва</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397C2A">
            <w:pPr>
              <w:pStyle w:val="a6"/>
              <w:jc w:val="center"/>
              <w:rPr>
                <w:sz w:val="18"/>
                <w:szCs w:val="18"/>
                <w:lang w:val="uk-UA"/>
              </w:rPr>
            </w:pPr>
            <w:r w:rsidRPr="00397C2A">
              <w:rPr>
                <w:sz w:val="18"/>
                <w:szCs w:val="18"/>
                <w:lang w:val="uk-UA"/>
              </w:rPr>
              <w:t>Всього:</w:t>
            </w:r>
            <w:r w:rsidRPr="00397C2A">
              <w:rPr>
                <w:sz w:val="18"/>
                <w:szCs w:val="18"/>
                <w:lang w:val="uk-UA"/>
              </w:rPr>
              <w:br/>
            </w:r>
            <w:r>
              <w:rPr>
                <w:b/>
                <w:sz w:val="18"/>
                <w:szCs w:val="18"/>
                <w:lang w:val="uk-UA"/>
              </w:rPr>
              <w:t>4581792,4</w:t>
            </w:r>
          </w:p>
        </w:tc>
        <w:tc>
          <w:tcPr>
            <w:tcW w:w="763"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витрат</w:t>
            </w:r>
            <w:r w:rsidRPr="00397C2A">
              <w:rPr>
                <w:sz w:val="18"/>
                <w:szCs w:val="18"/>
                <w:lang w:val="uk-UA"/>
              </w:rPr>
              <w:br/>
              <w:t>витрати на обладнання об'єктів для розміщення, навчально-матеріальної бази, забезпечення виконання завдань підрозділами сил оборони та безпеки міста Києва, тис. грн</w:t>
            </w:r>
          </w:p>
        </w:tc>
        <w:tc>
          <w:tcPr>
            <w:tcW w:w="428"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697292,4</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2884500,0</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397C2A">
            <w:pPr>
              <w:pStyle w:val="a6"/>
              <w:jc w:val="center"/>
              <w:rPr>
                <w:sz w:val="18"/>
                <w:szCs w:val="18"/>
                <w:lang w:val="uk-UA"/>
              </w:rPr>
            </w:pPr>
            <w:r>
              <w:rPr>
                <w:b/>
                <w:sz w:val="18"/>
                <w:szCs w:val="18"/>
                <w:lang w:val="uk-UA"/>
              </w:rPr>
              <w:t>1000000,0</w:t>
            </w:r>
          </w:p>
        </w:tc>
      </w:tr>
      <w:tr w:rsidR="00397C2A" w:rsidRPr="00397C2A"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2022 рік</w:t>
            </w:r>
            <w:r w:rsidRPr="00397C2A">
              <w:rPr>
                <w:sz w:val="18"/>
                <w:szCs w:val="18"/>
                <w:lang w:val="uk-UA"/>
              </w:rPr>
              <w:br/>
              <w:t>697292,4</w:t>
            </w:r>
          </w:p>
        </w:tc>
        <w:tc>
          <w:tcPr>
            <w:tcW w:w="763"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продукту</w:t>
            </w:r>
            <w:r w:rsidRPr="00397C2A">
              <w:rPr>
                <w:sz w:val="18"/>
                <w:szCs w:val="18"/>
                <w:lang w:val="uk-UA"/>
              </w:rPr>
              <w:br/>
              <w:t>кількість підрозділів сил оборони та безпеки міста Києва, які забезпечуються, од.</w:t>
            </w:r>
          </w:p>
        </w:tc>
        <w:tc>
          <w:tcPr>
            <w:tcW w:w="428"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15</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50</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b/>
                <w:sz w:val="18"/>
                <w:szCs w:val="18"/>
                <w:lang w:val="uk-UA"/>
              </w:rPr>
            </w:pPr>
            <w:r>
              <w:rPr>
                <w:b/>
                <w:sz w:val="18"/>
                <w:szCs w:val="18"/>
                <w:lang w:val="uk-UA"/>
              </w:rPr>
              <w:t>50</w:t>
            </w:r>
          </w:p>
        </w:tc>
      </w:tr>
      <w:tr w:rsidR="00397C2A" w:rsidRPr="00397C2A"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2023 рік</w:t>
            </w:r>
            <w:r w:rsidRPr="00397C2A">
              <w:rPr>
                <w:sz w:val="18"/>
                <w:szCs w:val="18"/>
                <w:lang w:val="uk-UA"/>
              </w:rPr>
              <w:br/>
              <w:t>2884500,0</w:t>
            </w:r>
          </w:p>
        </w:tc>
        <w:tc>
          <w:tcPr>
            <w:tcW w:w="763"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ефективності</w:t>
            </w:r>
            <w:r w:rsidRPr="00397C2A">
              <w:rPr>
                <w:sz w:val="18"/>
                <w:szCs w:val="18"/>
                <w:lang w:val="uk-UA"/>
              </w:rPr>
              <w:br/>
              <w:t>середні витрати на обладнання двох бригад територіальної оборони міста Києва, тис. грн</w:t>
            </w:r>
          </w:p>
        </w:tc>
        <w:tc>
          <w:tcPr>
            <w:tcW w:w="428"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46486,2</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57690,0</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b/>
                <w:sz w:val="18"/>
                <w:szCs w:val="18"/>
                <w:lang w:val="uk-UA"/>
              </w:rPr>
            </w:pPr>
            <w:r>
              <w:rPr>
                <w:b/>
                <w:sz w:val="18"/>
                <w:szCs w:val="18"/>
                <w:lang w:val="uk-UA"/>
              </w:rPr>
              <w:t>20000,0</w:t>
            </w:r>
          </w:p>
        </w:tc>
      </w:tr>
      <w:tr w:rsidR="00397C2A" w:rsidRPr="00397C2A"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97C2A" w:rsidRPr="00397C2A" w:rsidRDefault="00397C2A" w:rsidP="00654EF0">
            <w:pPr>
              <w:rPr>
                <w:sz w:val="18"/>
                <w:szCs w:val="18"/>
              </w:rPr>
            </w:pP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397C2A">
            <w:pPr>
              <w:pStyle w:val="a6"/>
              <w:jc w:val="center"/>
              <w:rPr>
                <w:sz w:val="18"/>
                <w:szCs w:val="18"/>
                <w:lang w:val="uk-UA"/>
              </w:rPr>
            </w:pPr>
            <w:r w:rsidRPr="00397C2A">
              <w:rPr>
                <w:sz w:val="18"/>
                <w:szCs w:val="18"/>
                <w:lang w:val="uk-UA"/>
              </w:rPr>
              <w:t>2024 рік</w:t>
            </w:r>
            <w:r w:rsidRPr="00397C2A">
              <w:rPr>
                <w:sz w:val="18"/>
                <w:szCs w:val="18"/>
                <w:lang w:val="uk-UA"/>
              </w:rPr>
              <w:br/>
            </w:r>
            <w:r>
              <w:rPr>
                <w:b/>
                <w:sz w:val="18"/>
                <w:szCs w:val="18"/>
                <w:lang w:val="uk-UA"/>
              </w:rPr>
              <w:t>1000000,0</w:t>
            </w:r>
          </w:p>
        </w:tc>
        <w:tc>
          <w:tcPr>
            <w:tcW w:w="763"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rPr>
                <w:sz w:val="18"/>
                <w:szCs w:val="18"/>
                <w:lang w:val="uk-UA"/>
              </w:rPr>
            </w:pPr>
            <w:r w:rsidRPr="00397C2A">
              <w:rPr>
                <w:sz w:val="18"/>
                <w:szCs w:val="18"/>
                <w:lang w:val="uk-UA"/>
              </w:rPr>
              <w:t>якості</w:t>
            </w:r>
            <w:r w:rsidRPr="00397C2A">
              <w:rPr>
                <w:sz w:val="18"/>
                <w:szCs w:val="18"/>
                <w:lang w:val="uk-UA"/>
              </w:rPr>
              <w:br/>
              <w:t>рівень виконання заходу, %</w:t>
            </w:r>
          </w:p>
        </w:tc>
        <w:tc>
          <w:tcPr>
            <w:tcW w:w="428"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c>
          <w:tcPr>
            <w:tcW w:w="480" w:type="pct"/>
            <w:gridSpan w:val="2"/>
            <w:tcBorders>
              <w:top w:val="outset" w:sz="6" w:space="0" w:color="auto"/>
              <w:left w:val="outset" w:sz="6" w:space="0" w:color="auto"/>
              <w:bottom w:val="outset" w:sz="6" w:space="0" w:color="auto"/>
              <w:right w:val="outset" w:sz="6" w:space="0" w:color="auto"/>
            </w:tcBorders>
            <w:hideMark/>
          </w:tcPr>
          <w:p w:rsidR="00397C2A" w:rsidRPr="00397C2A" w:rsidRDefault="00397C2A" w:rsidP="00654EF0">
            <w:pPr>
              <w:pStyle w:val="a6"/>
              <w:jc w:val="center"/>
              <w:rPr>
                <w:sz w:val="18"/>
                <w:szCs w:val="18"/>
                <w:lang w:val="uk-UA"/>
              </w:rPr>
            </w:pPr>
            <w:r w:rsidRPr="00397C2A">
              <w:rPr>
                <w:sz w:val="18"/>
                <w:szCs w:val="18"/>
                <w:lang w:val="uk-UA"/>
              </w:rPr>
              <w:t>100</w:t>
            </w:r>
          </w:p>
        </w:tc>
      </w:tr>
      <w:tr w:rsidR="009F32F9" w:rsidRPr="009F32F9" w:rsidTr="00654EF0">
        <w:trPr>
          <w:jc w:val="center"/>
        </w:trPr>
        <w:tc>
          <w:tcPr>
            <w:tcW w:w="5000" w:type="pct"/>
            <w:gridSpan w:val="17"/>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9. Ремонт та технічне обслуговування військової техніки</w:t>
            </w:r>
          </w:p>
        </w:tc>
      </w:tr>
      <w:tr w:rsidR="00C9355A" w:rsidRPr="009F32F9" w:rsidTr="00654EF0">
        <w:trPr>
          <w:jc w:val="center"/>
        </w:trPr>
        <w:tc>
          <w:tcPr>
            <w:tcW w:w="1036" w:type="pct"/>
            <w:gridSpan w:val="3"/>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9. Забезпечення ремонту/відновлення та технічного обслуговування військової техніки (у тому числі автомобільні транспортні засоби сил оборони та безпеки)</w:t>
            </w:r>
          </w:p>
        </w:tc>
        <w:tc>
          <w:tcPr>
            <w:tcW w:w="261" w:type="pct"/>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2022 - 2024 роки</w:t>
            </w:r>
          </w:p>
        </w:tc>
        <w:tc>
          <w:tcPr>
            <w:tcW w:w="780" w:type="pct"/>
            <w:gridSpan w:val="2"/>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C9355A">
            <w:pPr>
              <w:pStyle w:val="a6"/>
              <w:rPr>
                <w:sz w:val="18"/>
                <w:szCs w:val="18"/>
                <w:lang w:val="uk-UA"/>
              </w:rPr>
            </w:pPr>
            <w:r w:rsidRPr="009F32F9">
              <w:rPr>
                <w:sz w:val="18"/>
                <w:szCs w:val="18"/>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Департамент транспортної інфраструктури (із можливістю залучення зовнішніх підрядників)</w:t>
            </w:r>
          </w:p>
        </w:tc>
        <w:tc>
          <w:tcPr>
            <w:tcW w:w="413" w:type="pct"/>
            <w:gridSpan w:val="2"/>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Бюджет міста Києва</w:t>
            </w: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Всього:</w:t>
            </w:r>
            <w:r w:rsidRPr="009F32F9">
              <w:rPr>
                <w:sz w:val="18"/>
                <w:szCs w:val="18"/>
                <w:lang w:val="uk-UA"/>
              </w:rPr>
              <w:br/>
              <w:t>550000,0</w:t>
            </w:r>
          </w:p>
        </w:tc>
        <w:tc>
          <w:tcPr>
            <w:tcW w:w="98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витрат</w:t>
            </w:r>
            <w:r w:rsidRPr="009F32F9">
              <w:rPr>
                <w:sz w:val="18"/>
                <w:szCs w:val="18"/>
                <w:lang w:val="uk-UA"/>
              </w:rPr>
              <w:br/>
              <w:t>витрати на ремонт/відновлення та технічне обслуговування військової техніки Київського міського ТЦК та СП; військових частин Збройних Сил України та Національної гвардії України, тис. грн</w:t>
            </w:r>
          </w:p>
        </w:tc>
        <w:tc>
          <w:tcPr>
            <w:tcW w:w="396"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50000,0</w:t>
            </w: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500000,0</w:t>
            </w:r>
          </w:p>
        </w:tc>
        <w:tc>
          <w:tcPr>
            <w:tcW w:w="231" w:type="pct"/>
            <w:tcBorders>
              <w:top w:val="outset" w:sz="6" w:space="0" w:color="auto"/>
              <w:left w:val="outset" w:sz="6" w:space="0" w:color="auto"/>
              <w:bottom w:val="outset" w:sz="6" w:space="0" w:color="auto"/>
              <w:right w:val="outset" w:sz="6" w:space="0" w:color="auto"/>
            </w:tcBorders>
            <w:hideMark/>
          </w:tcPr>
          <w:p w:rsidR="009F32F9" w:rsidRPr="009F32F9" w:rsidRDefault="00C9355A" w:rsidP="00654EF0">
            <w:pPr>
              <w:pStyle w:val="a6"/>
              <w:jc w:val="center"/>
              <w:rPr>
                <w:sz w:val="18"/>
                <w:szCs w:val="18"/>
                <w:lang w:val="uk-UA"/>
              </w:rPr>
            </w:pPr>
            <w:r w:rsidRPr="00C9355A">
              <w:rPr>
                <w:color w:val="FFFFFF" w:themeColor="background1"/>
                <w:sz w:val="18"/>
                <w:szCs w:val="18"/>
                <w:lang w:val="uk-UA"/>
              </w:rPr>
              <w:t>000</w:t>
            </w:r>
            <w:r w:rsidR="009F32F9" w:rsidRPr="009F32F9">
              <w:rPr>
                <w:sz w:val="18"/>
                <w:szCs w:val="18"/>
                <w:lang w:val="uk-UA"/>
              </w:rPr>
              <w:t> </w:t>
            </w:r>
          </w:p>
        </w:tc>
      </w:tr>
      <w:tr w:rsidR="00C9355A" w:rsidRPr="009F32F9" w:rsidTr="00654EF0">
        <w:trPr>
          <w:jc w:val="center"/>
        </w:trPr>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2022 рік</w:t>
            </w:r>
            <w:r w:rsidRPr="009F32F9">
              <w:rPr>
                <w:sz w:val="18"/>
                <w:szCs w:val="18"/>
                <w:lang w:val="uk-UA"/>
              </w:rPr>
              <w:br/>
              <w:t>50000,0</w:t>
            </w:r>
          </w:p>
        </w:tc>
        <w:tc>
          <w:tcPr>
            <w:tcW w:w="98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продукту</w:t>
            </w:r>
            <w:r w:rsidRPr="009F32F9">
              <w:rPr>
                <w:sz w:val="18"/>
                <w:szCs w:val="18"/>
                <w:lang w:val="uk-UA"/>
              </w:rPr>
              <w:br/>
              <w:t>кількість техніки Київського міського ТЦК та СП; військових частин Збройних Сил України та Національної гвардії України, од.</w:t>
            </w:r>
          </w:p>
        </w:tc>
        <w:tc>
          <w:tcPr>
            <w:tcW w:w="396"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w:t>
            </w: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2500</w:t>
            </w:r>
          </w:p>
        </w:tc>
        <w:tc>
          <w:tcPr>
            <w:tcW w:w="231"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 </w:t>
            </w:r>
          </w:p>
        </w:tc>
      </w:tr>
      <w:tr w:rsidR="00C9355A" w:rsidRPr="009F32F9" w:rsidTr="00654EF0">
        <w:trPr>
          <w:jc w:val="center"/>
        </w:trPr>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451" w:type="pct"/>
            <w:gridSpan w:val="2"/>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2023 рік</w:t>
            </w:r>
            <w:r w:rsidRPr="009F32F9">
              <w:rPr>
                <w:sz w:val="18"/>
                <w:szCs w:val="18"/>
                <w:lang w:val="uk-UA"/>
              </w:rPr>
              <w:br/>
              <w:t>500000,0</w:t>
            </w:r>
          </w:p>
        </w:tc>
        <w:tc>
          <w:tcPr>
            <w:tcW w:w="98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ефективності</w:t>
            </w:r>
            <w:r w:rsidRPr="009F32F9">
              <w:rPr>
                <w:sz w:val="18"/>
                <w:szCs w:val="18"/>
                <w:lang w:val="uk-UA"/>
              </w:rPr>
              <w:br/>
              <w:t>середні витрати на ремонт/відновлення та технічне обслуговування однієї одиниці техніки Київського міського ТЦК та СП; військових частин Збройних Сил України та Національної гвардії України, тис. грн</w:t>
            </w:r>
          </w:p>
        </w:tc>
        <w:tc>
          <w:tcPr>
            <w:tcW w:w="396"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100,0</w:t>
            </w: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200,0</w:t>
            </w:r>
          </w:p>
        </w:tc>
        <w:tc>
          <w:tcPr>
            <w:tcW w:w="231"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 </w:t>
            </w:r>
          </w:p>
        </w:tc>
      </w:tr>
      <w:tr w:rsidR="00C9355A" w:rsidRPr="009F32F9" w:rsidTr="00654EF0">
        <w:trPr>
          <w:jc w:val="center"/>
        </w:trPr>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98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якості</w:t>
            </w:r>
            <w:r w:rsidRPr="009F32F9">
              <w:rPr>
                <w:sz w:val="18"/>
                <w:szCs w:val="18"/>
                <w:lang w:val="uk-UA"/>
              </w:rPr>
              <w:br/>
              <w:t>рівень виконання заходу, %</w:t>
            </w:r>
          </w:p>
        </w:tc>
        <w:tc>
          <w:tcPr>
            <w:tcW w:w="396"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w:t>
            </w:r>
          </w:p>
        </w:tc>
        <w:tc>
          <w:tcPr>
            <w:tcW w:w="451" w:type="pct"/>
            <w:gridSpan w:val="2"/>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w:t>
            </w:r>
          </w:p>
        </w:tc>
        <w:tc>
          <w:tcPr>
            <w:tcW w:w="231"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 </w:t>
            </w: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55"/>
        <w:gridCol w:w="393"/>
        <w:gridCol w:w="1173"/>
        <w:gridCol w:w="622"/>
        <w:gridCol w:w="679"/>
        <w:gridCol w:w="1473"/>
        <w:gridCol w:w="596"/>
        <w:gridCol w:w="679"/>
        <w:gridCol w:w="679"/>
      </w:tblGrid>
      <w:tr w:rsidR="009F32F9" w:rsidRPr="009F32F9" w:rsidTr="009F32F9">
        <w:trPr>
          <w:jc w:val="center"/>
        </w:trPr>
        <w:tc>
          <w:tcPr>
            <w:tcW w:w="5000" w:type="pct"/>
            <w:gridSpan w:val="9"/>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9. Ремонт та технічне обслуговування військової техніки</w:t>
            </w:r>
          </w:p>
        </w:tc>
      </w:tr>
      <w:tr w:rsidR="009F32F9" w:rsidRPr="009F32F9" w:rsidTr="009F32F9">
        <w:trPr>
          <w:jc w:val="center"/>
        </w:trPr>
        <w:tc>
          <w:tcPr>
            <w:tcW w:w="1073" w:type="pct"/>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9. Забезпечення ремонту/відновлення та технічного обслуговування військової техніки (у тому числі автомобільні транспортні засоби сил оборони та безпеки)</w:t>
            </w:r>
          </w:p>
        </w:tc>
        <w:tc>
          <w:tcPr>
            <w:tcW w:w="269" w:type="pct"/>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2022 - 2024 роки</w:t>
            </w:r>
          </w:p>
        </w:tc>
        <w:tc>
          <w:tcPr>
            <w:tcW w:w="808" w:type="pct"/>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C9355A">
            <w:pPr>
              <w:pStyle w:val="a6"/>
              <w:rPr>
                <w:sz w:val="18"/>
                <w:szCs w:val="18"/>
                <w:lang w:val="uk-UA"/>
              </w:rPr>
            </w:pPr>
            <w:r w:rsidRPr="009F32F9">
              <w:rPr>
                <w:sz w:val="18"/>
                <w:szCs w:val="18"/>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Департамент транспортної інфраструктури (із можливістю залучення зовнішніх підрядників)</w:t>
            </w:r>
          </w:p>
        </w:tc>
        <w:tc>
          <w:tcPr>
            <w:tcW w:w="427" w:type="pct"/>
            <w:vMerge w:val="restar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Бюджет міста Києва</w:t>
            </w: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Pr>
                <w:sz w:val="18"/>
                <w:szCs w:val="18"/>
                <w:lang w:val="uk-UA"/>
              </w:rPr>
              <w:t>Всього:</w:t>
            </w:r>
            <w:r>
              <w:rPr>
                <w:sz w:val="18"/>
                <w:szCs w:val="18"/>
                <w:lang w:val="uk-UA"/>
              </w:rPr>
              <w:br/>
            </w:r>
            <w:r w:rsidRPr="009F32F9">
              <w:rPr>
                <w:b/>
                <w:sz w:val="18"/>
                <w:szCs w:val="18"/>
                <w:lang w:val="uk-UA"/>
              </w:rPr>
              <w:t>650000,0</w:t>
            </w:r>
          </w:p>
        </w:tc>
        <w:tc>
          <w:tcPr>
            <w:tcW w:w="1015"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витрат</w:t>
            </w:r>
            <w:r w:rsidRPr="009F32F9">
              <w:rPr>
                <w:sz w:val="18"/>
                <w:szCs w:val="18"/>
                <w:lang w:val="uk-UA"/>
              </w:rPr>
              <w:br/>
              <w:t>витрати на ремонт/відновлення та технічне обслуговування військової техніки Київського міського ТЦК та СП; військових частин Збройних Сил України та Національної гвардії України, тис. грн</w:t>
            </w:r>
          </w:p>
        </w:tc>
        <w:tc>
          <w:tcPr>
            <w:tcW w:w="409"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50000,0</w:t>
            </w: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500000,0</w:t>
            </w:r>
          </w:p>
        </w:tc>
        <w:tc>
          <w:tcPr>
            <w:tcW w:w="67" w:type="pct"/>
            <w:tcBorders>
              <w:top w:val="outset" w:sz="6" w:space="0" w:color="auto"/>
              <w:left w:val="outset" w:sz="6" w:space="0" w:color="auto"/>
              <w:bottom w:val="outset" w:sz="6" w:space="0" w:color="auto"/>
              <w:right w:val="outset" w:sz="6" w:space="0" w:color="auto"/>
            </w:tcBorders>
            <w:hideMark/>
          </w:tcPr>
          <w:p w:rsidR="009F32F9" w:rsidRPr="009F32F9" w:rsidRDefault="009F32F9" w:rsidP="00C9355A">
            <w:pPr>
              <w:pStyle w:val="a6"/>
              <w:jc w:val="center"/>
              <w:rPr>
                <w:sz w:val="18"/>
                <w:szCs w:val="18"/>
                <w:lang w:val="uk-UA"/>
              </w:rPr>
            </w:pPr>
            <w:r>
              <w:rPr>
                <w:b/>
                <w:sz w:val="18"/>
                <w:szCs w:val="18"/>
              </w:rPr>
              <w:t>1</w:t>
            </w:r>
            <w:r w:rsidRPr="009F32F9">
              <w:rPr>
                <w:b/>
                <w:sz w:val="18"/>
                <w:szCs w:val="18"/>
              </w:rPr>
              <w:t>00000,0</w:t>
            </w:r>
          </w:p>
        </w:tc>
      </w:tr>
      <w:tr w:rsidR="009F32F9" w:rsidRPr="009F32F9" w:rsidTr="009F32F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2022 рік</w:t>
            </w:r>
            <w:r w:rsidRPr="009F32F9">
              <w:rPr>
                <w:sz w:val="18"/>
                <w:szCs w:val="18"/>
                <w:lang w:val="uk-UA"/>
              </w:rPr>
              <w:br/>
              <w:t>50000,0</w:t>
            </w:r>
          </w:p>
        </w:tc>
        <w:tc>
          <w:tcPr>
            <w:tcW w:w="1015"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продукту</w:t>
            </w:r>
            <w:r w:rsidRPr="009F32F9">
              <w:rPr>
                <w:sz w:val="18"/>
                <w:szCs w:val="18"/>
                <w:lang w:val="uk-UA"/>
              </w:rPr>
              <w:br/>
              <w:t>кількість техніки Київського міського ТЦК та СП; військових частин Збройних Сил України та Національної гвардії України, од.</w:t>
            </w:r>
          </w:p>
        </w:tc>
        <w:tc>
          <w:tcPr>
            <w:tcW w:w="409"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500</w:t>
            </w: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2500</w:t>
            </w:r>
          </w:p>
        </w:tc>
        <w:tc>
          <w:tcPr>
            <w:tcW w:w="67" w:type="pct"/>
            <w:tcBorders>
              <w:top w:val="outset" w:sz="6" w:space="0" w:color="auto"/>
              <w:left w:val="outset" w:sz="6" w:space="0" w:color="auto"/>
              <w:bottom w:val="outset" w:sz="6" w:space="0" w:color="auto"/>
              <w:right w:val="outset" w:sz="6" w:space="0" w:color="auto"/>
            </w:tcBorders>
            <w:hideMark/>
          </w:tcPr>
          <w:p w:rsidR="009F32F9" w:rsidRPr="00C9355A" w:rsidRDefault="00C9355A" w:rsidP="00C9355A">
            <w:pPr>
              <w:pStyle w:val="a6"/>
              <w:jc w:val="center"/>
              <w:rPr>
                <w:b/>
                <w:sz w:val="18"/>
                <w:szCs w:val="18"/>
                <w:lang w:val="uk-UA"/>
              </w:rPr>
            </w:pPr>
            <w:r>
              <w:rPr>
                <w:b/>
                <w:sz w:val="18"/>
                <w:szCs w:val="18"/>
                <w:lang w:val="uk-UA"/>
              </w:rPr>
              <w:t>1000</w:t>
            </w:r>
          </w:p>
        </w:tc>
      </w:tr>
      <w:tr w:rsidR="009F32F9" w:rsidRPr="009F32F9" w:rsidTr="009F32F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466" w:type="pct"/>
            <w:tcBorders>
              <w:top w:val="outset" w:sz="6" w:space="0" w:color="auto"/>
              <w:left w:val="outset" w:sz="6" w:space="0" w:color="auto"/>
              <w:bottom w:val="single" w:sz="4"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2023 рік</w:t>
            </w:r>
            <w:r w:rsidRPr="009F32F9">
              <w:rPr>
                <w:sz w:val="18"/>
                <w:szCs w:val="18"/>
                <w:lang w:val="uk-UA"/>
              </w:rPr>
              <w:br/>
              <w:t>500000,0</w:t>
            </w:r>
          </w:p>
        </w:tc>
        <w:tc>
          <w:tcPr>
            <w:tcW w:w="1015"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ефективності</w:t>
            </w:r>
            <w:r w:rsidRPr="009F32F9">
              <w:rPr>
                <w:sz w:val="18"/>
                <w:szCs w:val="18"/>
                <w:lang w:val="uk-UA"/>
              </w:rPr>
              <w:br/>
              <w:t>середні витрати на ремонт/відновлення та технічне обслуговування однієї одиниці техніки Київського міського ТЦК та СП; військових частин Збройних Сил України та Національної гвардії України, тис. грн</w:t>
            </w:r>
          </w:p>
        </w:tc>
        <w:tc>
          <w:tcPr>
            <w:tcW w:w="409"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100,0</w:t>
            </w: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200,0</w:t>
            </w:r>
          </w:p>
        </w:tc>
        <w:tc>
          <w:tcPr>
            <w:tcW w:w="67" w:type="pct"/>
            <w:tcBorders>
              <w:top w:val="outset" w:sz="6" w:space="0" w:color="auto"/>
              <w:left w:val="outset" w:sz="6" w:space="0" w:color="auto"/>
              <w:bottom w:val="outset" w:sz="6" w:space="0" w:color="auto"/>
              <w:right w:val="outset" w:sz="6" w:space="0" w:color="auto"/>
            </w:tcBorders>
            <w:hideMark/>
          </w:tcPr>
          <w:p w:rsidR="009F32F9" w:rsidRPr="00C9355A" w:rsidRDefault="00C9355A" w:rsidP="00654EF0">
            <w:pPr>
              <w:pStyle w:val="a6"/>
              <w:jc w:val="center"/>
              <w:rPr>
                <w:b/>
                <w:sz w:val="18"/>
                <w:szCs w:val="18"/>
                <w:lang w:val="uk-UA"/>
              </w:rPr>
            </w:pPr>
            <w:r>
              <w:rPr>
                <w:b/>
                <w:sz w:val="18"/>
                <w:szCs w:val="18"/>
                <w:lang w:val="uk-UA"/>
              </w:rPr>
              <w:t>100,0</w:t>
            </w:r>
          </w:p>
        </w:tc>
      </w:tr>
      <w:tr w:rsidR="009F32F9" w:rsidRPr="009F32F9" w:rsidTr="009F32F9">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32F9" w:rsidRPr="009F32F9" w:rsidRDefault="009F32F9" w:rsidP="00654EF0">
            <w:pPr>
              <w:rPr>
                <w:sz w:val="18"/>
                <w:szCs w:val="18"/>
              </w:rPr>
            </w:pPr>
          </w:p>
        </w:tc>
        <w:tc>
          <w:tcPr>
            <w:tcW w:w="0" w:type="auto"/>
            <w:tcBorders>
              <w:top w:val="single" w:sz="4" w:space="0" w:color="auto"/>
              <w:left w:val="outset" w:sz="6" w:space="0" w:color="auto"/>
              <w:bottom w:val="outset" w:sz="6" w:space="0" w:color="auto"/>
              <w:right w:val="outset" w:sz="6" w:space="0" w:color="auto"/>
            </w:tcBorders>
            <w:vAlign w:val="center"/>
            <w:hideMark/>
          </w:tcPr>
          <w:p w:rsidR="009F32F9" w:rsidRPr="009F32F9" w:rsidRDefault="009F32F9" w:rsidP="009F32F9">
            <w:pPr>
              <w:jc w:val="center"/>
              <w:rPr>
                <w:rFonts w:ascii="Times New Roman" w:hAnsi="Times New Roman" w:cs="Times New Roman"/>
                <w:b/>
                <w:sz w:val="18"/>
                <w:szCs w:val="18"/>
              </w:rPr>
            </w:pPr>
            <w:r w:rsidRPr="009F32F9">
              <w:rPr>
                <w:rFonts w:ascii="Times New Roman" w:hAnsi="Times New Roman" w:cs="Times New Roman"/>
                <w:b/>
                <w:sz w:val="18"/>
                <w:szCs w:val="18"/>
              </w:rPr>
              <w:t>202</w:t>
            </w:r>
            <w:r>
              <w:rPr>
                <w:rFonts w:ascii="Times New Roman" w:hAnsi="Times New Roman" w:cs="Times New Roman"/>
                <w:b/>
                <w:sz w:val="18"/>
                <w:szCs w:val="18"/>
              </w:rPr>
              <w:t>4</w:t>
            </w:r>
            <w:r w:rsidRPr="009F32F9">
              <w:rPr>
                <w:rFonts w:ascii="Times New Roman" w:hAnsi="Times New Roman" w:cs="Times New Roman"/>
                <w:b/>
                <w:sz w:val="18"/>
                <w:szCs w:val="18"/>
              </w:rPr>
              <w:t xml:space="preserve"> рік</w:t>
            </w:r>
          </w:p>
          <w:p w:rsidR="009F32F9" w:rsidRPr="009F32F9" w:rsidRDefault="009F32F9" w:rsidP="009F32F9">
            <w:pPr>
              <w:jc w:val="center"/>
              <w:rPr>
                <w:sz w:val="18"/>
                <w:szCs w:val="18"/>
              </w:rPr>
            </w:pPr>
            <w:r>
              <w:rPr>
                <w:rFonts w:ascii="Times New Roman" w:hAnsi="Times New Roman" w:cs="Times New Roman"/>
                <w:b/>
                <w:sz w:val="18"/>
                <w:szCs w:val="18"/>
              </w:rPr>
              <w:t>1</w:t>
            </w:r>
            <w:r w:rsidRPr="009F32F9">
              <w:rPr>
                <w:rFonts w:ascii="Times New Roman" w:hAnsi="Times New Roman" w:cs="Times New Roman"/>
                <w:b/>
                <w:sz w:val="18"/>
                <w:szCs w:val="18"/>
              </w:rPr>
              <w:t>00000,0</w:t>
            </w:r>
          </w:p>
        </w:tc>
        <w:tc>
          <w:tcPr>
            <w:tcW w:w="1015"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rPr>
                <w:sz w:val="18"/>
                <w:szCs w:val="18"/>
                <w:lang w:val="uk-UA"/>
              </w:rPr>
            </w:pPr>
            <w:r w:rsidRPr="009F32F9">
              <w:rPr>
                <w:sz w:val="18"/>
                <w:szCs w:val="18"/>
                <w:lang w:val="uk-UA"/>
              </w:rPr>
              <w:t>якості</w:t>
            </w:r>
            <w:r w:rsidRPr="009F32F9">
              <w:rPr>
                <w:sz w:val="18"/>
                <w:szCs w:val="18"/>
                <w:lang w:val="uk-UA"/>
              </w:rPr>
              <w:br/>
              <w:t>рівень виконання заходу, %</w:t>
            </w:r>
          </w:p>
        </w:tc>
        <w:tc>
          <w:tcPr>
            <w:tcW w:w="409"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w:t>
            </w:r>
          </w:p>
        </w:tc>
        <w:tc>
          <w:tcPr>
            <w:tcW w:w="466" w:type="pct"/>
            <w:tcBorders>
              <w:top w:val="outset" w:sz="6" w:space="0" w:color="auto"/>
              <w:left w:val="outset" w:sz="6" w:space="0" w:color="auto"/>
              <w:bottom w:val="outset" w:sz="6" w:space="0" w:color="auto"/>
              <w:right w:val="outset" w:sz="6" w:space="0" w:color="auto"/>
            </w:tcBorders>
            <w:hideMark/>
          </w:tcPr>
          <w:p w:rsidR="009F32F9" w:rsidRPr="009F32F9" w:rsidRDefault="009F32F9" w:rsidP="00654EF0">
            <w:pPr>
              <w:pStyle w:val="a6"/>
              <w:jc w:val="center"/>
              <w:rPr>
                <w:sz w:val="18"/>
                <w:szCs w:val="18"/>
                <w:lang w:val="uk-UA"/>
              </w:rPr>
            </w:pPr>
            <w:r w:rsidRPr="009F32F9">
              <w:rPr>
                <w:sz w:val="18"/>
                <w:szCs w:val="18"/>
                <w:lang w:val="uk-UA"/>
              </w:rPr>
              <w:t>100</w:t>
            </w:r>
          </w:p>
        </w:tc>
        <w:tc>
          <w:tcPr>
            <w:tcW w:w="67" w:type="pct"/>
            <w:tcBorders>
              <w:top w:val="outset" w:sz="6" w:space="0" w:color="auto"/>
              <w:left w:val="outset" w:sz="6" w:space="0" w:color="auto"/>
              <w:bottom w:val="outset" w:sz="6" w:space="0" w:color="auto"/>
              <w:right w:val="outset" w:sz="6" w:space="0" w:color="auto"/>
            </w:tcBorders>
            <w:hideMark/>
          </w:tcPr>
          <w:p w:rsidR="009F32F9" w:rsidRPr="00C9355A" w:rsidRDefault="00C9355A" w:rsidP="00654EF0">
            <w:pPr>
              <w:pStyle w:val="a6"/>
              <w:jc w:val="center"/>
              <w:rPr>
                <w:b/>
                <w:sz w:val="18"/>
                <w:szCs w:val="18"/>
                <w:lang w:val="uk-UA"/>
              </w:rPr>
            </w:pPr>
            <w:r>
              <w:rPr>
                <w:b/>
                <w:sz w:val="18"/>
                <w:szCs w:val="18"/>
                <w:lang w:val="uk-UA"/>
              </w:rPr>
              <w:t>100</w:t>
            </w:r>
          </w:p>
        </w:tc>
      </w:tr>
    </w:tbl>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93"/>
        <w:gridCol w:w="599"/>
        <w:gridCol w:w="1481"/>
        <w:gridCol w:w="776"/>
        <w:gridCol w:w="776"/>
        <w:gridCol w:w="1305"/>
        <w:gridCol w:w="423"/>
        <w:gridCol w:w="760"/>
        <w:gridCol w:w="336"/>
      </w:tblGrid>
      <w:tr w:rsidR="00C9355A" w:rsidRPr="006277B1" w:rsidTr="00C9355A">
        <w:trPr>
          <w:jc w:val="center"/>
        </w:trPr>
        <w:tc>
          <w:tcPr>
            <w:tcW w:w="4450" w:type="pct"/>
            <w:gridSpan w:val="9"/>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12. Забезпечення сил оборони та безпеки БПЛА та засобами захисту військової техніки</w:t>
            </w:r>
          </w:p>
        </w:tc>
      </w:tr>
      <w:tr w:rsidR="00C9355A" w:rsidRPr="006277B1" w:rsidTr="00C9355A">
        <w:trPr>
          <w:jc w:val="center"/>
        </w:trPr>
        <w:tc>
          <w:tcPr>
            <w:tcW w:w="8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12. Придбання, виготовлення, ремонт безпілотних літальних апаратів та засобів захисту військової техніки від ураження</w:t>
            </w:r>
          </w:p>
        </w:tc>
        <w:tc>
          <w:tcPr>
            <w:tcW w:w="3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2023 - 2024 роки</w:t>
            </w:r>
          </w:p>
        </w:tc>
        <w:tc>
          <w:tcPr>
            <w:tcW w:w="8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Департамент муніципальної безпеки, військові частини Міністерства оборони України, Збройних Сил України, Служби безпеки України та Національної гвардії України, Комунальна організація виконавчого органу Київської міської ради (Київської міської державної адміністрації) "Муніципальна охорона"</w:t>
            </w:r>
          </w:p>
        </w:tc>
        <w:tc>
          <w:tcPr>
            <w:tcW w:w="4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Всього: 1000000</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витрат</w:t>
            </w:r>
            <w:r w:rsidRPr="006277B1">
              <w:rPr>
                <w:sz w:val="20"/>
                <w:szCs w:val="20"/>
                <w:lang w:val="uk-UA"/>
              </w:rPr>
              <w:br/>
              <w:t>витрати, пов'язані з придбанням БПЛА та засобів захисту техніки, тис. грн</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1000000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2023 рік 1000000</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ефективності</w:t>
            </w:r>
            <w:r w:rsidRPr="006277B1">
              <w:rPr>
                <w:sz w:val="20"/>
                <w:szCs w:val="20"/>
                <w:lang w:val="uk-UA"/>
              </w:rPr>
              <w:br/>
              <w:t>середні витрати на придбання одиниці товару, тис. грн</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продукту</w:t>
            </w:r>
            <w:r w:rsidRPr="006277B1">
              <w:rPr>
                <w:sz w:val="20"/>
                <w:szCs w:val="20"/>
                <w:lang w:val="uk-UA"/>
              </w:rPr>
              <w:br/>
              <w:t>кількість придбаного обладнання, од.</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5000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91"/>
        <w:gridCol w:w="497"/>
        <w:gridCol w:w="1380"/>
        <w:gridCol w:w="741"/>
        <w:gridCol w:w="910"/>
        <w:gridCol w:w="1192"/>
        <w:gridCol w:w="268"/>
        <w:gridCol w:w="760"/>
        <w:gridCol w:w="810"/>
      </w:tblGrid>
      <w:tr w:rsidR="00C9355A" w:rsidRPr="006277B1" w:rsidTr="00654EF0">
        <w:trPr>
          <w:jc w:val="center"/>
        </w:trPr>
        <w:tc>
          <w:tcPr>
            <w:tcW w:w="4450" w:type="pct"/>
            <w:gridSpan w:val="9"/>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12. Забезпечення сил оборони та безпеки БПЛА та засобами захисту військової техніки</w:t>
            </w:r>
          </w:p>
        </w:tc>
      </w:tr>
      <w:tr w:rsidR="00C9355A" w:rsidRPr="006277B1" w:rsidTr="00654EF0">
        <w:trPr>
          <w:jc w:val="center"/>
        </w:trPr>
        <w:tc>
          <w:tcPr>
            <w:tcW w:w="8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12. Придбання, виготовлення, ремонт безпілотних літальних апаратів та засобів захисту військової техніки від ураження</w:t>
            </w:r>
          </w:p>
        </w:tc>
        <w:tc>
          <w:tcPr>
            <w:tcW w:w="3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2023 - 2024 роки</w:t>
            </w:r>
          </w:p>
        </w:tc>
        <w:tc>
          <w:tcPr>
            <w:tcW w:w="8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Департамент муніципальної безпеки, військові частини Міністерства оборони України, Збройних Сил України, Служби безпеки України та Національної гвардії України, Комунальна організація виконавчого органу Київської міської ради (Київської міської державної адміністрації) "Муніципальна охорона"</w:t>
            </w:r>
          </w:p>
        </w:tc>
        <w:tc>
          <w:tcPr>
            <w:tcW w:w="4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Бюджет міста Києва</w:t>
            </w:r>
          </w:p>
        </w:tc>
        <w:tc>
          <w:tcPr>
            <w:tcW w:w="4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C9355A">
            <w:pPr>
              <w:pStyle w:val="a6"/>
              <w:jc w:val="center"/>
              <w:rPr>
                <w:lang w:val="uk-UA"/>
              </w:rPr>
            </w:pPr>
            <w:r w:rsidRPr="006277B1">
              <w:rPr>
                <w:sz w:val="20"/>
                <w:szCs w:val="20"/>
                <w:lang w:val="uk-UA"/>
              </w:rPr>
              <w:t xml:space="preserve">Всього: </w:t>
            </w:r>
            <w:r w:rsidRPr="00C9355A">
              <w:rPr>
                <w:b/>
                <w:sz w:val="20"/>
                <w:szCs w:val="20"/>
                <w:lang w:val="uk-UA"/>
              </w:rPr>
              <w:t>1200000,0</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витрат</w:t>
            </w:r>
            <w:r w:rsidRPr="006277B1">
              <w:rPr>
                <w:sz w:val="20"/>
                <w:szCs w:val="20"/>
                <w:lang w:val="uk-UA"/>
              </w:rPr>
              <w:br/>
              <w:t>витрати, пов'язані з придбанням БПЛА та засобів захисту техніки, тис. грн</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1000000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Pr>
                <w:b/>
                <w:sz w:val="20"/>
                <w:szCs w:val="20"/>
                <w:lang w:val="uk-UA"/>
              </w:rPr>
              <w:t>2</w:t>
            </w:r>
            <w:r w:rsidRPr="00C9355A">
              <w:rPr>
                <w:b/>
                <w:sz w:val="20"/>
                <w:szCs w:val="20"/>
                <w:lang w:val="uk-UA"/>
              </w:rPr>
              <w:t>00000,0</w:t>
            </w:r>
          </w:p>
        </w:tc>
      </w:tr>
      <w:tr w:rsidR="00C9355A"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2023 рік 1000000</w:t>
            </w:r>
            <w:r>
              <w:rPr>
                <w:sz w:val="20"/>
                <w:szCs w:val="20"/>
                <w:lang w:val="uk-UA"/>
              </w:rPr>
              <w:t>,0</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ефективності</w:t>
            </w:r>
            <w:r w:rsidRPr="006277B1">
              <w:rPr>
                <w:sz w:val="20"/>
                <w:szCs w:val="20"/>
                <w:lang w:val="uk-UA"/>
              </w:rPr>
              <w:br/>
              <w:t>середні витрати на придбання одиниці товару, тис. грн</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200</w:t>
            </w:r>
          </w:p>
        </w:tc>
        <w:tc>
          <w:tcPr>
            <w:tcW w:w="200" w:type="pct"/>
            <w:tcBorders>
              <w:top w:val="outset" w:sz="6" w:space="0" w:color="auto"/>
              <w:left w:val="outset" w:sz="6" w:space="0" w:color="auto"/>
              <w:bottom w:val="outset" w:sz="6" w:space="0" w:color="auto"/>
              <w:right w:val="outset" w:sz="6" w:space="0" w:color="auto"/>
            </w:tcBorders>
            <w:hideMark/>
          </w:tcPr>
          <w:p w:rsidR="00C9355A" w:rsidRPr="00C9355A" w:rsidRDefault="00C9355A" w:rsidP="00C9355A">
            <w:pPr>
              <w:pStyle w:val="a6"/>
              <w:jc w:val="center"/>
              <w:rPr>
                <w:b/>
                <w:sz w:val="20"/>
                <w:szCs w:val="20"/>
                <w:lang w:val="uk-UA"/>
              </w:rPr>
            </w:pPr>
            <w:r w:rsidRPr="00C9355A">
              <w:rPr>
                <w:b/>
                <w:sz w:val="20"/>
                <w:szCs w:val="20"/>
                <w:lang w:val="uk-UA"/>
              </w:rPr>
              <w:t>1000</w:t>
            </w:r>
          </w:p>
        </w:tc>
      </w:tr>
      <w:tr w:rsidR="00C9355A"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50" w:type="pct"/>
            <w:vMerge w:val="restart"/>
            <w:tcBorders>
              <w:top w:val="outset" w:sz="6" w:space="0" w:color="auto"/>
              <w:left w:val="outset" w:sz="6" w:space="0" w:color="auto"/>
              <w:bottom w:val="outset" w:sz="6" w:space="0" w:color="auto"/>
              <w:right w:val="outset" w:sz="6" w:space="0" w:color="auto"/>
            </w:tcBorders>
            <w:hideMark/>
          </w:tcPr>
          <w:p w:rsidR="00C9355A" w:rsidRPr="00C9355A" w:rsidRDefault="00C9355A" w:rsidP="00C9355A">
            <w:pPr>
              <w:pStyle w:val="a6"/>
              <w:jc w:val="center"/>
              <w:rPr>
                <w:b/>
                <w:lang w:val="uk-UA"/>
              </w:rPr>
            </w:pPr>
            <w:r w:rsidRPr="00C9355A">
              <w:rPr>
                <w:b/>
                <w:sz w:val="20"/>
                <w:szCs w:val="20"/>
                <w:lang w:val="uk-UA"/>
              </w:rPr>
              <w:t>202</w:t>
            </w:r>
            <w:r>
              <w:rPr>
                <w:b/>
                <w:sz w:val="20"/>
                <w:szCs w:val="20"/>
                <w:lang w:val="uk-UA"/>
              </w:rPr>
              <w:t>4 рік 2</w:t>
            </w:r>
            <w:r w:rsidRPr="00C9355A">
              <w:rPr>
                <w:b/>
                <w:sz w:val="20"/>
                <w:szCs w:val="20"/>
                <w:lang w:val="uk-UA"/>
              </w:rPr>
              <w:t>00000,0</w:t>
            </w:r>
          </w:p>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продукту</w:t>
            </w:r>
            <w:r w:rsidRPr="006277B1">
              <w:rPr>
                <w:sz w:val="20"/>
                <w:szCs w:val="20"/>
                <w:lang w:val="uk-UA"/>
              </w:rPr>
              <w:br/>
              <w:t>кількість придбаного обладнання, од.</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5000</w:t>
            </w:r>
          </w:p>
        </w:tc>
        <w:tc>
          <w:tcPr>
            <w:tcW w:w="200" w:type="pct"/>
            <w:tcBorders>
              <w:top w:val="outset" w:sz="6" w:space="0" w:color="auto"/>
              <w:left w:val="outset" w:sz="6" w:space="0" w:color="auto"/>
              <w:bottom w:val="outset" w:sz="6" w:space="0" w:color="auto"/>
              <w:right w:val="outset" w:sz="6" w:space="0" w:color="auto"/>
            </w:tcBorders>
            <w:hideMark/>
          </w:tcPr>
          <w:p w:rsidR="00C9355A" w:rsidRPr="00C9355A" w:rsidRDefault="00C9355A" w:rsidP="00C9355A">
            <w:pPr>
              <w:pStyle w:val="a6"/>
              <w:jc w:val="center"/>
              <w:rPr>
                <w:b/>
                <w:sz w:val="20"/>
                <w:szCs w:val="20"/>
                <w:lang w:val="uk-UA"/>
              </w:rPr>
            </w:pPr>
            <w:r>
              <w:rPr>
                <w:b/>
                <w:sz w:val="20"/>
                <w:szCs w:val="20"/>
                <w:lang w:val="uk-UA"/>
              </w:rPr>
              <w:t>200,0</w:t>
            </w:r>
          </w:p>
        </w:tc>
      </w:tr>
      <w:tr w:rsidR="00C9355A"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7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2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w:t>
            </w:r>
          </w:p>
        </w:tc>
        <w:tc>
          <w:tcPr>
            <w:tcW w:w="200" w:type="pct"/>
            <w:tcBorders>
              <w:top w:val="outset" w:sz="6" w:space="0" w:color="auto"/>
              <w:left w:val="outset" w:sz="6" w:space="0" w:color="auto"/>
              <w:bottom w:val="outset" w:sz="6" w:space="0" w:color="auto"/>
              <w:right w:val="outset" w:sz="6" w:space="0" w:color="auto"/>
            </w:tcBorders>
            <w:hideMark/>
          </w:tcPr>
          <w:p w:rsidR="00C9355A" w:rsidRPr="00C9355A" w:rsidRDefault="00C9355A" w:rsidP="00C9355A">
            <w:pPr>
              <w:pStyle w:val="a6"/>
              <w:jc w:val="center"/>
              <w:rPr>
                <w:b/>
                <w:sz w:val="20"/>
                <w:szCs w:val="20"/>
                <w:lang w:val="uk-UA"/>
              </w:rPr>
            </w:pPr>
            <w:r>
              <w:rPr>
                <w:b/>
                <w:sz w:val="20"/>
                <w:szCs w:val="20"/>
                <w:lang w:val="uk-UA"/>
              </w:rPr>
              <w:t>100</w:t>
            </w: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80"/>
        <w:gridCol w:w="559"/>
        <w:gridCol w:w="1307"/>
        <w:gridCol w:w="840"/>
        <w:gridCol w:w="747"/>
        <w:gridCol w:w="1308"/>
        <w:gridCol w:w="374"/>
        <w:gridCol w:w="660"/>
        <w:gridCol w:w="374"/>
      </w:tblGrid>
      <w:tr w:rsidR="00C9355A" w:rsidRPr="006277B1" w:rsidTr="00C9355A">
        <w:trPr>
          <w:jc w:val="center"/>
        </w:trPr>
        <w:tc>
          <w:tcPr>
            <w:tcW w:w="4200" w:type="pct"/>
            <w:gridSpan w:val="9"/>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13. Обладнання опорних пунктів</w:t>
            </w:r>
          </w:p>
        </w:tc>
      </w:tr>
      <w:tr w:rsidR="00C9355A" w:rsidRPr="006277B1" w:rsidTr="00C9355A">
        <w:trPr>
          <w:jc w:val="center"/>
        </w:trPr>
        <w:tc>
          <w:tcPr>
            <w:tcW w:w="9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13. Обладнання опорних пунктів у адміністративних межах м. Києва</w:t>
            </w:r>
          </w:p>
        </w:tc>
        <w:tc>
          <w:tcPr>
            <w:tcW w:w="3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2023 - 2024 роки</w:t>
            </w:r>
          </w:p>
        </w:tc>
        <w:tc>
          <w:tcPr>
            <w:tcW w:w="7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Департамент будівництва та житлового забезпечення</w:t>
            </w:r>
          </w:p>
        </w:tc>
        <w:tc>
          <w:tcPr>
            <w:tcW w:w="45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Бюджет міста Києва</w:t>
            </w:r>
          </w:p>
        </w:tc>
        <w:tc>
          <w:tcPr>
            <w:tcW w:w="4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Всього:</w:t>
            </w:r>
            <w:r w:rsidRPr="006277B1">
              <w:rPr>
                <w:sz w:val="20"/>
                <w:szCs w:val="20"/>
                <w:lang w:val="uk-UA"/>
              </w:rPr>
              <w:br/>
              <w:t>100000</w:t>
            </w:r>
          </w:p>
        </w:tc>
        <w:tc>
          <w:tcPr>
            <w:tcW w:w="7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витрат</w:t>
            </w:r>
            <w:r w:rsidRPr="006277B1">
              <w:rPr>
                <w:sz w:val="20"/>
                <w:szCs w:val="20"/>
                <w:lang w:val="uk-UA"/>
              </w:rPr>
              <w:br/>
              <w:t>витрати, пов'язані з обладнанням опорних пунктів, тис. грн</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100000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0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2023 рік</w:t>
            </w:r>
            <w:r w:rsidRPr="006277B1">
              <w:rPr>
                <w:sz w:val="20"/>
                <w:szCs w:val="20"/>
                <w:lang w:val="uk-UA"/>
              </w:rPr>
              <w:br/>
              <w:t>100000</w:t>
            </w:r>
          </w:p>
        </w:tc>
        <w:tc>
          <w:tcPr>
            <w:tcW w:w="7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ефективності</w:t>
            </w:r>
            <w:r w:rsidRPr="006277B1">
              <w:rPr>
                <w:sz w:val="20"/>
                <w:szCs w:val="20"/>
                <w:lang w:val="uk-UA"/>
              </w:rPr>
              <w:br/>
              <w:t>середні витрати на обладнання одного опорного пункту, тис. грн</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14290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700" w:type="pct"/>
            <w:tcBorders>
              <w:top w:val="outset" w:sz="6" w:space="0" w:color="auto"/>
              <w:left w:val="outset" w:sz="6" w:space="0" w:color="auto"/>
              <w:bottom w:val="outset" w:sz="6" w:space="0" w:color="auto"/>
              <w:right w:val="outset" w:sz="6" w:space="0" w:color="auto"/>
            </w:tcBorders>
            <w:vAlign w:val="bottom"/>
            <w:hideMark/>
          </w:tcPr>
          <w:p w:rsidR="00C9355A" w:rsidRPr="006277B1" w:rsidRDefault="00C9355A" w:rsidP="00654EF0">
            <w:pPr>
              <w:pStyle w:val="a6"/>
              <w:rPr>
                <w:lang w:val="uk-UA"/>
              </w:rPr>
            </w:pPr>
            <w:r w:rsidRPr="006277B1">
              <w:rPr>
                <w:sz w:val="20"/>
                <w:szCs w:val="20"/>
                <w:lang w:val="uk-UA"/>
              </w:rPr>
              <w:t>продукту</w:t>
            </w:r>
            <w:r w:rsidRPr="006277B1">
              <w:rPr>
                <w:sz w:val="20"/>
                <w:szCs w:val="20"/>
                <w:lang w:val="uk-UA"/>
              </w:rPr>
              <w:br/>
              <w:t>кількість опорних пунктів, од.</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7</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7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35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w:t>
            </w:r>
          </w:p>
        </w:tc>
        <w:tc>
          <w:tcPr>
            <w:tcW w:w="20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r>
    </w:tbl>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p w:rsidR="008974BD" w:rsidRDefault="008974BD"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13"/>
        <w:gridCol w:w="490"/>
        <w:gridCol w:w="1242"/>
        <w:gridCol w:w="774"/>
        <w:gridCol w:w="810"/>
        <w:gridCol w:w="1242"/>
        <w:gridCol w:w="308"/>
        <w:gridCol w:w="660"/>
        <w:gridCol w:w="710"/>
      </w:tblGrid>
      <w:tr w:rsidR="00C9355A" w:rsidRPr="006277B1" w:rsidTr="00C9355A">
        <w:trPr>
          <w:jc w:val="center"/>
        </w:trPr>
        <w:tc>
          <w:tcPr>
            <w:tcW w:w="5000" w:type="pct"/>
            <w:gridSpan w:val="9"/>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13. Обладнання опорних пунктів</w:t>
            </w:r>
          </w:p>
        </w:tc>
      </w:tr>
      <w:tr w:rsidR="00C610E8" w:rsidRPr="006277B1" w:rsidTr="00C9355A">
        <w:trPr>
          <w:jc w:val="center"/>
        </w:trPr>
        <w:tc>
          <w:tcPr>
            <w:tcW w:w="1070"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13. Обладнання опорних пунктів у адміністративних межах м. Києва</w:t>
            </w:r>
          </w:p>
        </w:tc>
        <w:tc>
          <w:tcPr>
            <w:tcW w:w="355"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2023 - 2024 роки</w:t>
            </w:r>
          </w:p>
        </w:tc>
        <w:tc>
          <w:tcPr>
            <w:tcW w:w="833"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Департамент будівництва та житлового забезпечення</w:t>
            </w:r>
          </w:p>
        </w:tc>
        <w:tc>
          <w:tcPr>
            <w:tcW w:w="535" w:type="pct"/>
            <w:vMerge w:val="restar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Бюджет міста Києва</w:t>
            </w:r>
          </w:p>
        </w:tc>
        <w:tc>
          <w:tcPr>
            <w:tcW w:w="476" w:type="pct"/>
            <w:tcBorders>
              <w:top w:val="outset" w:sz="6" w:space="0" w:color="auto"/>
              <w:left w:val="outset" w:sz="6" w:space="0" w:color="auto"/>
              <w:bottom w:val="outset" w:sz="6" w:space="0" w:color="auto"/>
              <w:right w:val="outset" w:sz="6" w:space="0" w:color="auto"/>
            </w:tcBorders>
            <w:hideMark/>
          </w:tcPr>
          <w:p w:rsidR="00C9355A" w:rsidRPr="006277B1" w:rsidRDefault="00C610E8" w:rsidP="00C610E8">
            <w:pPr>
              <w:pStyle w:val="a6"/>
              <w:jc w:val="center"/>
              <w:rPr>
                <w:lang w:val="uk-UA"/>
              </w:rPr>
            </w:pPr>
            <w:r>
              <w:rPr>
                <w:sz w:val="20"/>
                <w:szCs w:val="20"/>
                <w:lang w:val="uk-UA"/>
              </w:rPr>
              <w:t>Всього:</w:t>
            </w:r>
            <w:r>
              <w:rPr>
                <w:sz w:val="20"/>
                <w:szCs w:val="20"/>
                <w:lang w:val="uk-UA"/>
              </w:rPr>
              <w:br/>
            </w:r>
            <w:r w:rsidRPr="00C610E8">
              <w:rPr>
                <w:b/>
                <w:sz w:val="20"/>
                <w:szCs w:val="20"/>
                <w:lang w:val="uk-UA"/>
              </w:rPr>
              <w:t>15</w:t>
            </w:r>
            <w:r w:rsidR="00C9355A" w:rsidRPr="00C610E8">
              <w:rPr>
                <w:b/>
                <w:sz w:val="20"/>
                <w:szCs w:val="20"/>
                <w:lang w:val="uk-UA"/>
              </w:rPr>
              <w:t>0000</w:t>
            </w:r>
            <w:r w:rsidRPr="00C610E8">
              <w:rPr>
                <w:b/>
                <w:sz w:val="20"/>
                <w:szCs w:val="20"/>
                <w:lang w:val="uk-UA"/>
              </w:rPr>
              <w:t>,0</w:t>
            </w:r>
          </w:p>
        </w:tc>
        <w:tc>
          <w:tcPr>
            <w:tcW w:w="833"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витрат</w:t>
            </w:r>
            <w:r w:rsidRPr="006277B1">
              <w:rPr>
                <w:sz w:val="20"/>
                <w:szCs w:val="20"/>
                <w:lang w:val="uk-UA"/>
              </w:rPr>
              <w:br/>
              <w:t>витрати, пов'язані з обладнанням опорних пунктів, тис. грн</w:t>
            </w:r>
          </w:p>
        </w:tc>
        <w:tc>
          <w:tcPr>
            <w:tcW w:w="238"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42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100000</w:t>
            </w:r>
          </w:p>
        </w:tc>
        <w:tc>
          <w:tcPr>
            <w:tcW w:w="239" w:type="pct"/>
            <w:tcBorders>
              <w:top w:val="outset" w:sz="6" w:space="0" w:color="auto"/>
              <w:left w:val="outset" w:sz="6" w:space="0" w:color="auto"/>
              <w:bottom w:val="outset" w:sz="6" w:space="0" w:color="auto"/>
              <w:right w:val="outset" w:sz="6" w:space="0" w:color="auto"/>
            </w:tcBorders>
            <w:hideMark/>
          </w:tcPr>
          <w:p w:rsidR="00C9355A" w:rsidRPr="00C610E8" w:rsidRDefault="00C610E8" w:rsidP="00C610E8">
            <w:pPr>
              <w:pStyle w:val="a6"/>
              <w:jc w:val="center"/>
              <w:rPr>
                <w:sz w:val="20"/>
                <w:szCs w:val="20"/>
                <w:lang w:val="uk-UA"/>
              </w:rPr>
            </w:pPr>
            <w:r w:rsidRPr="00C610E8">
              <w:rPr>
                <w:b/>
                <w:sz w:val="20"/>
                <w:szCs w:val="20"/>
              </w:rPr>
              <w:t>5</w:t>
            </w:r>
            <w:r w:rsidRPr="00C610E8">
              <w:rPr>
                <w:b/>
                <w:sz w:val="20"/>
                <w:szCs w:val="20"/>
                <w:lang w:val="uk-UA"/>
              </w:rPr>
              <w:t>0000</w:t>
            </w:r>
            <w:r w:rsidRPr="00C610E8">
              <w:rPr>
                <w:b/>
                <w:sz w:val="20"/>
                <w:szCs w:val="20"/>
              </w:rPr>
              <w:t>,0</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476" w:type="pct"/>
            <w:tcBorders>
              <w:top w:val="outset" w:sz="6" w:space="0" w:color="auto"/>
              <w:left w:val="outset" w:sz="6" w:space="0" w:color="auto"/>
              <w:bottom w:val="single" w:sz="4" w:space="0" w:color="auto"/>
              <w:right w:val="outset" w:sz="6" w:space="0" w:color="auto"/>
            </w:tcBorders>
            <w:hideMark/>
          </w:tcPr>
          <w:p w:rsidR="00C9355A" w:rsidRPr="006277B1" w:rsidRDefault="00C9355A" w:rsidP="00C610E8">
            <w:pPr>
              <w:pStyle w:val="a6"/>
              <w:jc w:val="center"/>
              <w:rPr>
                <w:lang w:val="uk-UA"/>
              </w:rPr>
            </w:pPr>
            <w:r w:rsidRPr="006277B1">
              <w:rPr>
                <w:sz w:val="20"/>
                <w:szCs w:val="20"/>
                <w:lang w:val="uk-UA"/>
              </w:rPr>
              <w:t>2023 рік</w:t>
            </w:r>
            <w:r w:rsidRPr="006277B1">
              <w:rPr>
                <w:sz w:val="20"/>
                <w:szCs w:val="20"/>
                <w:lang w:val="uk-UA"/>
              </w:rPr>
              <w:br/>
              <w:t>100000</w:t>
            </w:r>
            <w:r w:rsidR="00C610E8">
              <w:rPr>
                <w:sz w:val="20"/>
                <w:szCs w:val="20"/>
                <w:lang w:val="uk-UA"/>
              </w:rPr>
              <w:t>,0</w:t>
            </w:r>
          </w:p>
        </w:tc>
        <w:tc>
          <w:tcPr>
            <w:tcW w:w="833"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ефективності</w:t>
            </w:r>
            <w:r w:rsidRPr="006277B1">
              <w:rPr>
                <w:sz w:val="20"/>
                <w:szCs w:val="20"/>
                <w:lang w:val="uk-UA"/>
              </w:rPr>
              <w:br/>
              <w:t>середні витрати на обладнання одного опорного пункту, тис. грн</w:t>
            </w:r>
          </w:p>
        </w:tc>
        <w:tc>
          <w:tcPr>
            <w:tcW w:w="238"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42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14290</w:t>
            </w:r>
          </w:p>
        </w:tc>
        <w:tc>
          <w:tcPr>
            <w:tcW w:w="239" w:type="pct"/>
            <w:tcBorders>
              <w:top w:val="outset" w:sz="6" w:space="0" w:color="auto"/>
              <w:left w:val="outset" w:sz="6" w:space="0" w:color="auto"/>
              <w:bottom w:val="outset" w:sz="6" w:space="0" w:color="auto"/>
              <w:right w:val="outset" w:sz="6" w:space="0" w:color="auto"/>
            </w:tcBorders>
            <w:hideMark/>
          </w:tcPr>
          <w:p w:rsidR="00C9355A" w:rsidRPr="00C610E8" w:rsidRDefault="00C610E8" w:rsidP="00654EF0">
            <w:pPr>
              <w:pStyle w:val="a6"/>
              <w:jc w:val="center"/>
              <w:rPr>
                <w:b/>
                <w:sz w:val="20"/>
                <w:szCs w:val="20"/>
                <w:lang w:val="uk-UA"/>
              </w:rPr>
            </w:pPr>
            <w:r w:rsidRPr="00C610E8">
              <w:rPr>
                <w:b/>
                <w:sz w:val="20"/>
                <w:szCs w:val="20"/>
                <w:lang w:val="uk-UA"/>
              </w:rPr>
              <w:t>7</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val="restart"/>
            <w:tcBorders>
              <w:top w:val="single" w:sz="4" w:space="0" w:color="auto"/>
              <w:left w:val="outset" w:sz="6" w:space="0" w:color="auto"/>
              <w:right w:val="outset" w:sz="6" w:space="0" w:color="auto"/>
            </w:tcBorders>
            <w:vAlign w:val="center"/>
            <w:hideMark/>
          </w:tcPr>
          <w:p w:rsidR="00C9355A" w:rsidRPr="00C610E8" w:rsidRDefault="00C9355A" w:rsidP="00C610E8">
            <w:pPr>
              <w:jc w:val="center"/>
              <w:rPr>
                <w:rFonts w:ascii="Times New Roman" w:hAnsi="Times New Roman" w:cs="Times New Roman"/>
                <w:b/>
              </w:rPr>
            </w:pPr>
            <w:r w:rsidRPr="00C610E8">
              <w:rPr>
                <w:rFonts w:ascii="Times New Roman" w:hAnsi="Times New Roman" w:cs="Times New Roman"/>
                <w:b/>
                <w:sz w:val="20"/>
                <w:szCs w:val="20"/>
              </w:rPr>
              <w:t>2024</w:t>
            </w:r>
            <w:r w:rsidR="00C610E8">
              <w:rPr>
                <w:rFonts w:ascii="Times New Roman" w:hAnsi="Times New Roman" w:cs="Times New Roman"/>
                <w:b/>
                <w:sz w:val="20"/>
                <w:szCs w:val="20"/>
              </w:rPr>
              <w:t xml:space="preserve"> рік</w:t>
            </w:r>
            <w:r w:rsidR="00C610E8">
              <w:rPr>
                <w:rFonts w:ascii="Times New Roman" w:hAnsi="Times New Roman" w:cs="Times New Roman"/>
                <w:b/>
                <w:sz w:val="20"/>
                <w:szCs w:val="20"/>
              </w:rPr>
              <w:br/>
              <w:t>5</w:t>
            </w:r>
            <w:r w:rsidRPr="00C610E8">
              <w:rPr>
                <w:rFonts w:ascii="Times New Roman" w:hAnsi="Times New Roman" w:cs="Times New Roman"/>
                <w:b/>
                <w:sz w:val="20"/>
                <w:szCs w:val="20"/>
              </w:rPr>
              <w:t>0000</w:t>
            </w:r>
            <w:r w:rsidR="00C610E8">
              <w:rPr>
                <w:rFonts w:ascii="Times New Roman" w:hAnsi="Times New Roman" w:cs="Times New Roman"/>
                <w:b/>
                <w:sz w:val="20"/>
                <w:szCs w:val="20"/>
              </w:rPr>
              <w:t>,0</w:t>
            </w:r>
          </w:p>
        </w:tc>
        <w:tc>
          <w:tcPr>
            <w:tcW w:w="833" w:type="pct"/>
            <w:tcBorders>
              <w:top w:val="outset" w:sz="6" w:space="0" w:color="auto"/>
              <w:left w:val="outset" w:sz="6" w:space="0" w:color="auto"/>
              <w:bottom w:val="outset" w:sz="6" w:space="0" w:color="auto"/>
              <w:right w:val="outset" w:sz="6" w:space="0" w:color="auto"/>
            </w:tcBorders>
            <w:vAlign w:val="bottom"/>
            <w:hideMark/>
          </w:tcPr>
          <w:p w:rsidR="00C9355A" w:rsidRPr="006277B1" w:rsidRDefault="00C9355A" w:rsidP="00654EF0">
            <w:pPr>
              <w:pStyle w:val="a6"/>
              <w:rPr>
                <w:lang w:val="uk-UA"/>
              </w:rPr>
            </w:pPr>
            <w:r w:rsidRPr="006277B1">
              <w:rPr>
                <w:sz w:val="20"/>
                <w:szCs w:val="20"/>
                <w:lang w:val="uk-UA"/>
              </w:rPr>
              <w:t>продукту</w:t>
            </w:r>
            <w:r w:rsidRPr="006277B1">
              <w:rPr>
                <w:sz w:val="20"/>
                <w:szCs w:val="20"/>
                <w:lang w:val="uk-UA"/>
              </w:rPr>
              <w:br/>
              <w:t>кількість опорних пунктів, од.</w:t>
            </w:r>
          </w:p>
        </w:tc>
        <w:tc>
          <w:tcPr>
            <w:tcW w:w="238"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42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7</w:t>
            </w:r>
          </w:p>
        </w:tc>
        <w:tc>
          <w:tcPr>
            <w:tcW w:w="239" w:type="pct"/>
            <w:tcBorders>
              <w:top w:val="outset" w:sz="6" w:space="0" w:color="auto"/>
              <w:left w:val="outset" w:sz="6" w:space="0" w:color="auto"/>
              <w:bottom w:val="outset" w:sz="6" w:space="0" w:color="auto"/>
              <w:right w:val="outset" w:sz="6" w:space="0" w:color="auto"/>
            </w:tcBorders>
            <w:hideMark/>
          </w:tcPr>
          <w:p w:rsidR="00C9355A" w:rsidRPr="00C610E8" w:rsidRDefault="00C610E8" w:rsidP="00654EF0">
            <w:pPr>
              <w:pStyle w:val="a6"/>
              <w:jc w:val="center"/>
              <w:rPr>
                <w:b/>
                <w:sz w:val="20"/>
                <w:szCs w:val="20"/>
                <w:lang w:val="uk-UA"/>
              </w:rPr>
            </w:pPr>
            <w:r w:rsidRPr="00C610E8">
              <w:rPr>
                <w:b/>
                <w:sz w:val="20"/>
                <w:szCs w:val="20"/>
                <w:lang w:val="uk-UA"/>
              </w:rPr>
              <w:t>7142,6</w:t>
            </w:r>
          </w:p>
        </w:tc>
      </w:tr>
      <w:tr w:rsidR="00C9355A" w:rsidRPr="006277B1" w:rsidTr="00C9355A">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top w:val="outset" w:sz="6" w:space="0" w:color="auto"/>
              <w:left w:val="outset" w:sz="6" w:space="0" w:color="auto"/>
              <w:bottom w:val="outset" w:sz="6" w:space="0" w:color="auto"/>
              <w:right w:val="outset" w:sz="6" w:space="0" w:color="auto"/>
            </w:tcBorders>
            <w:vAlign w:val="center"/>
            <w:hideMark/>
          </w:tcPr>
          <w:p w:rsidR="00C9355A" w:rsidRPr="006277B1" w:rsidRDefault="00C9355A" w:rsidP="00654EF0"/>
        </w:tc>
        <w:tc>
          <w:tcPr>
            <w:tcW w:w="0" w:type="auto"/>
            <w:vMerge/>
            <w:tcBorders>
              <w:left w:val="outset" w:sz="6" w:space="0" w:color="auto"/>
              <w:bottom w:val="outset" w:sz="6" w:space="0" w:color="auto"/>
              <w:right w:val="outset" w:sz="6" w:space="0" w:color="auto"/>
            </w:tcBorders>
            <w:vAlign w:val="center"/>
            <w:hideMark/>
          </w:tcPr>
          <w:p w:rsidR="00C9355A" w:rsidRPr="006277B1" w:rsidRDefault="00C9355A" w:rsidP="00654EF0"/>
        </w:tc>
        <w:tc>
          <w:tcPr>
            <w:tcW w:w="833"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rPr>
                <w:lang w:val="uk-UA"/>
              </w:rPr>
            </w:pPr>
            <w:r w:rsidRPr="006277B1">
              <w:rPr>
                <w:sz w:val="20"/>
                <w:szCs w:val="20"/>
                <w:lang w:val="uk-UA"/>
              </w:rPr>
              <w:t>якості</w:t>
            </w:r>
            <w:r w:rsidRPr="006277B1">
              <w:rPr>
                <w:sz w:val="20"/>
                <w:szCs w:val="20"/>
                <w:lang w:val="uk-UA"/>
              </w:rPr>
              <w:br/>
              <w:t>рівень виконання заходу, %</w:t>
            </w:r>
          </w:p>
        </w:tc>
        <w:tc>
          <w:tcPr>
            <w:tcW w:w="238"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 </w:t>
            </w:r>
          </w:p>
        </w:tc>
        <w:tc>
          <w:tcPr>
            <w:tcW w:w="420" w:type="pct"/>
            <w:tcBorders>
              <w:top w:val="outset" w:sz="6" w:space="0" w:color="auto"/>
              <w:left w:val="outset" w:sz="6" w:space="0" w:color="auto"/>
              <w:bottom w:val="outset" w:sz="6" w:space="0" w:color="auto"/>
              <w:right w:val="outset" w:sz="6" w:space="0" w:color="auto"/>
            </w:tcBorders>
            <w:hideMark/>
          </w:tcPr>
          <w:p w:rsidR="00C9355A" w:rsidRPr="006277B1" w:rsidRDefault="00C9355A" w:rsidP="00654EF0">
            <w:pPr>
              <w:pStyle w:val="a6"/>
              <w:jc w:val="center"/>
              <w:rPr>
                <w:lang w:val="uk-UA"/>
              </w:rPr>
            </w:pPr>
            <w:r w:rsidRPr="006277B1">
              <w:rPr>
                <w:sz w:val="20"/>
                <w:szCs w:val="20"/>
                <w:lang w:val="uk-UA"/>
              </w:rPr>
              <w:t>100</w:t>
            </w:r>
          </w:p>
        </w:tc>
        <w:tc>
          <w:tcPr>
            <w:tcW w:w="239" w:type="pct"/>
            <w:tcBorders>
              <w:top w:val="outset" w:sz="6" w:space="0" w:color="auto"/>
              <w:left w:val="outset" w:sz="6" w:space="0" w:color="auto"/>
              <w:bottom w:val="outset" w:sz="6" w:space="0" w:color="auto"/>
              <w:right w:val="outset" w:sz="6" w:space="0" w:color="auto"/>
            </w:tcBorders>
            <w:hideMark/>
          </w:tcPr>
          <w:p w:rsidR="00C9355A" w:rsidRPr="00C610E8" w:rsidRDefault="00C610E8" w:rsidP="00654EF0">
            <w:pPr>
              <w:pStyle w:val="a6"/>
              <w:jc w:val="center"/>
              <w:rPr>
                <w:b/>
                <w:sz w:val="20"/>
                <w:szCs w:val="20"/>
                <w:lang w:val="uk-UA"/>
              </w:rPr>
            </w:pPr>
            <w:r w:rsidRPr="00C610E8">
              <w:rPr>
                <w:b/>
                <w:sz w:val="20"/>
                <w:szCs w:val="20"/>
                <w:lang w:val="uk-UA"/>
              </w:rPr>
              <w:t>100</w:t>
            </w:r>
          </w:p>
        </w:tc>
      </w:tr>
    </w:tbl>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747"/>
        <w:gridCol w:w="910"/>
        <w:gridCol w:w="1058"/>
        <w:gridCol w:w="430"/>
        <w:gridCol w:w="352"/>
        <w:gridCol w:w="352"/>
      </w:tblGrid>
      <w:tr w:rsidR="00C610E8" w:rsidRPr="00C610E8" w:rsidTr="00C610E8">
        <w:trPr>
          <w:jc w:val="center"/>
        </w:trPr>
        <w:tc>
          <w:tcPr>
            <w:tcW w:w="3050" w:type="pct"/>
            <w:vMerge w:val="restar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bCs/>
                <w:sz w:val="20"/>
                <w:szCs w:val="20"/>
                <w:lang w:val="uk-UA"/>
              </w:rPr>
              <w:t>РАЗОМ ПО ПРОГРАМІ</w:t>
            </w:r>
          </w:p>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ВСЬОГО:</w:t>
            </w:r>
            <w:r w:rsidRPr="00C610E8">
              <w:rPr>
                <w:sz w:val="20"/>
                <w:szCs w:val="20"/>
                <w:lang w:val="uk-UA"/>
              </w:rPr>
              <w:br/>
            </w:r>
            <w:r w:rsidRPr="00C610E8">
              <w:rPr>
                <w:bCs/>
                <w:sz w:val="20"/>
                <w:szCs w:val="20"/>
                <w:lang w:val="uk-UA"/>
              </w:rPr>
              <w:t>6132923,0</w:t>
            </w:r>
          </w:p>
        </w:tc>
        <w:tc>
          <w:tcPr>
            <w:tcW w:w="7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r>
      <w:tr w:rsidR="00C610E8" w:rsidRPr="00C610E8" w:rsidTr="00C610E8">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C610E8"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2022 рік</w:t>
            </w:r>
            <w:r w:rsidRPr="00C610E8">
              <w:rPr>
                <w:sz w:val="20"/>
                <w:szCs w:val="20"/>
                <w:lang w:val="uk-UA"/>
              </w:rPr>
              <w:br/>
            </w:r>
            <w:r w:rsidRPr="00C610E8">
              <w:rPr>
                <w:bCs/>
                <w:sz w:val="20"/>
                <w:szCs w:val="20"/>
                <w:lang w:val="uk-UA"/>
              </w:rPr>
              <w:t>986667,5</w:t>
            </w:r>
          </w:p>
        </w:tc>
        <w:tc>
          <w:tcPr>
            <w:tcW w:w="7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r>
      <w:tr w:rsidR="00C610E8" w:rsidRPr="00C610E8" w:rsidTr="00C610E8">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C610E8"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2023 рік</w:t>
            </w:r>
            <w:r w:rsidRPr="00C610E8">
              <w:rPr>
                <w:sz w:val="20"/>
                <w:szCs w:val="20"/>
                <w:lang w:val="uk-UA"/>
              </w:rPr>
              <w:br/>
            </w:r>
            <w:r w:rsidRPr="00C610E8">
              <w:rPr>
                <w:bCs/>
                <w:sz w:val="20"/>
                <w:szCs w:val="20"/>
                <w:lang w:val="uk-UA"/>
              </w:rPr>
              <w:t>5116391,9</w:t>
            </w:r>
          </w:p>
        </w:tc>
        <w:tc>
          <w:tcPr>
            <w:tcW w:w="7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r>
      <w:tr w:rsidR="00C610E8" w:rsidRPr="00C610E8" w:rsidTr="00C610E8">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C610E8"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2024 рік</w:t>
            </w:r>
            <w:r w:rsidRPr="00C610E8">
              <w:rPr>
                <w:sz w:val="20"/>
                <w:szCs w:val="20"/>
                <w:lang w:val="uk-UA"/>
              </w:rPr>
              <w:br/>
            </w:r>
            <w:r w:rsidRPr="00C610E8">
              <w:rPr>
                <w:bCs/>
                <w:sz w:val="20"/>
                <w:szCs w:val="20"/>
                <w:lang w:val="uk-UA"/>
              </w:rPr>
              <w:t>29863,6</w:t>
            </w:r>
          </w:p>
        </w:tc>
        <w:tc>
          <w:tcPr>
            <w:tcW w:w="7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sz w:val="20"/>
                <w:szCs w:val="20"/>
                <w:lang w:val="uk-UA"/>
              </w:rPr>
              <w:t> </w:t>
            </w:r>
          </w:p>
        </w:tc>
      </w:tr>
    </w:tbl>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747"/>
        <w:gridCol w:w="910"/>
        <w:gridCol w:w="1058"/>
        <w:gridCol w:w="430"/>
        <w:gridCol w:w="352"/>
        <w:gridCol w:w="352"/>
      </w:tblGrid>
      <w:tr w:rsidR="00C610E8" w:rsidRPr="006277B1" w:rsidTr="00654EF0">
        <w:trPr>
          <w:jc w:val="center"/>
        </w:trPr>
        <w:tc>
          <w:tcPr>
            <w:tcW w:w="3050" w:type="pct"/>
            <w:vMerge w:val="restar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rPr>
                <w:lang w:val="uk-UA"/>
              </w:rPr>
            </w:pPr>
            <w:r w:rsidRPr="00C610E8">
              <w:rPr>
                <w:bCs/>
                <w:sz w:val="20"/>
                <w:szCs w:val="20"/>
                <w:lang w:val="uk-UA"/>
              </w:rPr>
              <w:t>РАЗОМ ПО ПРОГРАМІ</w:t>
            </w:r>
          </w:p>
        </w:tc>
        <w:tc>
          <w:tcPr>
            <w:tcW w:w="4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C610E8">
            <w:pPr>
              <w:pStyle w:val="a6"/>
              <w:jc w:val="center"/>
              <w:rPr>
                <w:lang w:val="uk-UA"/>
              </w:rPr>
            </w:pPr>
            <w:r w:rsidRPr="00C610E8">
              <w:rPr>
                <w:bCs/>
                <w:sz w:val="20"/>
                <w:szCs w:val="20"/>
                <w:lang w:val="uk-UA"/>
              </w:rPr>
              <w:t>ВСЬОГО:</w:t>
            </w:r>
            <w:r w:rsidRPr="006277B1">
              <w:rPr>
                <w:sz w:val="20"/>
                <w:szCs w:val="20"/>
                <w:lang w:val="uk-UA"/>
              </w:rPr>
              <w:br/>
            </w:r>
            <w:r>
              <w:rPr>
                <w:b/>
                <w:bCs/>
                <w:sz w:val="20"/>
                <w:szCs w:val="20"/>
                <w:lang w:val="uk-UA"/>
              </w:rPr>
              <w:t>7572335</w:t>
            </w:r>
            <w:r w:rsidRPr="006277B1">
              <w:rPr>
                <w:b/>
                <w:bCs/>
                <w:sz w:val="20"/>
                <w:szCs w:val="20"/>
                <w:lang w:val="uk-UA"/>
              </w:rPr>
              <w:t>,0</w:t>
            </w:r>
          </w:p>
        </w:tc>
        <w:tc>
          <w:tcPr>
            <w:tcW w:w="7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r>
      <w:tr w:rsidR="00C610E8"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6277B1"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2022 рік</w:t>
            </w:r>
            <w:r w:rsidRPr="00C610E8">
              <w:rPr>
                <w:sz w:val="20"/>
                <w:szCs w:val="20"/>
                <w:lang w:val="uk-UA"/>
              </w:rPr>
              <w:br/>
            </w:r>
            <w:r w:rsidRPr="00C610E8">
              <w:rPr>
                <w:bCs/>
                <w:sz w:val="20"/>
                <w:szCs w:val="20"/>
                <w:lang w:val="uk-UA"/>
              </w:rPr>
              <w:t>986667,5</w:t>
            </w:r>
          </w:p>
        </w:tc>
        <w:tc>
          <w:tcPr>
            <w:tcW w:w="7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r>
      <w:tr w:rsidR="00C610E8"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6277B1"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C610E8" w:rsidRDefault="00C610E8" w:rsidP="00654EF0">
            <w:pPr>
              <w:pStyle w:val="a6"/>
              <w:jc w:val="center"/>
              <w:rPr>
                <w:lang w:val="uk-UA"/>
              </w:rPr>
            </w:pPr>
            <w:r w:rsidRPr="00C610E8">
              <w:rPr>
                <w:bCs/>
                <w:sz w:val="20"/>
                <w:szCs w:val="20"/>
                <w:lang w:val="uk-UA"/>
              </w:rPr>
              <w:t>2023 рік</w:t>
            </w:r>
            <w:r w:rsidRPr="00C610E8">
              <w:rPr>
                <w:sz w:val="20"/>
                <w:szCs w:val="20"/>
                <w:lang w:val="uk-UA"/>
              </w:rPr>
              <w:br/>
            </w:r>
            <w:r w:rsidRPr="00C610E8">
              <w:rPr>
                <w:bCs/>
                <w:sz w:val="20"/>
                <w:szCs w:val="20"/>
                <w:lang w:val="uk-UA"/>
              </w:rPr>
              <w:t>5116391,9</w:t>
            </w:r>
          </w:p>
        </w:tc>
        <w:tc>
          <w:tcPr>
            <w:tcW w:w="7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r>
      <w:tr w:rsidR="00C610E8" w:rsidRPr="006277B1" w:rsidTr="00654EF0">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610E8" w:rsidRPr="006277B1" w:rsidRDefault="00C610E8" w:rsidP="00654EF0"/>
        </w:tc>
        <w:tc>
          <w:tcPr>
            <w:tcW w:w="4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C610E8">
            <w:pPr>
              <w:pStyle w:val="a6"/>
              <w:jc w:val="center"/>
              <w:rPr>
                <w:lang w:val="uk-UA"/>
              </w:rPr>
            </w:pPr>
            <w:r w:rsidRPr="00C610E8">
              <w:rPr>
                <w:bCs/>
                <w:sz w:val="20"/>
                <w:szCs w:val="20"/>
                <w:lang w:val="uk-UA"/>
              </w:rPr>
              <w:t>2024 рік</w:t>
            </w:r>
            <w:r w:rsidRPr="006277B1">
              <w:rPr>
                <w:sz w:val="20"/>
                <w:szCs w:val="20"/>
                <w:lang w:val="uk-UA"/>
              </w:rPr>
              <w:br/>
            </w:r>
            <w:r>
              <w:rPr>
                <w:b/>
                <w:bCs/>
                <w:sz w:val="20"/>
                <w:szCs w:val="20"/>
                <w:lang w:val="uk-UA"/>
              </w:rPr>
              <w:t>1469275</w:t>
            </w:r>
            <w:r w:rsidRPr="006277B1">
              <w:rPr>
                <w:b/>
                <w:bCs/>
                <w:sz w:val="20"/>
                <w:szCs w:val="20"/>
                <w:lang w:val="uk-UA"/>
              </w:rPr>
              <w:t>,6</w:t>
            </w:r>
          </w:p>
        </w:tc>
        <w:tc>
          <w:tcPr>
            <w:tcW w:w="7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30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c>
          <w:tcPr>
            <w:tcW w:w="250" w:type="pct"/>
            <w:tcBorders>
              <w:top w:val="outset" w:sz="6" w:space="0" w:color="auto"/>
              <w:left w:val="outset" w:sz="6" w:space="0" w:color="auto"/>
              <w:bottom w:val="outset" w:sz="6" w:space="0" w:color="auto"/>
              <w:right w:val="outset" w:sz="6" w:space="0" w:color="auto"/>
            </w:tcBorders>
            <w:hideMark/>
          </w:tcPr>
          <w:p w:rsidR="00C610E8" w:rsidRPr="006277B1" w:rsidRDefault="00C610E8" w:rsidP="00654EF0">
            <w:pPr>
              <w:pStyle w:val="a6"/>
              <w:rPr>
                <w:lang w:val="uk-UA"/>
              </w:rPr>
            </w:pPr>
            <w:r w:rsidRPr="006277B1">
              <w:rPr>
                <w:sz w:val="20"/>
                <w:szCs w:val="20"/>
                <w:lang w:val="uk-UA"/>
              </w:rPr>
              <w:t> </w:t>
            </w:r>
          </w:p>
        </w:tc>
      </w:tr>
    </w:tbl>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C610E8" w:rsidRDefault="00C610E8"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254B59" w:rsidRDefault="00254B59" w:rsidP="00F23FCD">
      <w:pPr>
        <w:spacing w:after="0"/>
        <w:ind w:left="-142"/>
        <w:jc w:val="center"/>
        <w:rPr>
          <w:rFonts w:ascii="Times New Roman" w:hAnsi="Times New Roman" w:cs="Times New Roman"/>
          <w:sz w:val="28"/>
          <w:szCs w:val="28"/>
        </w:rPr>
      </w:pPr>
    </w:p>
    <w:p w:rsidR="00436412" w:rsidRDefault="00436412" w:rsidP="00F23FCD">
      <w:pPr>
        <w:spacing w:after="0"/>
        <w:ind w:left="-142"/>
        <w:jc w:val="center"/>
        <w:rPr>
          <w:rFonts w:ascii="Times New Roman" w:hAnsi="Times New Roman" w:cs="Times New Roman"/>
          <w:sz w:val="28"/>
          <w:szCs w:val="28"/>
        </w:rPr>
      </w:pPr>
      <w:r w:rsidRPr="00436412">
        <w:rPr>
          <w:rFonts w:ascii="Times New Roman" w:hAnsi="Times New Roman" w:cs="Times New Roman"/>
          <w:sz w:val="28"/>
          <w:szCs w:val="28"/>
        </w:rPr>
        <w:t>VIII. КООРДИНАЦІЯ ТА КОНТРОЛЬ ЗА ХОДОМ ВИКОНАННЯ ПРОГРАМИ</w:t>
      </w:r>
    </w:p>
    <w:p w:rsidR="00436412" w:rsidRDefault="00436412" w:rsidP="00F23FCD">
      <w:pPr>
        <w:spacing w:after="0"/>
        <w:ind w:left="-142"/>
        <w:jc w:val="center"/>
        <w:rPr>
          <w:rFonts w:ascii="Times New Roman" w:hAnsi="Times New Roman" w:cs="Times New Roman"/>
          <w:sz w:val="28"/>
          <w:szCs w:val="28"/>
        </w:rPr>
      </w:pPr>
    </w:p>
    <w:tbl>
      <w:tblPr>
        <w:tblStyle w:val="a3"/>
        <w:tblW w:w="0" w:type="auto"/>
        <w:tblInd w:w="-142" w:type="dxa"/>
        <w:tblLook w:val="04A0" w:firstRow="1" w:lastRow="0" w:firstColumn="1" w:lastColumn="0" w:noHBand="0" w:noVBand="1"/>
      </w:tblPr>
      <w:tblGrid>
        <w:gridCol w:w="7855"/>
      </w:tblGrid>
      <w:tr w:rsidR="00436412" w:rsidTr="00436412">
        <w:tc>
          <w:tcPr>
            <w:tcW w:w="7855" w:type="dxa"/>
          </w:tcPr>
          <w:p w:rsidR="00436412" w:rsidRPr="00743B03" w:rsidRDefault="00743B03" w:rsidP="00F23FCD">
            <w:pPr>
              <w:jc w:val="center"/>
              <w:rPr>
                <w:rFonts w:ascii="Times New Roman" w:hAnsi="Times New Roman" w:cs="Times New Roman"/>
                <w:sz w:val="20"/>
                <w:szCs w:val="20"/>
              </w:rPr>
            </w:pPr>
            <w:r w:rsidRPr="00743B03">
              <w:rPr>
                <w:rFonts w:ascii="Times New Roman" w:hAnsi="Times New Roman" w:cs="Times New Roman"/>
                <w:sz w:val="20"/>
                <w:szCs w:val="20"/>
              </w:rPr>
              <w:t>Пункти відсутні</w:t>
            </w:r>
          </w:p>
        </w:tc>
      </w:tr>
    </w:tbl>
    <w:p w:rsidR="00436412" w:rsidRDefault="00436412"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5365F0" w:rsidRDefault="005365F0"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5365F0" w:rsidRPr="005365F0" w:rsidRDefault="005365F0" w:rsidP="005365F0">
      <w:pPr>
        <w:spacing w:after="0"/>
        <w:ind w:left="-142"/>
        <w:jc w:val="center"/>
        <w:rPr>
          <w:rFonts w:ascii="Times New Roman" w:hAnsi="Times New Roman" w:cs="Times New Roman"/>
          <w:sz w:val="28"/>
          <w:szCs w:val="28"/>
        </w:rPr>
      </w:pPr>
      <w:r w:rsidRPr="005365F0">
        <w:rPr>
          <w:rFonts w:ascii="Times New Roman" w:hAnsi="Times New Roman" w:cs="Times New Roman"/>
          <w:sz w:val="28"/>
          <w:szCs w:val="28"/>
        </w:rPr>
        <w:t xml:space="preserve">Заступник міського голови – </w:t>
      </w:r>
    </w:p>
    <w:p w:rsidR="00743B03" w:rsidRDefault="005365F0" w:rsidP="00F23FCD">
      <w:pPr>
        <w:spacing w:after="0"/>
        <w:ind w:left="-142"/>
        <w:jc w:val="center"/>
        <w:rPr>
          <w:rFonts w:ascii="Times New Roman" w:hAnsi="Times New Roman" w:cs="Times New Roman"/>
          <w:sz w:val="28"/>
          <w:szCs w:val="28"/>
        </w:rPr>
      </w:pPr>
      <w:r w:rsidRPr="005365F0">
        <w:rPr>
          <w:rFonts w:ascii="Times New Roman" w:hAnsi="Times New Roman" w:cs="Times New Roman"/>
          <w:sz w:val="28"/>
          <w:szCs w:val="28"/>
        </w:rPr>
        <w:t xml:space="preserve">секретар Київської міської ради </w:t>
      </w: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5365F0" w:rsidRDefault="005365F0" w:rsidP="00F23FCD">
      <w:pPr>
        <w:spacing w:after="0"/>
        <w:ind w:left="-142"/>
        <w:jc w:val="center"/>
        <w:rPr>
          <w:rFonts w:ascii="Times New Roman" w:hAnsi="Times New Roman" w:cs="Times New Roman"/>
          <w:sz w:val="28"/>
          <w:szCs w:val="28"/>
        </w:rPr>
      </w:pPr>
    </w:p>
    <w:p w:rsidR="005365F0" w:rsidRDefault="005365F0"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F23FCD">
      <w:pPr>
        <w:spacing w:after="0"/>
        <w:ind w:left="-142"/>
        <w:jc w:val="center"/>
        <w:rPr>
          <w:rFonts w:ascii="Times New Roman" w:hAnsi="Times New Roman" w:cs="Times New Roman"/>
          <w:sz w:val="28"/>
          <w:szCs w:val="28"/>
        </w:rPr>
      </w:pPr>
    </w:p>
    <w:p w:rsidR="00743B03" w:rsidRDefault="00743B03" w:rsidP="00743B03">
      <w:pPr>
        <w:spacing w:after="0"/>
        <w:ind w:left="-142"/>
        <w:jc w:val="center"/>
        <w:rPr>
          <w:rFonts w:ascii="Times New Roman" w:hAnsi="Times New Roman" w:cs="Times New Roman"/>
          <w:sz w:val="28"/>
          <w:szCs w:val="28"/>
        </w:rPr>
      </w:pPr>
      <w:r w:rsidRPr="00436412">
        <w:rPr>
          <w:rFonts w:ascii="Times New Roman" w:hAnsi="Times New Roman" w:cs="Times New Roman"/>
          <w:sz w:val="28"/>
          <w:szCs w:val="28"/>
        </w:rPr>
        <w:t>VIII. КООРДИНАЦІЯ ТА КОНТРОЛЬ ЗА ХОДОМ ВИКОНАННЯ ПРОГРАМИ</w:t>
      </w:r>
    </w:p>
    <w:p w:rsidR="00743B03" w:rsidRDefault="00743B03" w:rsidP="00F23FCD">
      <w:pPr>
        <w:spacing w:after="0"/>
        <w:ind w:left="-142"/>
        <w:jc w:val="center"/>
        <w:rPr>
          <w:rFonts w:ascii="Times New Roman" w:hAnsi="Times New Roman" w:cs="Times New Roman"/>
          <w:sz w:val="28"/>
          <w:szCs w:val="28"/>
        </w:rPr>
      </w:pPr>
    </w:p>
    <w:tbl>
      <w:tblPr>
        <w:tblStyle w:val="a3"/>
        <w:tblW w:w="0" w:type="auto"/>
        <w:tblInd w:w="-5" w:type="dxa"/>
        <w:tblLook w:val="04A0" w:firstRow="1" w:lastRow="0" w:firstColumn="1" w:lastColumn="0" w:noHBand="0" w:noVBand="1"/>
      </w:tblPr>
      <w:tblGrid>
        <w:gridCol w:w="7855"/>
      </w:tblGrid>
      <w:tr w:rsidR="00743B03" w:rsidTr="00743B03">
        <w:tc>
          <w:tcPr>
            <w:tcW w:w="7855" w:type="dxa"/>
          </w:tcPr>
          <w:p w:rsidR="00743B03" w:rsidRPr="00743B03" w:rsidRDefault="00743B03" w:rsidP="00743B03">
            <w:pPr>
              <w:ind w:left="-68" w:right="34" w:firstLine="567"/>
              <w:jc w:val="both"/>
              <w:rPr>
                <w:rFonts w:ascii="Times New Roman" w:eastAsia="Times New Roman" w:hAnsi="Times New Roman" w:cs="Times New Roman"/>
                <w:sz w:val="20"/>
                <w:szCs w:val="20"/>
                <w:lang w:eastAsia="ru-RU"/>
              </w:rPr>
            </w:pPr>
            <w:r w:rsidRPr="00743B03">
              <w:rPr>
                <w:rFonts w:ascii="Times New Roman" w:eastAsia="Times New Roman" w:hAnsi="Times New Roman" w:cs="Times New Roman"/>
                <w:sz w:val="20"/>
                <w:szCs w:val="20"/>
                <w:lang w:eastAsia="ru-RU"/>
              </w:rPr>
              <w:t>«Протягом дії воєнного стану та шести місяців після його завершення співвиконавці Програми, щоквартально до 01 числа другого місяця, що настає за звітним періодом, надають Департаменту муніципальної безпеки виконавчого органу Київської міської ради (Київської міської державної адміністрації) відомості про обсяг одержаних коштів та їх фактичне освоєння.</w:t>
            </w:r>
          </w:p>
          <w:p w:rsidR="00743B03" w:rsidRPr="00743B03" w:rsidRDefault="00743B03" w:rsidP="00743B03">
            <w:pPr>
              <w:ind w:left="-68" w:right="34" w:firstLine="567"/>
              <w:jc w:val="both"/>
              <w:rPr>
                <w:rFonts w:ascii="Times New Roman" w:eastAsia="Times New Roman" w:hAnsi="Times New Roman" w:cs="Times New Roman"/>
                <w:sz w:val="20"/>
                <w:szCs w:val="20"/>
                <w:lang w:eastAsia="ru-RU"/>
              </w:rPr>
            </w:pPr>
            <w:r w:rsidRPr="00743B03">
              <w:rPr>
                <w:rFonts w:ascii="Times New Roman" w:eastAsia="Times New Roman" w:hAnsi="Times New Roman" w:cs="Times New Roman"/>
                <w:sz w:val="20"/>
                <w:szCs w:val="20"/>
                <w:lang w:eastAsia="ru-RU"/>
              </w:rPr>
              <w:t>Протягом дії воєнного стану та шести місяців після його завершення Департамент муніципальної безпеки виконавчого органу Київської міської ради (Київської міської державної адміністрації) подає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743B03" w:rsidRPr="00743B03" w:rsidRDefault="00743B03" w:rsidP="00743B03">
            <w:pPr>
              <w:ind w:left="-68" w:right="34" w:firstLine="567"/>
              <w:jc w:val="both"/>
              <w:rPr>
                <w:rFonts w:ascii="Times New Roman" w:eastAsia="Times New Roman" w:hAnsi="Times New Roman" w:cs="Times New Roman"/>
                <w:sz w:val="20"/>
                <w:szCs w:val="20"/>
                <w:lang w:eastAsia="ru-RU"/>
              </w:rPr>
            </w:pPr>
            <w:r w:rsidRPr="00743B03">
              <w:rPr>
                <w:rFonts w:ascii="Times New Roman" w:eastAsia="Times New Roman" w:hAnsi="Times New Roman" w:cs="Times New Roman"/>
                <w:sz w:val="20"/>
                <w:szCs w:val="20"/>
                <w:lang w:eastAsia="ru-RU"/>
              </w:rPr>
              <w:t>- квартальні та річний звіти про обсяг виділених коштів та їх фактичне освоєння співвиконавцями Програми до 20 числа другого місяця, що настає за звітним періодом;</w:t>
            </w:r>
          </w:p>
          <w:p w:rsidR="00743B03" w:rsidRPr="00743B03" w:rsidRDefault="00743B03" w:rsidP="00743B03">
            <w:pPr>
              <w:ind w:left="-68" w:right="34" w:firstLine="567"/>
              <w:jc w:val="both"/>
              <w:rPr>
                <w:rFonts w:ascii="Times New Roman" w:eastAsia="Times New Roman" w:hAnsi="Times New Roman" w:cs="Times New Roman"/>
                <w:sz w:val="20"/>
                <w:szCs w:val="20"/>
                <w:lang w:eastAsia="ru-RU"/>
              </w:rPr>
            </w:pPr>
            <w:r w:rsidRPr="00743B03">
              <w:rPr>
                <w:rFonts w:ascii="Times New Roman" w:eastAsia="Times New Roman" w:hAnsi="Times New Roman" w:cs="Times New Roman"/>
                <w:sz w:val="20"/>
                <w:szCs w:val="20"/>
                <w:lang w:eastAsia="ru-RU"/>
              </w:rPr>
              <w:t>- заключний звіт про обсяг виділених коштів та їх фактичне освоєння співвиконавцями Програми не пізніше ніж у тримісячний строк після закінчення встановленого строку виконання Програми;</w:t>
            </w:r>
          </w:p>
          <w:p w:rsidR="00743B03" w:rsidRPr="00743B03" w:rsidRDefault="00743B03" w:rsidP="00743B03">
            <w:pPr>
              <w:ind w:left="-68" w:right="34" w:firstLine="567"/>
              <w:jc w:val="both"/>
              <w:rPr>
                <w:rFonts w:ascii="Times New Roman" w:eastAsia="Times New Roman" w:hAnsi="Times New Roman" w:cs="Times New Roman"/>
                <w:sz w:val="20"/>
                <w:szCs w:val="20"/>
                <w:lang w:eastAsia="ru-RU"/>
              </w:rPr>
            </w:pPr>
            <w:r w:rsidRPr="00743B03">
              <w:rPr>
                <w:rFonts w:ascii="Times New Roman" w:eastAsia="Times New Roman" w:hAnsi="Times New Roman" w:cs="Times New Roman"/>
                <w:sz w:val="20"/>
                <w:szCs w:val="20"/>
                <w:lang w:eastAsia="ru-RU"/>
              </w:rPr>
              <w:t>- уточнені річні звіти про обсяг виділених коштів та їх фактичне освоєння співвиконавцями Програми (у разі потреби) до 01 квітня року, наступного за звітним.</w:t>
            </w:r>
          </w:p>
          <w:p w:rsidR="00743B03" w:rsidRDefault="00743B03" w:rsidP="00743B03">
            <w:pPr>
              <w:ind w:left="-68" w:right="34" w:firstLine="567"/>
              <w:jc w:val="both"/>
              <w:rPr>
                <w:rFonts w:ascii="Times New Roman" w:hAnsi="Times New Roman" w:cs="Times New Roman"/>
                <w:sz w:val="28"/>
                <w:szCs w:val="28"/>
              </w:rPr>
            </w:pPr>
            <w:r w:rsidRPr="00743B03">
              <w:rPr>
                <w:rFonts w:ascii="Times New Roman" w:eastAsia="Times New Roman" w:hAnsi="Times New Roman" w:cs="Times New Roman"/>
                <w:sz w:val="20"/>
                <w:szCs w:val="20"/>
                <w:lang w:eastAsia="ru-RU"/>
              </w:rPr>
              <w:t xml:space="preserve">Протягом дії воєнного стану та шести місяців після його завершення Департамент муніципальної безпеки виконавчого органу Київської міської ради (Київської міської державної адміністрації) не розміщує на Єдиному </w:t>
            </w:r>
            <w:proofErr w:type="spellStart"/>
            <w:r w:rsidRPr="00743B03">
              <w:rPr>
                <w:rFonts w:ascii="Times New Roman" w:eastAsia="Times New Roman" w:hAnsi="Times New Roman" w:cs="Times New Roman"/>
                <w:sz w:val="20"/>
                <w:szCs w:val="20"/>
                <w:lang w:eastAsia="ru-RU"/>
              </w:rPr>
              <w:t>вебпорталі</w:t>
            </w:r>
            <w:proofErr w:type="spellEnd"/>
            <w:r w:rsidRPr="00743B03">
              <w:rPr>
                <w:rFonts w:ascii="Times New Roman" w:eastAsia="Times New Roman" w:hAnsi="Times New Roman" w:cs="Times New Roman"/>
                <w:sz w:val="20"/>
                <w:szCs w:val="20"/>
                <w:lang w:eastAsia="ru-RU"/>
              </w:rPr>
              <w:t xml:space="preserve"> територіальної громади міста Києва річний (квартальний) звіт та заключний звіт про результати виконання Програми.».</w:t>
            </w:r>
          </w:p>
        </w:tc>
      </w:tr>
    </w:tbl>
    <w:p w:rsidR="00743B03" w:rsidRDefault="00743B03" w:rsidP="00F23FCD">
      <w:pPr>
        <w:spacing w:after="0"/>
        <w:ind w:left="-142"/>
        <w:jc w:val="center"/>
        <w:rPr>
          <w:rFonts w:ascii="Times New Roman" w:hAnsi="Times New Roman" w:cs="Times New Roman"/>
          <w:sz w:val="28"/>
          <w:szCs w:val="28"/>
        </w:rPr>
      </w:pPr>
    </w:p>
    <w:p w:rsidR="005365F0" w:rsidRDefault="005365F0" w:rsidP="00F23FCD">
      <w:pPr>
        <w:spacing w:after="0"/>
        <w:ind w:left="-142"/>
        <w:jc w:val="center"/>
        <w:rPr>
          <w:rFonts w:ascii="Times New Roman" w:hAnsi="Times New Roman" w:cs="Times New Roman"/>
          <w:sz w:val="28"/>
          <w:szCs w:val="28"/>
        </w:rPr>
      </w:pPr>
    </w:p>
    <w:p w:rsidR="005365F0" w:rsidRDefault="005365F0" w:rsidP="00F23FCD">
      <w:pPr>
        <w:spacing w:after="0"/>
        <w:ind w:left="-142"/>
        <w:jc w:val="center"/>
        <w:rPr>
          <w:rFonts w:ascii="Times New Roman" w:hAnsi="Times New Roman" w:cs="Times New Roman"/>
          <w:sz w:val="28"/>
          <w:szCs w:val="28"/>
        </w:rPr>
      </w:pPr>
    </w:p>
    <w:p w:rsidR="00204FBD" w:rsidRPr="00204FBD" w:rsidRDefault="005365F0" w:rsidP="001F47D7">
      <w:pPr>
        <w:spacing w:after="0"/>
        <w:ind w:left="-142"/>
        <w:jc w:val="center"/>
        <w:rPr>
          <w:rFonts w:ascii="Times New Roman" w:hAnsi="Times New Roman" w:cs="Times New Roman"/>
          <w:sz w:val="28"/>
          <w:szCs w:val="28"/>
        </w:rPr>
      </w:pPr>
      <w:r w:rsidRPr="005365F0">
        <w:rPr>
          <w:rFonts w:ascii="Times New Roman" w:hAnsi="Times New Roman" w:cs="Times New Roman"/>
          <w:sz w:val="28"/>
          <w:szCs w:val="28"/>
        </w:rPr>
        <w:t xml:space="preserve">        Володимир БОНДАРЕНКО</w:t>
      </w:r>
      <w:r w:rsidRPr="00204FBD">
        <w:rPr>
          <w:rFonts w:ascii="Times New Roman" w:hAnsi="Times New Roman" w:cs="Times New Roman"/>
          <w:sz w:val="28"/>
          <w:szCs w:val="28"/>
        </w:rPr>
        <w:t xml:space="preserve"> </w:t>
      </w:r>
    </w:p>
    <w:sectPr w:rsidR="00204FBD" w:rsidRPr="00204FBD" w:rsidSect="00E35058">
      <w:pgSz w:w="16838" w:h="11906" w:orient="landscape"/>
      <w:pgMar w:top="709" w:right="395" w:bottom="709" w:left="426" w:header="708" w:footer="708" w:gutter="0"/>
      <w:cols w:num="2" w:space="28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41C"/>
    <w:rsid w:val="00003C74"/>
    <w:rsid w:val="00031D60"/>
    <w:rsid w:val="00037454"/>
    <w:rsid w:val="00052055"/>
    <w:rsid w:val="000528EA"/>
    <w:rsid w:val="00071E24"/>
    <w:rsid w:val="000A3F67"/>
    <w:rsid w:val="000A701B"/>
    <w:rsid w:val="000B4651"/>
    <w:rsid w:val="000F3DCA"/>
    <w:rsid w:val="00102EFB"/>
    <w:rsid w:val="00115B3A"/>
    <w:rsid w:val="0014305A"/>
    <w:rsid w:val="0019009E"/>
    <w:rsid w:val="001B57EB"/>
    <w:rsid w:val="001B7A70"/>
    <w:rsid w:val="001C3674"/>
    <w:rsid w:val="001D70BE"/>
    <w:rsid w:val="001E3228"/>
    <w:rsid w:val="001E71C3"/>
    <w:rsid w:val="001F47D7"/>
    <w:rsid w:val="00203263"/>
    <w:rsid w:val="00204FBD"/>
    <w:rsid w:val="002129B8"/>
    <w:rsid w:val="002162C8"/>
    <w:rsid w:val="002176C3"/>
    <w:rsid w:val="00234CCC"/>
    <w:rsid w:val="00254B59"/>
    <w:rsid w:val="00267321"/>
    <w:rsid w:val="00282A20"/>
    <w:rsid w:val="002A0D5E"/>
    <w:rsid w:val="002C223E"/>
    <w:rsid w:val="00317B58"/>
    <w:rsid w:val="003652DC"/>
    <w:rsid w:val="00371DA6"/>
    <w:rsid w:val="00384C03"/>
    <w:rsid w:val="00387E0A"/>
    <w:rsid w:val="00397C2A"/>
    <w:rsid w:val="003B1AD3"/>
    <w:rsid w:val="003C0BCF"/>
    <w:rsid w:val="003F3AD7"/>
    <w:rsid w:val="00400228"/>
    <w:rsid w:val="00436412"/>
    <w:rsid w:val="00481397"/>
    <w:rsid w:val="00492D2E"/>
    <w:rsid w:val="004951ED"/>
    <w:rsid w:val="004A4A5F"/>
    <w:rsid w:val="004B184B"/>
    <w:rsid w:val="004B4579"/>
    <w:rsid w:val="004C15B7"/>
    <w:rsid w:val="004E1BF2"/>
    <w:rsid w:val="004E5037"/>
    <w:rsid w:val="004F0493"/>
    <w:rsid w:val="00531966"/>
    <w:rsid w:val="005365F0"/>
    <w:rsid w:val="0053725E"/>
    <w:rsid w:val="00581F96"/>
    <w:rsid w:val="005859DB"/>
    <w:rsid w:val="005A0ECF"/>
    <w:rsid w:val="005E043E"/>
    <w:rsid w:val="005E1F72"/>
    <w:rsid w:val="005F5B73"/>
    <w:rsid w:val="00600E4B"/>
    <w:rsid w:val="006100B7"/>
    <w:rsid w:val="0061040B"/>
    <w:rsid w:val="00620F82"/>
    <w:rsid w:val="00622FFE"/>
    <w:rsid w:val="00630879"/>
    <w:rsid w:val="00630F9F"/>
    <w:rsid w:val="006319A0"/>
    <w:rsid w:val="00654EF0"/>
    <w:rsid w:val="00683A74"/>
    <w:rsid w:val="006B541C"/>
    <w:rsid w:val="00723C0D"/>
    <w:rsid w:val="0072466E"/>
    <w:rsid w:val="00732892"/>
    <w:rsid w:val="007400E1"/>
    <w:rsid w:val="00743B03"/>
    <w:rsid w:val="00763B12"/>
    <w:rsid w:val="007A528D"/>
    <w:rsid w:val="007D03E3"/>
    <w:rsid w:val="007D1764"/>
    <w:rsid w:val="007F25B4"/>
    <w:rsid w:val="00811605"/>
    <w:rsid w:val="008224AA"/>
    <w:rsid w:val="00846A9E"/>
    <w:rsid w:val="008852BA"/>
    <w:rsid w:val="00893576"/>
    <w:rsid w:val="008937E1"/>
    <w:rsid w:val="00894B0C"/>
    <w:rsid w:val="008974BD"/>
    <w:rsid w:val="008A0A66"/>
    <w:rsid w:val="00930103"/>
    <w:rsid w:val="00946C9F"/>
    <w:rsid w:val="00955534"/>
    <w:rsid w:val="00965F74"/>
    <w:rsid w:val="00980F15"/>
    <w:rsid w:val="009E5839"/>
    <w:rsid w:val="009F32F9"/>
    <w:rsid w:val="00A17F8A"/>
    <w:rsid w:val="00A61734"/>
    <w:rsid w:val="00A844B1"/>
    <w:rsid w:val="00AB689E"/>
    <w:rsid w:val="00AC1AE8"/>
    <w:rsid w:val="00AF0AC0"/>
    <w:rsid w:val="00B13CBE"/>
    <w:rsid w:val="00B42A31"/>
    <w:rsid w:val="00B52AF7"/>
    <w:rsid w:val="00B60EF9"/>
    <w:rsid w:val="00BC593A"/>
    <w:rsid w:val="00BD41D4"/>
    <w:rsid w:val="00BD69DC"/>
    <w:rsid w:val="00BF3FEF"/>
    <w:rsid w:val="00C11EE5"/>
    <w:rsid w:val="00C145D9"/>
    <w:rsid w:val="00C26524"/>
    <w:rsid w:val="00C313FC"/>
    <w:rsid w:val="00C610E8"/>
    <w:rsid w:val="00C70BA0"/>
    <w:rsid w:val="00C9355A"/>
    <w:rsid w:val="00C95642"/>
    <w:rsid w:val="00C97EB9"/>
    <w:rsid w:val="00CA2F5C"/>
    <w:rsid w:val="00CB44D6"/>
    <w:rsid w:val="00CD0698"/>
    <w:rsid w:val="00CD2C10"/>
    <w:rsid w:val="00CD63FA"/>
    <w:rsid w:val="00CD6EA9"/>
    <w:rsid w:val="00CF5D11"/>
    <w:rsid w:val="00D2015A"/>
    <w:rsid w:val="00D27E32"/>
    <w:rsid w:val="00D35BBA"/>
    <w:rsid w:val="00D43C3E"/>
    <w:rsid w:val="00D44BFE"/>
    <w:rsid w:val="00D64D57"/>
    <w:rsid w:val="00D8017C"/>
    <w:rsid w:val="00D85499"/>
    <w:rsid w:val="00D90EFD"/>
    <w:rsid w:val="00DA3980"/>
    <w:rsid w:val="00DB650D"/>
    <w:rsid w:val="00DC5493"/>
    <w:rsid w:val="00DD0FC3"/>
    <w:rsid w:val="00DF3408"/>
    <w:rsid w:val="00E01BB5"/>
    <w:rsid w:val="00E062BF"/>
    <w:rsid w:val="00E12D4F"/>
    <w:rsid w:val="00E35058"/>
    <w:rsid w:val="00E727F4"/>
    <w:rsid w:val="00EA1B10"/>
    <w:rsid w:val="00EA2629"/>
    <w:rsid w:val="00EB36D1"/>
    <w:rsid w:val="00EB7A9E"/>
    <w:rsid w:val="00EC0F67"/>
    <w:rsid w:val="00F15AE8"/>
    <w:rsid w:val="00F23FCD"/>
    <w:rsid w:val="00F77D1A"/>
    <w:rsid w:val="00F878A0"/>
    <w:rsid w:val="00FC185D"/>
    <w:rsid w:val="00FE35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A0915"/>
  <w15:chartTrackingRefBased/>
  <w15:docId w15:val="{91294418-4CCA-4B24-B4FE-610205A4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8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6B541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6B5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04FBD"/>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04FBD"/>
    <w:rPr>
      <w:rFonts w:ascii="Segoe UI" w:hAnsi="Segoe UI" w:cs="Segoe UI"/>
      <w:sz w:val="18"/>
      <w:szCs w:val="18"/>
    </w:rPr>
  </w:style>
  <w:style w:type="paragraph" w:styleId="a6">
    <w:name w:val="Normal (Web)"/>
    <w:basedOn w:val="a"/>
    <w:uiPriority w:val="99"/>
    <w:unhideWhenUsed/>
    <w:rsid w:val="004B4579"/>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FontStyle15">
    <w:name w:val="Font Style15"/>
    <w:rsid w:val="00654EF0"/>
    <w:rPr>
      <w:rFonts w:ascii="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8AD10-8F8F-497C-B7C2-C71B3D9E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16835</Words>
  <Characters>9597</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Ларін Дмитро Вікторович</dc:creator>
  <cp:keywords/>
  <dc:description/>
  <cp:lastModifiedBy>Володимир В. Бондаренко</cp:lastModifiedBy>
  <cp:revision>7</cp:revision>
  <cp:lastPrinted>2023-11-28T14:47:00Z</cp:lastPrinted>
  <dcterms:created xsi:type="dcterms:W3CDTF">2023-11-20T10:04:00Z</dcterms:created>
  <dcterms:modified xsi:type="dcterms:W3CDTF">2023-11-28T14:55:00Z</dcterms:modified>
</cp:coreProperties>
</file>