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381AD" w14:textId="77777777" w:rsidR="00B153DC" w:rsidRPr="00356F5B" w:rsidRDefault="00B153DC">
      <w:pPr>
        <w:rPr>
          <w:rFonts w:ascii="Times New Roman" w:eastAsia="Times New Roman" w:hAnsi="Times New Roman" w:cs="Times New Roman"/>
          <w:color w:val="000000"/>
          <w:kern w:val="0"/>
          <w:sz w:val="28"/>
          <w:szCs w:val="28"/>
          <w:lang w:eastAsia="en-GB"/>
          <w14:ligatures w14:val="none"/>
        </w:rPr>
      </w:pPr>
    </w:p>
    <w:p w14:paraId="776FF3FE" w14:textId="5C20D047" w:rsidR="00755C2B" w:rsidRPr="00356F5B" w:rsidRDefault="00755C2B" w:rsidP="00755C2B">
      <w:pPr>
        <w:ind w:left="4678" w:hanging="142"/>
        <w:jc w:val="both"/>
        <w:rPr>
          <w:rStyle w:val="rvts23"/>
          <w:rFonts w:ascii="Times New Roman" w:hAnsi="Times New Roman" w:cs="Times New Roman"/>
          <w:sz w:val="28"/>
          <w:szCs w:val="28"/>
          <w:lang w:eastAsia="ru-RU"/>
        </w:rPr>
      </w:pPr>
      <w:r w:rsidRPr="00356F5B">
        <w:rPr>
          <w:rStyle w:val="rvts23"/>
          <w:rFonts w:ascii="Times New Roman" w:hAnsi="Times New Roman" w:cs="Times New Roman"/>
          <w:sz w:val="28"/>
          <w:szCs w:val="28"/>
          <w:lang w:eastAsia="ru-RU"/>
        </w:rPr>
        <w:t xml:space="preserve">  Додаток</w:t>
      </w:r>
    </w:p>
    <w:p w14:paraId="1CF05216" w14:textId="77777777" w:rsidR="00755C2B" w:rsidRPr="00356F5B" w:rsidRDefault="00755C2B" w:rsidP="00755C2B">
      <w:pPr>
        <w:ind w:left="4678"/>
        <w:rPr>
          <w:rStyle w:val="rvts23"/>
          <w:rFonts w:ascii="Times New Roman" w:hAnsi="Times New Roman" w:cs="Times New Roman"/>
          <w:sz w:val="28"/>
          <w:szCs w:val="28"/>
          <w:lang w:eastAsia="ru-RU"/>
        </w:rPr>
      </w:pPr>
      <w:r w:rsidRPr="00356F5B">
        <w:rPr>
          <w:rStyle w:val="rvts23"/>
          <w:rFonts w:ascii="Times New Roman" w:hAnsi="Times New Roman" w:cs="Times New Roman"/>
          <w:sz w:val="28"/>
          <w:szCs w:val="28"/>
          <w:lang w:eastAsia="ru-RU"/>
        </w:rPr>
        <w:t>до рішення Київської міської ради</w:t>
      </w:r>
    </w:p>
    <w:p w14:paraId="5D6DD531" w14:textId="5BEAD624" w:rsidR="00755C2B" w:rsidRPr="00356F5B" w:rsidRDefault="00755C2B" w:rsidP="00755C2B">
      <w:pPr>
        <w:ind w:firstLine="720"/>
        <w:jc w:val="both"/>
        <w:rPr>
          <w:rFonts w:ascii="Times New Roman" w:eastAsia="Times New Roman" w:hAnsi="Times New Roman" w:cs="Times New Roman"/>
          <w:b/>
          <w:bCs/>
          <w:color w:val="000000"/>
          <w:kern w:val="0"/>
          <w:sz w:val="28"/>
          <w:szCs w:val="28"/>
          <w:lang w:eastAsia="en-GB"/>
          <w14:ligatures w14:val="none"/>
        </w:rPr>
      </w:pPr>
      <w:r w:rsidRPr="00356F5B">
        <w:rPr>
          <w:rStyle w:val="rvts23"/>
          <w:rFonts w:ascii="Times New Roman" w:hAnsi="Times New Roman" w:cs="Times New Roman"/>
          <w:sz w:val="28"/>
          <w:szCs w:val="28"/>
          <w:lang w:eastAsia="ru-RU"/>
        </w:rPr>
        <w:tab/>
      </w:r>
      <w:r w:rsidRPr="00356F5B">
        <w:rPr>
          <w:rStyle w:val="rvts23"/>
          <w:rFonts w:ascii="Times New Roman" w:hAnsi="Times New Roman" w:cs="Times New Roman"/>
          <w:sz w:val="28"/>
          <w:szCs w:val="28"/>
          <w:lang w:eastAsia="ru-RU"/>
        </w:rPr>
        <w:tab/>
      </w:r>
      <w:r w:rsidRPr="00356F5B">
        <w:rPr>
          <w:rStyle w:val="rvts23"/>
          <w:rFonts w:ascii="Times New Roman" w:hAnsi="Times New Roman" w:cs="Times New Roman"/>
          <w:sz w:val="28"/>
          <w:szCs w:val="28"/>
          <w:lang w:eastAsia="ru-RU"/>
        </w:rPr>
        <w:tab/>
      </w:r>
      <w:r w:rsidRPr="00356F5B">
        <w:rPr>
          <w:rStyle w:val="rvts23"/>
          <w:rFonts w:ascii="Times New Roman" w:hAnsi="Times New Roman" w:cs="Times New Roman"/>
          <w:sz w:val="28"/>
          <w:szCs w:val="28"/>
          <w:lang w:eastAsia="ru-RU"/>
        </w:rPr>
        <w:tab/>
      </w:r>
      <w:r w:rsidRPr="00356F5B">
        <w:rPr>
          <w:rStyle w:val="rvts23"/>
          <w:rFonts w:ascii="Times New Roman" w:hAnsi="Times New Roman" w:cs="Times New Roman"/>
          <w:sz w:val="28"/>
          <w:szCs w:val="28"/>
          <w:lang w:eastAsia="ru-RU"/>
        </w:rPr>
        <w:tab/>
        <w:t xml:space="preserve">     від ___________ № _____________</w:t>
      </w:r>
    </w:p>
    <w:p w14:paraId="4EB41E70" w14:textId="77777777" w:rsidR="00755C2B" w:rsidRPr="00356F5B" w:rsidRDefault="00755C2B">
      <w:pPr>
        <w:ind w:firstLine="720"/>
        <w:jc w:val="both"/>
        <w:rPr>
          <w:rFonts w:ascii="Times New Roman" w:eastAsia="Times New Roman" w:hAnsi="Times New Roman" w:cs="Times New Roman"/>
          <w:b/>
          <w:bCs/>
          <w:color w:val="000000"/>
          <w:kern w:val="0"/>
          <w:sz w:val="28"/>
          <w:szCs w:val="28"/>
          <w:lang w:eastAsia="en-GB"/>
          <w14:ligatures w14:val="none"/>
        </w:rPr>
      </w:pPr>
    </w:p>
    <w:p w14:paraId="72027FD1" w14:textId="412951FF" w:rsidR="00755C2B" w:rsidRPr="00356F5B" w:rsidRDefault="00755C2B" w:rsidP="00755C2B">
      <w:pPr>
        <w:jc w:val="center"/>
        <w:rPr>
          <w:rFonts w:ascii="Times New Roman" w:eastAsia="Times New Roman" w:hAnsi="Times New Roman" w:cs="Times New Roman"/>
          <w:b/>
          <w:bCs/>
          <w:color w:val="000000"/>
          <w:kern w:val="0"/>
          <w:sz w:val="28"/>
          <w:szCs w:val="28"/>
          <w:lang w:eastAsia="en-GB"/>
          <w14:ligatures w14:val="none"/>
        </w:rPr>
      </w:pPr>
      <w:r w:rsidRPr="00356F5B">
        <w:rPr>
          <w:rFonts w:ascii="Times New Roman" w:eastAsia="Times New Roman" w:hAnsi="Times New Roman" w:cs="Times New Roman"/>
          <w:b/>
          <w:bCs/>
          <w:color w:val="000000"/>
          <w:kern w:val="0"/>
          <w:sz w:val="28"/>
          <w:szCs w:val="28"/>
          <w:lang w:eastAsia="en-GB"/>
          <w14:ligatures w14:val="none"/>
        </w:rPr>
        <w:t>З</w:t>
      </w:r>
      <w:r w:rsidR="00FF2428" w:rsidRPr="00356F5B">
        <w:rPr>
          <w:rFonts w:ascii="Times New Roman" w:eastAsia="Times New Roman" w:hAnsi="Times New Roman" w:cs="Times New Roman"/>
          <w:b/>
          <w:bCs/>
          <w:color w:val="000000"/>
          <w:kern w:val="0"/>
          <w:sz w:val="28"/>
          <w:szCs w:val="28"/>
          <w:lang w:eastAsia="en-GB"/>
          <w14:ligatures w14:val="none"/>
        </w:rPr>
        <w:t>віт</w:t>
      </w:r>
    </w:p>
    <w:p w14:paraId="1E8B6989" w14:textId="295C4D6D" w:rsidR="00B153DC" w:rsidRPr="00356F5B" w:rsidRDefault="00FF2428" w:rsidP="00755C2B">
      <w:pPr>
        <w:jc w:val="center"/>
      </w:pPr>
      <w:r w:rsidRPr="00356F5B">
        <w:rPr>
          <w:rFonts w:ascii="Times New Roman" w:eastAsia="Times New Roman" w:hAnsi="Times New Roman" w:cs="Times New Roman"/>
          <w:b/>
          <w:bCs/>
          <w:color w:val="000000"/>
          <w:kern w:val="0"/>
          <w:sz w:val="28"/>
          <w:szCs w:val="28"/>
          <w:lang w:eastAsia="en-GB"/>
          <w14:ligatures w14:val="none"/>
        </w:rPr>
        <w:t>тимчасової контрольної комісії Київської міської ради з питань перевірки діяльності ПрАТ «ХК «Київміськбуд», а також інформації, оприлюдненої у журналістських розслідуваннях</w:t>
      </w:r>
    </w:p>
    <w:p w14:paraId="655C5CF2" w14:textId="77777777" w:rsidR="00B153DC" w:rsidRPr="00356F5B" w:rsidRDefault="00FF2428">
      <w:pPr>
        <w:ind w:firstLine="720"/>
        <w:jc w:val="both"/>
      </w:pPr>
      <w:r w:rsidRPr="00356F5B">
        <w:rPr>
          <w:rFonts w:ascii="Times New Roman" w:eastAsia="Times New Roman" w:hAnsi="Times New Roman" w:cs="Times New Roman"/>
          <w:color w:val="000000"/>
          <w:kern w:val="0"/>
          <w:sz w:val="28"/>
          <w:szCs w:val="28"/>
          <w:lang w:eastAsia="en-GB"/>
          <w14:ligatures w14:val="none"/>
        </w:rPr>
        <w:t> </w:t>
      </w:r>
    </w:p>
    <w:p w14:paraId="2366A840" w14:textId="6A6F4775" w:rsidR="00B153DC" w:rsidRPr="00356F5B" w:rsidRDefault="00FF2428">
      <w:pPr>
        <w:ind w:firstLine="720"/>
        <w:jc w:val="both"/>
      </w:pPr>
      <w:r w:rsidRPr="00356F5B">
        <w:rPr>
          <w:rFonts w:ascii="Times New Roman" w:eastAsia="Times New Roman" w:hAnsi="Times New Roman" w:cs="Times New Roman"/>
          <w:color w:val="000000"/>
          <w:kern w:val="0"/>
          <w:sz w:val="28"/>
          <w:szCs w:val="28"/>
          <w:lang w:eastAsia="en-GB"/>
          <w14:ligatures w14:val="none"/>
        </w:rPr>
        <w:t xml:space="preserve">Тимчасову контрольну комісію Київської міської ради з питань перевірки діяльності ПрАТ «ХК «Київміськбуд», а також інформації, оприлюдненої у журналістських розслідуваннях </w:t>
      </w:r>
      <w:r w:rsidR="00755C2B" w:rsidRPr="00356F5B">
        <w:rPr>
          <w:rFonts w:ascii="Times New Roman" w:eastAsia="Times New Roman" w:hAnsi="Times New Roman" w:cs="Times New Roman"/>
          <w:color w:val="000000"/>
          <w:kern w:val="0"/>
          <w:sz w:val="28"/>
          <w:szCs w:val="28"/>
          <w:lang w:eastAsia="en-GB"/>
          <w14:ligatures w14:val="none"/>
        </w:rPr>
        <w:t xml:space="preserve">(далі - тимчасова контрольна комісія) </w:t>
      </w:r>
      <w:r w:rsidRPr="00356F5B">
        <w:rPr>
          <w:rFonts w:ascii="Times New Roman" w:eastAsia="Times New Roman" w:hAnsi="Times New Roman" w:cs="Times New Roman"/>
          <w:color w:val="000000"/>
          <w:kern w:val="0"/>
          <w:sz w:val="28"/>
          <w:szCs w:val="28"/>
          <w:lang w:eastAsia="en-GB"/>
          <w14:ligatures w14:val="none"/>
        </w:rPr>
        <w:t>створено рішенням Київської міської ради від 25.05.2023 № 6483/6524.</w:t>
      </w:r>
    </w:p>
    <w:p w14:paraId="34516E27" w14:textId="77777777" w:rsidR="00B153DC" w:rsidRPr="00356F5B" w:rsidRDefault="00FF2428">
      <w:pPr>
        <w:ind w:firstLine="720"/>
        <w:jc w:val="both"/>
      </w:pPr>
      <w:r w:rsidRPr="00356F5B">
        <w:rPr>
          <w:rFonts w:ascii="Times New Roman" w:eastAsia="Times New Roman" w:hAnsi="Times New Roman" w:cs="Times New Roman"/>
          <w:color w:val="000000"/>
          <w:kern w:val="0"/>
          <w:sz w:val="28"/>
          <w:szCs w:val="28"/>
          <w:lang w:eastAsia="en-GB"/>
          <w14:ligatures w14:val="none"/>
        </w:rPr>
        <w:t> </w:t>
      </w:r>
    </w:p>
    <w:p w14:paraId="32FB8BE9" w14:textId="440BB855" w:rsidR="00B153DC" w:rsidRPr="00356F5B" w:rsidRDefault="00755C2B">
      <w:pPr>
        <w:ind w:firstLine="720"/>
        <w:jc w:val="both"/>
      </w:pPr>
      <w:r w:rsidRPr="00356F5B">
        <w:rPr>
          <w:rFonts w:ascii="Times New Roman" w:eastAsia="Times New Roman" w:hAnsi="Times New Roman" w:cs="Times New Roman"/>
          <w:b/>
          <w:bCs/>
          <w:color w:val="000000"/>
          <w:kern w:val="0"/>
          <w:sz w:val="28"/>
          <w:szCs w:val="28"/>
          <w:lang w:eastAsia="en-GB"/>
          <w14:ligatures w14:val="none"/>
        </w:rPr>
        <w:t>Основними з</w:t>
      </w:r>
      <w:r w:rsidR="00FF2428" w:rsidRPr="00356F5B">
        <w:rPr>
          <w:rFonts w:ascii="Times New Roman" w:eastAsia="Times New Roman" w:hAnsi="Times New Roman" w:cs="Times New Roman"/>
          <w:b/>
          <w:bCs/>
          <w:color w:val="000000"/>
          <w:kern w:val="0"/>
          <w:sz w:val="28"/>
          <w:szCs w:val="28"/>
          <w:lang w:eastAsia="en-GB"/>
          <w14:ligatures w14:val="none"/>
        </w:rPr>
        <w:t>авданням тимчасової контрольної комісії визначено:</w:t>
      </w:r>
    </w:p>
    <w:p w14:paraId="773336E4" w14:textId="77777777" w:rsidR="00B153DC" w:rsidRPr="00356F5B" w:rsidRDefault="00B153DC">
      <w:pPr>
        <w:jc w:val="both"/>
        <w:rPr>
          <w:rFonts w:ascii="Times New Roman" w:eastAsia="Times New Roman" w:hAnsi="Times New Roman" w:cs="Times New Roman"/>
          <w:color w:val="000000"/>
          <w:kern w:val="0"/>
          <w:sz w:val="28"/>
          <w:szCs w:val="28"/>
          <w:lang w:eastAsia="en-GB"/>
          <w14:ligatures w14:val="none"/>
        </w:rPr>
      </w:pPr>
    </w:p>
    <w:p w14:paraId="02CDD373" w14:textId="32F6AB70" w:rsidR="00B153DC" w:rsidRPr="00356F5B" w:rsidRDefault="00755C2B">
      <w:pPr>
        <w:pStyle w:val="tj"/>
        <w:spacing w:beforeAutospacing="0" w:after="165" w:afterAutospacing="0"/>
        <w:jc w:val="both"/>
      </w:pPr>
      <w:r w:rsidRPr="00356F5B">
        <w:rPr>
          <w:sz w:val="28"/>
          <w:szCs w:val="28"/>
        </w:rPr>
        <w:tab/>
      </w:r>
      <w:r w:rsidR="00FF2428" w:rsidRPr="00356F5B">
        <w:rPr>
          <w:sz w:val="28"/>
          <w:szCs w:val="28"/>
        </w:rPr>
        <w:t>- проведення перевірки діяльності (у тому числі і фінансово-господарської) ПрАТ «ХК «Київміськбуд", а також інформації, оприлюдненої 19 травня 2023 року в журналістському розслідуванні «Президентський люкс</w:t>
      </w:r>
      <w:r w:rsidR="00DA552D" w:rsidRPr="00356F5B">
        <w:rPr>
          <w:sz w:val="28"/>
          <w:szCs w:val="28"/>
        </w:rPr>
        <w:t>» Анастасії Усенко (Bihus.info);</w:t>
      </w:r>
    </w:p>
    <w:p w14:paraId="2D3597C1" w14:textId="6EB88D62" w:rsidR="00B153DC" w:rsidRPr="00356F5B" w:rsidRDefault="00755C2B">
      <w:pPr>
        <w:pStyle w:val="tj"/>
        <w:spacing w:beforeAutospacing="0" w:after="165" w:afterAutospacing="0"/>
        <w:jc w:val="both"/>
      </w:pPr>
      <w:r w:rsidRPr="00356F5B">
        <w:rPr>
          <w:sz w:val="28"/>
          <w:szCs w:val="28"/>
        </w:rPr>
        <w:tab/>
      </w:r>
      <w:r w:rsidR="00FF2428" w:rsidRPr="00356F5B">
        <w:rPr>
          <w:sz w:val="28"/>
          <w:szCs w:val="28"/>
        </w:rPr>
        <w:t>- проведення перевірки інформації, оприлюдненої в інших відкритих джерелах щодо дія</w:t>
      </w:r>
      <w:r w:rsidR="00DA552D" w:rsidRPr="00356F5B">
        <w:rPr>
          <w:sz w:val="28"/>
          <w:szCs w:val="28"/>
        </w:rPr>
        <w:t>льності ПрАТ «ХК «Київміськбуд»;</w:t>
      </w:r>
    </w:p>
    <w:p w14:paraId="7C0B8AB3" w14:textId="2D3AE2B1" w:rsidR="00B153DC" w:rsidRPr="00356F5B" w:rsidRDefault="00755C2B">
      <w:pPr>
        <w:pStyle w:val="tj"/>
        <w:spacing w:beforeAutospacing="0" w:after="165" w:afterAutospacing="0"/>
        <w:jc w:val="both"/>
      </w:pPr>
      <w:r w:rsidRPr="00356F5B">
        <w:rPr>
          <w:sz w:val="28"/>
          <w:szCs w:val="28"/>
        </w:rPr>
        <w:tab/>
      </w:r>
      <w:r w:rsidR="00FF2428" w:rsidRPr="00356F5B">
        <w:rPr>
          <w:sz w:val="28"/>
          <w:szCs w:val="28"/>
        </w:rPr>
        <w:t>- внесення пропозицій стосовно діяльності ПрАТ «ХК «Київміськбуд» як акціонерного товариства, частка територіальної громади міста Києва</w:t>
      </w:r>
      <w:r w:rsidR="00DA552D" w:rsidRPr="00356F5B">
        <w:rPr>
          <w:sz w:val="28"/>
          <w:szCs w:val="28"/>
        </w:rPr>
        <w:t xml:space="preserve"> якого </w:t>
      </w:r>
      <w:r w:rsidR="00FF2428" w:rsidRPr="00356F5B">
        <w:rPr>
          <w:sz w:val="28"/>
          <w:szCs w:val="28"/>
        </w:rPr>
        <w:t xml:space="preserve"> у статутному капіталі с</w:t>
      </w:r>
      <w:r w:rsidR="00DA552D" w:rsidRPr="00356F5B">
        <w:rPr>
          <w:sz w:val="28"/>
          <w:szCs w:val="28"/>
        </w:rPr>
        <w:t>кладає</w:t>
      </w:r>
      <w:r w:rsidR="00FF2428" w:rsidRPr="00356F5B">
        <w:rPr>
          <w:sz w:val="28"/>
          <w:szCs w:val="28"/>
        </w:rPr>
        <w:t xml:space="preserve"> 80 відсотків, що становить 52910760 штук простих іменних акцій загальною номінальною вартістю 13227690 грн.</w:t>
      </w:r>
    </w:p>
    <w:p w14:paraId="71F44387" w14:textId="26055459" w:rsidR="008F3C82" w:rsidRPr="00356F5B" w:rsidRDefault="00755C2B">
      <w:pPr>
        <w:pStyle w:val="tj"/>
        <w:spacing w:beforeAutospacing="0" w:after="165" w:afterAutospacing="0"/>
        <w:ind w:firstLine="720"/>
        <w:jc w:val="both"/>
        <w:rPr>
          <w:color w:val="000000"/>
          <w:sz w:val="28"/>
          <w:szCs w:val="28"/>
          <w:lang w:eastAsia="en-GB"/>
        </w:rPr>
      </w:pPr>
      <w:r w:rsidRPr="00356F5B">
        <w:rPr>
          <w:color w:val="000000"/>
          <w:sz w:val="28"/>
          <w:szCs w:val="28"/>
          <w:lang w:eastAsia="en-GB"/>
        </w:rPr>
        <w:t xml:space="preserve">Тимчасова контрольна комісія  створена у складі </w:t>
      </w:r>
      <w:r w:rsidR="00FF2428" w:rsidRPr="00356F5B">
        <w:rPr>
          <w:color w:val="000000"/>
          <w:sz w:val="28"/>
          <w:szCs w:val="28"/>
          <w:lang w:eastAsia="en-GB"/>
        </w:rPr>
        <w:t>16 депутатів Київської міської ради</w:t>
      </w:r>
      <w:r w:rsidR="008F3C82" w:rsidRPr="00356F5B">
        <w:rPr>
          <w:color w:val="000000"/>
          <w:sz w:val="28"/>
          <w:szCs w:val="28"/>
          <w:lang w:eastAsia="en-GB"/>
        </w:rPr>
        <w:t>. Головою тимчасової контрольної комісії обрано депутатку Київської міської ради Смірнову Мирославу Михайлівну. До складу  тимчасової контрольної комісії входять депутати Київської міської ради:</w:t>
      </w:r>
      <w:r w:rsidR="00FF2428" w:rsidRPr="00356F5B">
        <w:rPr>
          <w:color w:val="000000"/>
          <w:sz w:val="28"/>
          <w:szCs w:val="28"/>
          <w:lang w:eastAsia="en-GB"/>
        </w:rPr>
        <w:t xml:space="preserve"> Ковалевська Людмила Олександрівна, Ясинський Георгій Ігорович, Тихонович Юрій Станіславович, Ємець Леонід Олександрович, </w:t>
      </w:r>
      <w:proofErr w:type="spellStart"/>
      <w:r w:rsidR="00FF2428" w:rsidRPr="00356F5B">
        <w:rPr>
          <w:color w:val="000000"/>
          <w:sz w:val="28"/>
          <w:szCs w:val="28"/>
          <w:lang w:eastAsia="en-GB"/>
        </w:rPr>
        <w:t>Маленко</w:t>
      </w:r>
      <w:proofErr w:type="spellEnd"/>
      <w:r w:rsidR="00FF2428" w:rsidRPr="00356F5B">
        <w:rPr>
          <w:color w:val="000000"/>
          <w:sz w:val="28"/>
          <w:szCs w:val="28"/>
          <w:lang w:eastAsia="en-GB"/>
        </w:rPr>
        <w:t xml:space="preserve"> Григорій Сергійович, Ярош Зоя Володимирівна, Марченко Олена Львівна, Нестор Віталій Романович, </w:t>
      </w:r>
      <w:proofErr w:type="spellStart"/>
      <w:r w:rsidR="00FF2428" w:rsidRPr="00356F5B">
        <w:rPr>
          <w:color w:val="000000"/>
          <w:sz w:val="28"/>
          <w:szCs w:val="28"/>
          <w:lang w:eastAsia="en-GB"/>
        </w:rPr>
        <w:t>Андронов</w:t>
      </w:r>
      <w:proofErr w:type="spellEnd"/>
      <w:r w:rsidR="00FF2428" w:rsidRPr="00356F5B">
        <w:rPr>
          <w:color w:val="000000"/>
          <w:sz w:val="28"/>
          <w:szCs w:val="28"/>
          <w:lang w:eastAsia="en-GB"/>
        </w:rPr>
        <w:t xml:space="preserve"> Владислав Євгенович,</w:t>
      </w:r>
      <w:r w:rsidR="00DA552D" w:rsidRPr="00356F5B">
        <w:rPr>
          <w:color w:val="000000"/>
          <w:sz w:val="28"/>
          <w:szCs w:val="28"/>
          <w:lang w:eastAsia="en-GB"/>
        </w:rPr>
        <w:t xml:space="preserve"> </w:t>
      </w:r>
      <w:r w:rsidR="00FF2428" w:rsidRPr="00356F5B">
        <w:rPr>
          <w:color w:val="000000"/>
          <w:sz w:val="28"/>
          <w:szCs w:val="28"/>
          <w:lang w:eastAsia="en-GB"/>
        </w:rPr>
        <w:t xml:space="preserve">Терентьєв Михайло Олександрович, </w:t>
      </w:r>
      <w:proofErr w:type="spellStart"/>
      <w:r w:rsidR="00FF2428" w:rsidRPr="00356F5B">
        <w:rPr>
          <w:color w:val="000000"/>
          <w:sz w:val="28"/>
          <w:szCs w:val="28"/>
          <w:lang w:eastAsia="en-GB"/>
        </w:rPr>
        <w:t>Банас</w:t>
      </w:r>
      <w:proofErr w:type="spellEnd"/>
      <w:r w:rsidR="00FF2428" w:rsidRPr="00356F5B">
        <w:rPr>
          <w:color w:val="000000"/>
          <w:sz w:val="28"/>
          <w:szCs w:val="28"/>
          <w:lang w:eastAsia="en-GB"/>
        </w:rPr>
        <w:t xml:space="preserve"> Дмитро Миколайович, </w:t>
      </w:r>
      <w:proofErr w:type="spellStart"/>
      <w:r w:rsidR="00FF2428" w:rsidRPr="00356F5B">
        <w:rPr>
          <w:color w:val="000000"/>
          <w:sz w:val="28"/>
          <w:szCs w:val="28"/>
          <w:lang w:eastAsia="en-GB"/>
        </w:rPr>
        <w:t>Конопелько</w:t>
      </w:r>
      <w:proofErr w:type="spellEnd"/>
      <w:r w:rsidR="00FF2428" w:rsidRPr="00356F5B">
        <w:rPr>
          <w:color w:val="000000"/>
          <w:sz w:val="28"/>
          <w:szCs w:val="28"/>
          <w:lang w:eastAsia="en-GB"/>
        </w:rPr>
        <w:t xml:space="preserve"> Микола Володимирович, </w:t>
      </w:r>
      <w:proofErr w:type="spellStart"/>
      <w:r w:rsidR="00FF2428" w:rsidRPr="00356F5B">
        <w:rPr>
          <w:color w:val="000000"/>
          <w:sz w:val="28"/>
          <w:szCs w:val="28"/>
          <w:lang w:eastAsia="en-GB"/>
        </w:rPr>
        <w:t>Пашинна</w:t>
      </w:r>
      <w:proofErr w:type="spellEnd"/>
      <w:r w:rsidR="00FF2428" w:rsidRPr="00356F5B">
        <w:rPr>
          <w:color w:val="000000"/>
          <w:sz w:val="28"/>
          <w:szCs w:val="28"/>
          <w:lang w:eastAsia="en-GB"/>
        </w:rPr>
        <w:t xml:space="preserve"> Лілія Василівна, </w:t>
      </w:r>
      <w:proofErr w:type="spellStart"/>
      <w:r w:rsidR="00FF2428" w:rsidRPr="00356F5B">
        <w:rPr>
          <w:color w:val="000000"/>
          <w:sz w:val="28"/>
          <w:szCs w:val="28"/>
          <w:lang w:eastAsia="en-GB"/>
        </w:rPr>
        <w:t>Товмасян</w:t>
      </w:r>
      <w:proofErr w:type="spellEnd"/>
      <w:r w:rsidR="00FF2428" w:rsidRPr="00356F5B">
        <w:rPr>
          <w:color w:val="000000"/>
          <w:sz w:val="28"/>
          <w:szCs w:val="28"/>
          <w:lang w:eastAsia="en-GB"/>
        </w:rPr>
        <w:t xml:space="preserve"> </w:t>
      </w:r>
      <w:proofErr w:type="spellStart"/>
      <w:r w:rsidR="00FF2428" w:rsidRPr="00356F5B">
        <w:rPr>
          <w:color w:val="000000"/>
          <w:sz w:val="28"/>
          <w:szCs w:val="28"/>
          <w:lang w:eastAsia="en-GB"/>
        </w:rPr>
        <w:t>Ваган</w:t>
      </w:r>
      <w:proofErr w:type="spellEnd"/>
      <w:r w:rsidR="00FF2428" w:rsidRPr="00356F5B">
        <w:rPr>
          <w:color w:val="000000"/>
          <w:sz w:val="28"/>
          <w:szCs w:val="28"/>
          <w:lang w:eastAsia="en-GB"/>
        </w:rPr>
        <w:t xml:space="preserve"> Робертович, Ярошенко Роман Валерійович</w:t>
      </w:r>
      <w:r w:rsidR="008F3C82" w:rsidRPr="00356F5B">
        <w:rPr>
          <w:color w:val="000000"/>
          <w:sz w:val="28"/>
          <w:szCs w:val="28"/>
          <w:lang w:eastAsia="en-GB"/>
        </w:rPr>
        <w:t>.</w:t>
      </w:r>
    </w:p>
    <w:p w14:paraId="3E97AF39" w14:textId="5D16A57F" w:rsidR="00B153DC" w:rsidRPr="00356F5B" w:rsidRDefault="00FF2428" w:rsidP="00FF2428">
      <w:pPr>
        <w:spacing w:after="240"/>
        <w:contextualSpacing/>
        <w:jc w:val="center"/>
      </w:pPr>
      <w:r w:rsidRPr="00356F5B">
        <w:rPr>
          <w:rFonts w:ascii="Times New Roman" w:eastAsia="Times New Roman" w:hAnsi="Times New Roman" w:cs="Times New Roman"/>
          <w:b/>
          <w:bCs/>
          <w:color w:val="000000"/>
          <w:kern w:val="0"/>
          <w:sz w:val="28"/>
          <w:szCs w:val="28"/>
          <w:lang w:eastAsia="en-GB"/>
          <w14:ligatures w14:val="none"/>
        </w:rPr>
        <w:t xml:space="preserve">Факти й обставини, які стали підставою для створення </w:t>
      </w:r>
      <w:r w:rsidR="00DA552D" w:rsidRPr="00356F5B">
        <w:rPr>
          <w:rFonts w:ascii="Times New Roman" w:eastAsia="Times New Roman" w:hAnsi="Times New Roman" w:cs="Times New Roman"/>
          <w:b/>
          <w:bCs/>
          <w:color w:val="000000"/>
          <w:kern w:val="0"/>
          <w:sz w:val="28"/>
          <w:szCs w:val="28"/>
          <w:lang w:eastAsia="en-GB"/>
          <w14:ligatures w14:val="none"/>
        </w:rPr>
        <w:t xml:space="preserve"> тимчасової контрольної </w:t>
      </w:r>
      <w:r w:rsidRPr="00356F5B">
        <w:rPr>
          <w:rFonts w:ascii="Times New Roman" w:eastAsia="Times New Roman" w:hAnsi="Times New Roman" w:cs="Times New Roman"/>
          <w:b/>
          <w:bCs/>
          <w:color w:val="000000"/>
          <w:kern w:val="0"/>
          <w:sz w:val="28"/>
          <w:szCs w:val="28"/>
          <w:lang w:eastAsia="en-GB"/>
          <w14:ligatures w14:val="none"/>
        </w:rPr>
        <w:t>комісії</w:t>
      </w:r>
    </w:p>
    <w:p w14:paraId="3FE43C48" w14:textId="77777777" w:rsidR="00FF2428" w:rsidRPr="00356F5B" w:rsidRDefault="00FF2428">
      <w:pPr>
        <w:spacing w:after="240"/>
        <w:ind w:firstLine="720"/>
        <w:contextualSpacing/>
        <w:jc w:val="both"/>
        <w:rPr>
          <w:rFonts w:ascii="Times New Roman" w:eastAsia="Times New Roman" w:hAnsi="Times New Roman" w:cs="Times New Roman"/>
          <w:color w:val="000000"/>
          <w:kern w:val="0"/>
          <w:sz w:val="28"/>
          <w:szCs w:val="28"/>
          <w:lang w:eastAsia="en-GB"/>
          <w14:ligatures w14:val="none"/>
        </w:rPr>
      </w:pPr>
    </w:p>
    <w:p w14:paraId="5C29F094" w14:textId="404174F7" w:rsidR="00B153DC" w:rsidRPr="00356F5B" w:rsidRDefault="00FF2428">
      <w:pPr>
        <w:spacing w:after="240"/>
        <w:ind w:firstLine="720"/>
        <w:contextualSpacing/>
        <w:jc w:val="both"/>
      </w:pPr>
      <w:r w:rsidRPr="00356F5B">
        <w:rPr>
          <w:rFonts w:ascii="Times New Roman" w:eastAsia="Times New Roman" w:hAnsi="Times New Roman" w:cs="Times New Roman"/>
          <w:color w:val="000000"/>
          <w:kern w:val="0"/>
          <w:sz w:val="28"/>
          <w:szCs w:val="28"/>
          <w:lang w:eastAsia="en-GB"/>
          <w14:ligatures w14:val="none"/>
        </w:rPr>
        <w:t xml:space="preserve">18.05.2023 в мережі </w:t>
      </w:r>
      <w:proofErr w:type="spellStart"/>
      <w:r w:rsidRPr="00356F5B">
        <w:rPr>
          <w:rFonts w:ascii="Times New Roman" w:eastAsia="Times New Roman" w:hAnsi="Times New Roman" w:cs="Times New Roman"/>
          <w:color w:val="000000"/>
          <w:kern w:val="0"/>
          <w:sz w:val="28"/>
          <w:szCs w:val="28"/>
          <w:lang w:eastAsia="en-GB"/>
          <w14:ligatures w14:val="none"/>
        </w:rPr>
        <w:t>YouTube</w:t>
      </w:r>
      <w:proofErr w:type="spellEnd"/>
      <w:r w:rsidRPr="00356F5B">
        <w:rPr>
          <w:rFonts w:ascii="Times New Roman" w:eastAsia="Times New Roman" w:hAnsi="Times New Roman" w:cs="Times New Roman"/>
          <w:color w:val="000000"/>
          <w:kern w:val="0"/>
          <w:sz w:val="28"/>
          <w:szCs w:val="28"/>
          <w:lang w:eastAsia="en-GB"/>
          <w14:ligatures w14:val="none"/>
        </w:rPr>
        <w:t xml:space="preserve"> оприлюднено журналістське розслідування, проведене Bihus.info, в якому містяться відомості щодо  поведінки Голови Правління-Президента </w:t>
      </w:r>
      <w:r w:rsidRPr="00356F5B">
        <w:rPr>
          <w:rFonts w:ascii="Times New Roman" w:hAnsi="Times New Roman" w:cs="Times New Roman"/>
          <w:sz w:val="28"/>
          <w:szCs w:val="28"/>
        </w:rPr>
        <w:t>ПрАТ «ХК «Київміськбуд» Кушніра Ігоря Миколайовича</w:t>
      </w:r>
      <w:r w:rsidR="00DA552D" w:rsidRPr="00356F5B">
        <w:rPr>
          <w:rFonts w:ascii="Times New Roman" w:hAnsi="Times New Roman" w:cs="Times New Roman"/>
          <w:sz w:val="28"/>
          <w:szCs w:val="28"/>
        </w:rPr>
        <w:t>,</w:t>
      </w:r>
      <w:r w:rsidRPr="00356F5B">
        <w:rPr>
          <w:rFonts w:ascii="Times New Roman" w:hAnsi="Times New Roman" w:cs="Times New Roman"/>
          <w:sz w:val="28"/>
          <w:szCs w:val="28"/>
        </w:rPr>
        <w:t xml:space="preserve"> </w:t>
      </w:r>
      <w:r w:rsidRPr="00356F5B">
        <w:rPr>
          <w:rFonts w:ascii="Times New Roman" w:hAnsi="Times New Roman" w:cs="Times New Roman"/>
          <w:sz w:val="28"/>
          <w:szCs w:val="28"/>
        </w:rPr>
        <w:lastRenderedPageBreak/>
        <w:t>наслідком якої могла стати неможливість ПрАТ «ХК «Київміськбуд» виконання взятих на себе перед інвесторами будівництва зобов’язань щодо закінчення будівництва житлових комплексів та передачі об’єктів нерухомості інвесторам.</w:t>
      </w:r>
      <w:r w:rsidRPr="00356F5B">
        <w:rPr>
          <w:rFonts w:ascii="Times New Roman" w:eastAsia="Times New Roman" w:hAnsi="Times New Roman" w:cs="Times New Roman"/>
          <w:color w:val="000000"/>
          <w:kern w:val="0"/>
          <w:sz w:val="28"/>
          <w:szCs w:val="28"/>
          <w:lang w:eastAsia="en-GB"/>
          <w14:ligatures w14:val="none"/>
        </w:rPr>
        <w:t xml:space="preserve"> </w:t>
      </w:r>
    </w:p>
    <w:p w14:paraId="1402863B" w14:textId="77777777" w:rsidR="00FF2428" w:rsidRPr="00356F5B" w:rsidRDefault="00FF2428" w:rsidP="00FF2428">
      <w:pPr>
        <w:jc w:val="center"/>
        <w:rPr>
          <w:rFonts w:ascii="Times New Roman" w:eastAsia="Times New Roman" w:hAnsi="Times New Roman" w:cs="Times New Roman"/>
          <w:b/>
          <w:bCs/>
          <w:color w:val="000000"/>
          <w:kern w:val="0"/>
          <w:sz w:val="28"/>
          <w:szCs w:val="28"/>
          <w:lang w:eastAsia="en-GB"/>
          <w14:ligatures w14:val="none"/>
        </w:rPr>
      </w:pPr>
    </w:p>
    <w:p w14:paraId="4FFF338F" w14:textId="614B302F" w:rsidR="00B153DC" w:rsidRPr="00356F5B" w:rsidRDefault="00FF2428" w:rsidP="00FF2428">
      <w:pPr>
        <w:jc w:val="center"/>
      </w:pPr>
      <w:r w:rsidRPr="00356F5B">
        <w:rPr>
          <w:rFonts w:ascii="Times New Roman" w:eastAsia="Times New Roman" w:hAnsi="Times New Roman" w:cs="Times New Roman"/>
          <w:b/>
          <w:bCs/>
          <w:color w:val="000000"/>
          <w:kern w:val="0"/>
          <w:sz w:val="28"/>
          <w:szCs w:val="28"/>
          <w:lang w:eastAsia="en-GB"/>
          <w14:ligatures w14:val="none"/>
        </w:rPr>
        <w:t>Відомості та обставини,</w:t>
      </w:r>
    </w:p>
    <w:p w14:paraId="0C69CDF8" w14:textId="77777777" w:rsidR="00B153DC" w:rsidRPr="00356F5B" w:rsidRDefault="00FF2428" w:rsidP="00FF2428">
      <w:pPr>
        <w:jc w:val="center"/>
      </w:pPr>
      <w:r w:rsidRPr="00356F5B">
        <w:rPr>
          <w:rFonts w:ascii="Times New Roman" w:eastAsia="Times New Roman" w:hAnsi="Times New Roman" w:cs="Times New Roman"/>
          <w:b/>
          <w:bCs/>
          <w:color w:val="000000"/>
          <w:kern w:val="0"/>
          <w:sz w:val="28"/>
          <w:szCs w:val="28"/>
          <w:lang w:eastAsia="en-GB"/>
          <w14:ligatures w14:val="none"/>
        </w:rPr>
        <w:t>встановлені тимчасовою контрольною комісією</w:t>
      </w:r>
    </w:p>
    <w:p w14:paraId="31E96E7F" w14:textId="77777777" w:rsidR="00FF2428" w:rsidRPr="00356F5B" w:rsidRDefault="00FF2428">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p>
    <w:p w14:paraId="2C8B6B98" w14:textId="40E7EF26" w:rsidR="008F3C82" w:rsidRPr="00356F5B" w:rsidRDefault="00FF2428">
      <w:pPr>
        <w:ind w:firstLine="720"/>
        <w:jc w:val="both"/>
        <w:rPr>
          <w:rFonts w:ascii="Times New Roman" w:eastAsia="Times New Roman" w:hAnsi="Times New Roman" w:cs="Times New Roman"/>
          <w:color w:val="000000"/>
          <w:kern w:val="0"/>
          <w:sz w:val="28"/>
          <w:szCs w:val="28"/>
          <w:shd w:val="clear" w:color="auto" w:fill="FFFFFF"/>
          <w:lang w:eastAsia="en-GB"/>
          <w14:ligatures w14:val="none"/>
        </w:rPr>
      </w:pPr>
      <w:r w:rsidRPr="00356F5B">
        <w:rPr>
          <w:rFonts w:ascii="Times New Roman" w:eastAsia="Times New Roman" w:hAnsi="Times New Roman" w:cs="Times New Roman"/>
          <w:color w:val="000000"/>
          <w:kern w:val="0"/>
          <w:sz w:val="28"/>
          <w:szCs w:val="28"/>
          <w:shd w:val="clear" w:color="auto" w:fill="FFFFFF"/>
          <w:lang w:eastAsia="en-GB"/>
          <w14:ligatures w14:val="none"/>
        </w:rPr>
        <w:t>Тимчасова контрольна комісія провела засідання 14.06.20223</w:t>
      </w:r>
      <w:r w:rsidR="008F3C82" w:rsidRPr="00356F5B">
        <w:rPr>
          <w:rFonts w:ascii="Times New Roman" w:eastAsia="Times New Roman" w:hAnsi="Times New Roman" w:cs="Times New Roman"/>
          <w:color w:val="000000"/>
          <w:kern w:val="0"/>
          <w:sz w:val="28"/>
          <w:szCs w:val="28"/>
          <w:shd w:val="clear" w:color="auto" w:fill="FFFFFF"/>
          <w:lang w:eastAsia="en-GB"/>
          <w14:ligatures w14:val="none"/>
        </w:rPr>
        <w:t>,</w:t>
      </w:r>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06.07.2023</w:t>
      </w:r>
      <w:r w:rsidR="00DA552D" w:rsidRPr="00356F5B">
        <w:rPr>
          <w:rFonts w:ascii="Times New Roman" w:eastAsia="Times New Roman" w:hAnsi="Times New Roman" w:cs="Times New Roman"/>
          <w:color w:val="000000"/>
          <w:kern w:val="0"/>
          <w:sz w:val="28"/>
          <w:szCs w:val="28"/>
          <w:shd w:val="clear" w:color="auto" w:fill="FFFFFF"/>
          <w:lang w:eastAsia="en-GB"/>
          <w14:ligatures w14:val="none"/>
        </w:rPr>
        <w:t>,</w:t>
      </w:r>
      <w:r w:rsidR="008F3C82"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17.11.2023</w:t>
      </w:r>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w:t>
      </w:r>
      <w:r w:rsidR="008F3C82" w:rsidRPr="00356F5B">
        <w:rPr>
          <w:rFonts w:ascii="Times New Roman" w:eastAsia="Times New Roman" w:hAnsi="Times New Roman" w:cs="Times New Roman"/>
          <w:color w:val="000000"/>
          <w:kern w:val="0"/>
          <w:sz w:val="28"/>
          <w:szCs w:val="28"/>
          <w:shd w:val="clear" w:color="auto" w:fill="FFFFFF"/>
          <w:lang w:eastAsia="en-GB"/>
          <w14:ligatures w14:val="none"/>
        </w:rPr>
        <w:t>Тимчасовою контрольною к</w:t>
      </w:r>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омісією направлено </w:t>
      </w:r>
      <w:r w:rsidR="00356F5B" w:rsidRPr="00356F5B">
        <w:rPr>
          <w:rFonts w:ascii="Times New Roman" w:eastAsia="Times New Roman" w:hAnsi="Times New Roman" w:cs="Times New Roman"/>
          <w:color w:val="000000"/>
          <w:kern w:val="0"/>
          <w:sz w:val="28"/>
          <w:szCs w:val="28"/>
          <w:shd w:val="clear" w:color="auto" w:fill="FFFFFF"/>
          <w:lang w:eastAsia="en-GB"/>
          <w14:ligatures w14:val="none"/>
        </w:rPr>
        <w:t>72</w:t>
      </w:r>
      <w:r w:rsidRPr="00356F5B">
        <w:rPr>
          <w:rFonts w:ascii="Times New Roman" w:eastAsia="Times New Roman" w:hAnsi="Times New Roman" w:cs="Times New Roman"/>
          <w:color w:val="FF0000"/>
          <w:kern w:val="0"/>
          <w:sz w:val="28"/>
          <w:szCs w:val="28"/>
          <w:shd w:val="clear" w:color="auto" w:fill="FFFFFF"/>
          <w:lang w:eastAsia="en-GB"/>
          <w14:ligatures w14:val="none"/>
        </w:rPr>
        <w:t xml:space="preserve"> </w:t>
      </w:r>
      <w:r w:rsidRPr="00356F5B">
        <w:rPr>
          <w:rFonts w:ascii="Times New Roman" w:eastAsia="Times New Roman" w:hAnsi="Times New Roman" w:cs="Times New Roman"/>
          <w:color w:val="000000"/>
          <w:kern w:val="0"/>
          <w:sz w:val="28"/>
          <w:szCs w:val="28"/>
          <w:shd w:val="clear" w:color="auto" w:fill="FFFFFF"/>
          <w:lang w:eastAsia="en-GB"/>
          <w14:ligatures w14:val="none"/>
        </w:rPr>
        <w:t>запитів та звернень з вимогами щодо надання документів та інформації, необхідної для її роботи</w:t>
      </w:r>
      <w:r w:rsidR="00DA552D" w:rsidRPr="00356F5B">
        <w:rPr>
          <w:rFonts w:ascii="Times New Roman" w:eastAsia="Times New Roman" w:hAnsi="Times New Roman" w:cs="Times New Roman"/>
          <w:color w:val="000000"/>
          <w:kern w:val="0"/>
          <w:sz w:val="28"/>
          <w:szCs w:val="28"/>
          <w:shd w:val="clear" w:color="auto" w:fill="FFFFFF"/>
          <w:lang w:eastAsia="en-GB"/>
          <w14:ligatures w14:val="none"/>
        </w:rPr>
        <w:t>,</w:t>
      </w:r>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та проаналізовано документи, які надійшли за </w:t>
      </w:r>
      <w:r w:rsidR="00356F5B" w:rsidRPr="00356F5B">
        <w:rPr>
          <w:rFonts w:ascii="Times New Roman" w:eastAsia="Times New Roman" w:hAnsi="Times New Roman" w:cs="Times New Roman"/>
          <w:color w:val="000000"/>
          <w:kern w:val="0"/>
          <w:sz w:val="28"/>
          <w:szCs w:val="28"/>
          <w:shd w:val="clear" w:color="auto" w:fill="FFFFFF"/>
          <w:lang w:eastAsia="en-GB"/>
          <w14:ligatures w14:val="none"/>
        </w:rPr>
        <w:t>460</w:t>
      </w:r>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вхідним листом, зокрема інформація від Департаменту внутрішнього фінансового контролю та аудиту виконавчого органу Київської міської ради (Київської міської державної адміністрації), ПрАТ «ХК «Київміськбуд», аудиторських компаній НХД-Аудит, </w:t>
      </w:r>
      <w:proofErr w:type="spellStart"/>
      <w:r w:rsidRPr="00356F5B">
        <w:rPr>
          <w:rFonts w:ascii="Times New Roman" w:eastAsia="Times New Roman" w:hAnsi="Times New Roman" w:cs="Times New Roman"/>
          <w:color w:val="000000"/>
          <w:kern w:val="0"/>
          <w:sz w:val="28"/>
          <w:szCs w:val="28"/>
          <w:shd w:val="clear" w:color="auto" w:fill="FFFFFF"/>
          <w:lang w:eastAsia="en-GB"/>
          <w14:ligatures w14:val="none"/>
        </w:rPr>
        <w:t>Baker</w:t>
      </w:r>
      <w:proofErr w:type="spellEnd"/>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w:t>
      </w:r>
      <w:proofErr w:type="spellStart"/>
      <w:r w:rsidRPr="00356F5B">
        <w:rPr>
          <w:rFonts w:ascii="Times New Roman" w:eastAsia="Times New Roman" w:hAnsi="Times New Roman" w:cs="Times New Roman"/>
          <w:color w:val="000000"/>
          <w:kern w:val="0"/>
          <w:sz w:val="28"/>
          <w:szCs w:val="28"/>
          <w:shd w:val="clear" w:color="auto" w:fill="FFFFFF"/>
          <w:lang w:eastAsia="en-GB"/>
          <w14:ligatures w14:val="none"/>
        </w:rPr>
        <w:t>Tilly</w:t>
      </w:r>
      <w:proofErr w:type="spellEnd"/>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w:t>
      </w:r>
      <w:proofErr w:type="spellStart"/>
      <w:r w:rsidRPr="00356F5B">
        <w:rPr>
          <w:rFonts w:ascii="Times New Roman" w:eastAsia="Times New Roman" w:hAnsi="Times New Roman" w:cs="Times New Roman"/>
          <w:color w:val="000000"/>
          <w:kern w:val="0"/>
          <w:sz w:val="28"/>
          <w:szCs w:val="28"/>
          <w:shd w:val="clear" w:color="auto" w:fill="FFFFFF"/>
          <w:lang w:eastAsia="en-GB"/>
          <w14:ligatures w14:val="none"/>
        </w:rPr>
        <w:t>Ernst</w:t>
      </w:r>
      <w:proofErr w:type="spellEnd"/>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&amp; </w:t>
      </w:r>
      <w:proofErr w:type="spellStart"/>
      <w:r w:rsidRPr="00356F5B">
        <w:rPr>
          <w:rFonts w:ascii="Times New Roman" w:eastAsia="Times New Roman" w:hAnsi="Times New Roman" w:cs="Times New Roman"/>
          <w:color w:val="000000"/>
          <w:kern w:val="0"/>
          <w:sz w:val="28"/>
          <w:szCs w:val="28"/>
          <w:shd w:val="clear" w:color="auto" w:fill="FFFFFF"/>
          <w:lang w:eastAsia="en-GB"/>
          <w14:ligatures w14:val="none"/>
        </w:rPr>
        <w:t>Young</w:t>
      </w:r>
      <w:proofErr w:type="spellEnd"/>
      <w:r w:rsidR="008F3C82" w:rsidRPr="00356F5B">
        <w:rPr>
          <w:rFonts w:ascii="Times New Roman" w:eastAsia="Times New Roman" w:hAnsi="Times New Roman" w:cs="Times New Roman"/>
          <w:color w:val="000000"/>
          <w:kern w:val="0"/>
          <w:sz w:val="28"/>
          <w:szCs w:val="28"/>
          <w:shd w:val="clear" w:color="auto" w:fill="FFFFFF"/>
          <w:lang w:eastAsia="en-GB"/>
          <w14:ligatures w14:val="none"/>
        </w:rPr>
        <w:t>.</w:t>
      </w:r>
    </w:p>
    <w:p w14:paraId="520F4E7A" w14:textId="650283E9" w:rsidR="00B153DC" w:rsidRPr="00356F5B" w:rsidRDefault="00FF2428">
      <w:pPr>
        <w:ind w:firstLine="720"/>
        <w:jc w:val="both"/>
      </w:pPr>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 </w:t>
      </w:r>
    </w:p>
    <w:p w14:paraId="47BB81D1" w14:textId="77777777" w:rsidR="00160F54" w:rsidRPr="00356F5B" w:rsidRDefault="00FF2428" w:rsidP="008F3C82">
      <w:pPr>
        <w:jc w:val="center"/>
        <w:rPr>
          <w:rFonts w:ascii="Times New Roman" w:eastAsia="Times New Roman" w:hAnsi="Times New Roman" w:cs="Times New Roman"/>
          <w:b/>
          <w:bCs/>
          <w:color w:val="000000"/>
          <w:kern w:val="0"/>
          <w:sz w:val="28"/>
          <w:szCs w:val="28"/>
          <w:lang w:eastAsia="en-GB"/>
          <w14:ligatures w14:val="none"/>
        </w:rPr>
      </w:pPr>
      <w:r w:rsidRPr="00356F5B">
        <w:rPr>
          <w:rFonts w:ascii="Times New Roman" w:eastAsia="Times New Roman" w:hAnsi="Times New Roman" w:cs="Times New Roman"/>
          <w:b/>
          <w:bCs/>
          <w:color w:val="000000"/>
          <w:kern w:val="0"/>
          <w:sz w:val="28"/>
          <w:szCs w:val="28"/>
          <w:lang w:eastAsia="en-GB"/>
          <w14:ligatures w14:val="none"/>
        </w:rPr>
        <w:t>Аналіз фінансово-господарської діяльності ПрАТ «ХК «Київміськбуд»</w:t>
      </w:r>
      <w:r w:rsidR="00160F54" w:rsidRPr="00356F5B">
        <w:rPr>
          <w:rFonts w:ascii="Times New Roman" w:eastAsia="Times New Roman" w:hAnsi="Times New Roman" w:cs="Times New Roman"/>
          <w:b/>
          <w:bCs/>
          <w:color w:val="000000"/>
          <w:kern w:val="0"/>
          <w:sz w:val="28"/>
          <w:szCs w:val="28"/>
          <w:lang w:eastAsia="en-GB"/>
          <w14:ligatures w14:val="none"/>
        </w:rPr>
        <w:t xml:space="preserve"> </w:t>
      </w:r>
    </w:p>
    <w:p w14:paraId="30427EAE" w14:textId="5B5785F9" w:rsidR="00B153DC" w:rsidRPr="00356F5B" w:rsidRDefault="00160F54" w:rsidP="008F3C82">
      <w:pPr>
        <w:jc w:val="center"/>
        <w:rPr>
          <w:rFonts w:ascii="Times New Roman" w:eastAsia="Times New Roman" w:hAnsi="Times New Roman" w:cs="Times New Roman"/>
          <w:b/>
          <w:bCs/>
          <w:color w:val="000000"/>
          <w:kern w:val="0"/>
          <w:sz w:val="28"/>
          <w:szCs w:val="28"/>
          <w:lang w:eastAsia="en-GB"/>
          <w14:ligatures w14:val="none"/>
        </w:rPr>
      </w:pPr>
      <w:r w:rsidRPr="00356F5B">
        <w:rPr>
          <w:rFonts w:ascii="Times New Roman" w:eastAsia="Times New Roman" w:hAnsi="Times New Roman" w:cs="Times New Roman"/>
          <w:b/>
          <w:bCs/>
          <w:color w:val="000000"/>
          <w:kern w:val="0"/>
          <w:sz w:val="28"/>
          <w:szCs w:val="28"/>
          <w:lang w:eastAsia="en-GB"/>
          <w14:ligatures w14:val="none"/>
        </w:rPr>
        <w:t>(далі – Компанія)</w:t>
      </w:r>
    </w:p>
    <w:p w14:paraId="2A163CFE" w14:textId="77777777" w:rsidR="008F3C82" w:rsidRPr="00356F5B" w:rsidRDefault="008F3C82" w:rsidP="008F3C82">
      <w:pPr>
        <w:ind w:firstLine="567"/>
        <w:jc w:val="center"/>
      </w:pPr>
    </w:p>
    <w:p w14:paraId="0202A352" w14:textId="77777777" w:rsidR="00B153DC" w:rsidRPr="00356F5B" w:rsidRDefault="00FF2428" w:rsidP="00254C66">
      <w:pPr>
        <w:ind w:firstLine="709"/>
        <w:jc w:val="both"/>
      </w:pPr>
      <w:r w:rsidRPr="00356F5B">
        <w:rPr>
          <w:rFonts w:ascii="Times New Roman" w:hAnsi="Times New Roman" w:cs="Times New Roman"/>
          <w:sz w:val="28"/>
          <w:szCs w:val="28"/>
        </w:rPr>
        <w:t>Компанія є правонаступником щодо всіх майнових, особистих немайнових прав та обов’язків Публічного акціонерного товариства «Холдингова компанія «Київміськбуд», Державної комунальної будівельної корпорації «Київміськбуд», а також є правонаступником Дочірнього підприємства «ЕКОС» по експлуатації та ремонту житлового фонду та об’єктів соціально-побутового призначення ПАТ «ХК «Київміськбуд», ДП «Система», ДП «Зв’язок».</w:t>
      </w:r>
    </w:p>
    <w:p w14:paraId="3A40268E" w14:textId="77777777" w:rsidR="00B153DC" w:rsidRPr="00356F5B" w:rsidRDefault="00FF2428">
      <w:pPr>
        <w:ind w:firstLine="4253"/>
        <w:jc w:val="both"/>
      </w:pPr>
      <w:r w:rsidRPr="00356F5B">
        <w:rPr>
          <w:noProof/>
          <w:lang w:eastAsia="uk-UA"/>
        </w:rPr>
        <mc:AlternateContent>
          <mc:Choice Requires="wps">
            <w:drawing>
              <wp:anchor distT="0" distB="0" distL="0" distR="0" simplePos="0" relativeHeight="8" behindDoc="0" locked="0" layoutInCell="0" allowOverlap="1" wp14:anchorId="2A347BCC" wp14:editId="3A7E109C">
                <wp:simplePos x="0" y="0"/>
                <wp:positionH relativeFrom="column">
                  <wp:posOffset>-95250</wp:posOffset>
                </wp:positionH>
                <wp:positionV relativeFrom="paragraph">
                  <wp:posOffset>635</wp:posOffset>
                </wp:positionV>
                <wp:extent cx="2840990" cy="355536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40400" cy="3554640"/>
                        </a:xfrm>
                        <a:prstGeom prst="rect">
                          <a:avLst/>
                        </a:prstGeom>
                        <a:solidFill>
                          <a:schemeClr val="lt1"/>
                        </a:solidFill>
                        <a:ln w="6350">
                          <a:solidFill>
                            <a:srgbClr val="FFFFFF"/>
                          </a:solidFill>
                          <a:round/>
                        </a:ln>
                      </wps:spPr>
                      <wps:style>
                        <a:lnRef idx="0">
                          <a:schemeClr val="accent1"/>
                        </a:lnRef>
                        <a:fillRef idx="0">
                          <a:schemeClr val="accent1"/>
                        </a:fillRef>
                        <a:effectRef idx="0">
                          <a:schemeClr val="accent1"/>
                        </a:effectRef>
                        <a:fontRef idx="minor"/>
                      </wps:style>
                      <wps:txbx>
                        <w:txbxContent>
                          <w:p w14:paraId="5641D43C" w14:textId="5D8B9F35" w:rsidR="00B153DC" w:rsidRDefault="00FF2428" w:rsidP="00254C66">
                            <w:pPr>
                              <w:pStyle w:val="af2"/>
                              <w:ind w:firstLine="709"/>
                              <w:jc w:val="both"/>
                              <w:rPr>
                                <w:rFonts w:ascii="Times New Roman" w:hAnsi="Times New Roman" w:cs="Times New Roman"/>
                              </w:rPr>
                            </w:pPr>
                            <w:r>
                              <w:rPr>
                                <w:rFonts w:ascii="Times New Roman" w:hAnsi="Times New Roman" w:cs="Times New Roman"/>
                                <w:color w:val="000000"/>
                                <w:sz w:val="28"/>
                                <w:szCs w:val="28"/>
                              </w:rPr>
                              <w:t xml:space="preserve">Метою діяльності Компанії є одержання прибутку шляхом систематичного здійснення виробничо-господарської, інвестиційної, комерційної та іншої підприємницької діяльності, виробництво та реалізація товарів споживання та продукції виробничо-технічного </w:t>
                            </w:r>
                            <w:proofErr w:type="spellStart"/>
                            <w:r>
                              <w:rPr>
                                <w:rFonts w:ascii="Times New Roman" w:hAnsi="Times New Roman" w:cs="Times New Roman"/>
                                <w:color w:val="000000"/>
                                <w:sz w:val="28"/>
                                <w:szCs w:val="28"/>
                              </w:rPr>
                              <w:t>призна</w:t>
                            </w:r>
                            <w:r w:rsidR="00254C66">
                              <w:rPr>
                                <w:rFonts w:ascii="Times New Roman" w:hAnsi="Times New Roman" w:cs="Times New Roman"/>
                                <w:color w:val="000000"/>
                                <w:sz w:val="28"/>
                                <w:szCs w:val="28"/>
                              </w:rPr>
                              <w:t>-</w:t>
                            </w:r>
                            <w:r>
                              <w:rPr>
                                <w:rFonts w:ascii="Times New Roman" w:hAnsi="Times New Roman" w:cs="Times New Roman"/>
                                <w:color w:val="000000"/>
                                <w:sz w:val="28"/>
                                <w:szCs w:val="28"/>
                              </w:rPr>
                              <w:t>чення</w:t>
                            </w:r>
                            <w:proofErr w:type="spellEnd"/>
                            <w:r>
                              <w:rPr>
                                <w:rFonts w:ascii="Times New Roman" w:hAnsi="Times New Roman" w:cs="Times New Roman"/>
                                <w:color w:val="000000"/>
                                <w:sz w:val="28"/>
                                <w:szCs w:val="28"/>
                              </w:rPr>
                              <w:t>, організація та здійснення закупівлі і продажу товарів та продукції, надання юридичних, торг</w:t>
                            </w:r>
                            <w:r w:rsidR="00DA552D">
                              <w:rPr>
                                <w:rFonts w:ascii="Times New Roman" w:hAnsi="Times New Roman" w:cs="Times New Roman"/>
                                <w:color w:val="000000"/>
                                <w:sz w:val="28"/>
                                <w:szCs w:val="28"/>
                              </w:rPr>
                              <w:t>о</w:t>
                            </w:r>
                            <w:r>
                              <w:rPr>
                                <w:rFonts w:ascii="Times New Roman" w:hAnsi="Times New Roman" w:cs="Times New Roman"/>
                                <w:color w:val="000000"/>
                                <w:sz w:val="28"/>
                                <w:szCs w:val="28"/>
                              </w:rPr>
                              <w:t>вельних та інших послуг, здійснення фінансових та торг</w:t>
                            </w:r>
                            <w:r w:rsidR="00DA552D">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вельних операцій, залучення іноземних інвестицій, </w:t>
                            </w:r>
                          </w:p>
                        </w:txbxContent>
                      </wps:txbx>
                      <wps:bodyPr>
                        <a:prstTxWarp prst="textNoShape">
                          <a:avLst/>
                        </a:prstTxWarp>
                        <a:noAutofit/>
                      </wps:bodyPr>
                    </wps:wsp>
                  </a:graphicData>
                </a:graphic>
              </wp:anchor>
            </w:drawing>
          </mc:Choice>
          <mc:Fallback>
            <w:pict>
              <v:rect w14:anchorId="2A347BCC" id="Прямоугольник 1" o:spid="_x0000_s1026" style="position:absolute;left:0;text-align:left;margin-left:-7.5pt;margin-top:.05pt;width:223.7pt;height:279.9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TJAIAAJQEAAAOAAAAZHJzL2Uyb0RvYy54bWysVMuO0zAU3SPxD5b3NGmnrUZR0xFiVDZo&#10;GDGDWLuO3VryS7bbpDsktkh8Ah/BBg0w35D+EddumnnAZhBZOH7ce+495ziZnTVKoi1zXhhd4uEg&#10;x4hpaiqhVyV+f714cYqRD0RXRBrNSrxjHp/Nnz+b1bZgI7M2smIOAYj2RW1LvA7BFlnm6Zop4gfG&#10;Mg2H3DhFAizdKqscqQFdyWyU59OsNq6yzlDmPeyeHw7xPOFzzmh4y7lnAckSQ28hjS6Nyzhm8xkp&#10;Vo7YtaBdG+QfulBEaCjaQ52TQNDGiT+glKDOeMPDgBqVGc4FZYkDsBnmj9hcrYlliQuI420vk/9/&#10;sPRie+mQqMA7jDRRYFH7df9x/6X92d7uP7Xf2tv2x/5z+6v93t6gYdSrtr6AtCt76bqVh2kk33Cn&#10;4htooSZpvOs1Zk1AFDZHp+N8nIMVFM5OJpPxdJxcyO7SrfPhNTMKxUmJHZiYtCXbNz5ASQg9hsRq&#10;3khRLYSUaREvDnslHdoSsFyG1DJkPIiSGtUlnp5M8gT84My71bLPX6Qnsn4M4cxGV4d9qeE4qnLQ&#10;Ic3CTrLYj9TvGAd9kxx/aZBQynTfZIqOURzoPCWxi4+pLN36pyT3Gamy0aFPVkIbl9jfIxWnoVk2&#10;nflLU+0O9kdTrpsPxNnOuQCmX5jjLSbFIwMPsbGoNi83wXCR3I34R9AkK1z9pH/3mcZv6/46iX/3&#10;M5n/BgAA//8DAFBLAwQUAAYACAAAACEA1q+jl+AAAAAIAQAADwAAAGRycy9kb3ducmV2LnhtbEyP&#10;y2rDMBBF94X+g5hCd4nkPEzjWA6ltFAKXdRJF90p1sQ2tkZGkhP376usmuVwhnvPzXeT6dkZnW8t&#10;SUjmAhhSZXVLtYTD/m32BMwHRVr1llDCL3rYFfd3ucq0vdAXnstQsxhCPlMSmhCGjHNfNWiUn9sB&#10;KbKTdUaFeLqaa6cuMdz0fCFEyo1qKTY0asCXBquuHI2EzXtZuunHftvutfsYD+lmmew/pXx8mJ63&#10;wAJO4f8ZrvpRHYrodLQjac96CbNkHbeEK2ARr5aLFbCjhHUqBPAi57cDij8AAAD//wMAUEsBAi0A&#10;FAAGAAgAAAAhALaDOJL+AAAA4QEAABMAAAAAAAAAAAAAAAAAAAAAAFtDb250ZW50X1R5cGVzXS54&#10;bWxQSwECLQAUAAYACAAAACEAOP0h/9YAAACUAQAACwAAAAAAAAAAAAAAAAAvAQAAX3JlbHMvLnJl&#10;bHNQSwECLQAUAAYACAAAACEAyiczkyQCAACUBAAADgAAAAAAAAAAAAAAAAAuAgAAZHJzL2Uyb0Rv&#10;Yy54bWxQSwECLQAUAAYACAAAACEA1q+jl+AAAAAIAQAADwAAAAAAAAAAAAAAAAB+BAAAZHJzL2Rv&#10;d25yZXYueG1sUEsFBgAAAAAEAAQA8wAAAIsFAAAAAA==&#10;" o:allowincell="f" fillcolor="white [3201]" strokecolor="white" strokeweight=".5pt">
                <v:stroke joinstyle="round"/>
                <v:textbox>
                  <w:txbxContent>
                    <w:p w14:paraId="5641D43C" w14:textId="5D8B9F35" w:rsidR="00B153DC" w:rsidRDefault="00FF2428" w:rsidP="00254C66">
                      <w:pPr>
                        <w:pStyle w:val="af2"/>
                        <w:ind w:firstLine="709"/>
                        <w:jc w:val="both"/>
                        <w:rPr>
                          <w:rFonts w:ascii="Times New Roman" w:hAnsi="Times New Roman" w:cs="Times New Roman"/>
                        </w:rPr>
                      </w:pPr>
                      <w:r>
                        <w:rPr>
                          <w:rFonts w:ascii="Times New Roman" w:hAnsi="Times New Roman" w:cs="Times New Roman"/>
                          <w:color w:val="000000"/>
                          <w:sz w:val="28"/>
                          <w:szCs w:val="28"/>
                        </w:rPr>
                        <w:t xml:space="preserve">Метою діяльності Компанії є одержання прибутку шляхом систематичного здійснення виробничо-господарської, інвестиційної, комерційної та іншої підприємницької діяльності, виробництво та реалізація товарів споживання та продукції виробничо-технічного </w:t>
                      </w:r>
                      <w:proofErr w:type="spellStart"/>
                      <w:r>
                        <w:rPr>
                          <w:rFonts w:ascii="Times New Roman" w:hAnsi="Times New Roman" w:cs="Times New Roman"/>
                          <w:color w:val="000000"/>
                          <w:sz w:val="28"/>
                          <w:szCs w:val="28"/>
                        </w:rPr>
                        <w:t>призна</w:t>
                      </w:r>
                      <w:r w:rsidR="00254C66">
                        <w:rPr>
                          <w:rFonts w:ascii="Times New Roman" w:hAnsi="Times New Roman" w:cs="Times New Roman"/>
                          <w:color w:val="000000"/>
                          <w:sz w:val="28"/>
                          <w:szCs w:val="28"/>
                        </w:rPr>
                        <w:t>-</w:t>
                      </w:r>
                      <w:r>
                        <w:rPr>
                          <w:rFonts w:ascii="Times New Roman" w:hAnsi="Times New Roman" w:cs="Times New Roman"/>
                          <w:color w:val="000000"/>
                          <w:sz w:val="28"/>
                          <w:szCs w:val="28"/>
                        </w:rPr>
                        <w:t>чення</w:t>
                      </w:r>
                      <w:proofErr w:type="spellEnd"/>
                      <w:r>
                        <w:rPr>
                          <w:rFonts w:ascii="Times New Roman" w:hAnsi="Times New Roman" w:cs="Times New Roman"/>
                          <w:color w:val="000000"/>
                          <w:sz w:val="28"/>
                          <w:szCs w:val="28"/>
                        </w:rPr>
                        <w:t>, організація та здійснення закупівлі і продажу товарів та продукції, надання юридичних, торг</w:t>
                      </w:r>
                      <w:r w:rsidR="00DA552D">
                        <w:rPr>
                          <w:rFonts w:ascii="Times New Roman" w:hAnsi="Times New Roman" w:cs="Times New Roman"/>
                          <w:color w:val="000000"/>
                          <w:sz w:val="28"/>
                          <w:szCs w:val="28"/>
                        </w:rPr>
                        <w:t>о</w:t>
                      </w:r>
                      <w:r>
                        <w:rPr>
                          <w:rFonts w:ascii="Times New Roman" w:hAnsi="Times New Roman" w:cs="Times New Roman"/>
                          <w:color w:val="000000"/>
                          <w:sz w:val="28"/>
                          <w:szCs w:val="28"/>
                        </w:rPr>
                        <w:t>вельних та інших послуг, здійснення фінансових та торг</w:t>
                      </w:r>
                      <w:r w:rsidR="00DA552D">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вельних операцій, залучення іноземних інвестицій, </w:t>
                      </w:r>
                    </w:p>
                  </w:txbxContent>
                </v:textbox>
              </v:rect>
            </w:pict>
          </mc:Fallback>
        </mc:AlternateContent>
      </w:r>
      <w:r w:rsidRPr="00356F5B">
        <w:rPr>
          <w:noProof/>
          <w:lang w:eastAsia="uk-UA"/>
        </w:rPr>
        <w:drawing>
          <wp:inline distT="0" distB="0" distL="0" distR="0" wp14:anchorId="115016CD" wp14:editId="4887800D">
            <wp:extent cx="3263900" cy="32639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pic:cNvPicPr>
                      <a:picLocks noChangeAspect="1" noChangeArrowheads="1"/>
                    </pic:cNvPicPr>
                  </pic:nvPicPr>
                  <pic:blipFill>
                    <a:blip r:embed="rId8"/>
                    <a:stretch>
                      <a:fillRect/>
                    </a:stretch>
                  </pic:blipFill>
                  <pic:spPr bwMode="auto">
                    <a:xfrm>
                      <a:off x="0" y="0"/>
                      <a:ext cx="3263900" cy="3263900"/>
                    </a:xfrm>
                    <a:prstGeom prst="rect">
                      <a:avLst/>
                    </a:prstGeom>
                  </pic:spPr>
                </pic:pic>
              </a:graphicData>
            </a:graphic>
          </wp:inline>
        </w:drawing>
      </w:r>
    </w:p>
    <w:p w14:paraId="4A13DE0B" w14:textId="77777777" w:rsidR="00B153DC" w:rsidRPr="00356F5B" w:rsidRDefault="00FF2428">
      <w:pPr>
        <w:ind w:left="5664" w:firstLine="708"/>
        <w:jc w:val="both"/>
        <w:rPr>
          <w:rFonts w:ascii="Times New Roman" w:hAnsi="Times New Roman" w:cs="Times New Roman"/>
        </w:rPr>
      </w:pPr>
      <w:r w:rsidRPr="00356F5B">
        <w:rPr>
          <w:rFonts w:ascii="Times New Roman" w:hAnsi="Times New Roman" w:cs="Times New Roman"/>
          <w:sz w:val="28"/>
          <w:szCs w:val="28"/>
        </w:rPr>
        <w:t>Мал.1</w:t>
      </w:r>
    </w:p>
    <w:p w14:paraId="773A2F46" w14:textId="77777777" w:rsidR="00B153DC" w:rsidRPr="00356F5B" w:rsidRDefault="00B153DC">
      <w:pPr>
        <w:jc w:val="both"/>
        <w:rPr>
          <w:rFonts w:ascii="Times New Roman" w:hAnsi="Times New Roman" w:cs="Times New Roman"/>
          <w:sz w:val="28"/>
          <w:szCs w:val="28"/>
        </w:rPr>
      </w:pPr>
    </w:p>
    <w:p w14:paraId="0E34841F" w14:textId="1CF9CFB0" w:rsidR="00B153DC" w:rsidRPr="00356F5B" w:rsidRDefault="00FF2428">
      <w:pPr>
        <w:jc w:val="both"/>
      </w:pPr>
      <w:r w:rsidRPr="00356F5B">
        <w:rPr>
          <w:rFonts w:ascii="Times New Roman" w:hAnsi="Times New Roman" w:cs="Times New Roman"/>
          <w:sz w:val="28"/>
          <w:szCs w:val="28"/>
        </w:rPr>
        <w:t xml:space="preserve">розвиток зовнішньоекономічних </w:t>
      </w:r>
      <w:proofErr w:type="spellStart"/>
      <w:r w:rsidRPr="00356F5B">
        <w:rPr>
          <w:rFonts w:ascii="Times New Roman" w:hAnsi="Times New Roman" w:cs="Times New Roman"/>
          <w:sz w:val="28"/>
          <w:szCs w:val="28"/>
        </w:rPr>
        <w:t>зв’язків</w:t>
      </w:r>
      <w:proofErr w:type="spellEnd"/>
      <w:r w:rsidRPr="00356F5B">
        <w:rPr>
          <w:rFonts w:ascii="Times New Roman" w:hAnsi="Times New Roman" w:cs="Times New Roman"/>
          <w:sz w:val="28"/>
          <w:szCs w:val="28"/>
        </w:rPr>
        <w:t xml:space="preserve"> України, формування товарного ринку, зміцнення виробничих </w:t>
      </w:r>
      <w:proofErr w:type="spellStart"/>
      <w:r w:rsidRPr="00356F5B">
        <w:rPr>
          <w:rFonts w:ascii="Times New Roman" w:hAnsi="Times New Roman" w:cs="Times New Roman"/>
          <w:sz w:val="28"/>
          <w:szCs w:val="28"/>
        </w:rPr>
        <w:t>зв’язків</w:t>
      </w:r>
      <w:proofErr w:type="spellEnd"/>
      <w:r w:rsidRPr="00356F5B">
        <w:rPr>
          <w:rFonts w:ascii="Times New Roman" w:hAnsi="Times New Roman" w:cs="Times New Roman"/>
          <w:sz w:val="28"/>
          <w:szCs w:val="28"/>
        </w:rPr>
        <w:t xml:space="preserve">, координація діяльності та підвищення якості </w:t>
      </w:r>
      <w:r w:rsidRPr="00356F5B">
        <w:rPr>
          <w:rFonts w:ascii="Times New Roman" w:hAnsi="Times New Roman" w:cs="Times New Roman"/>
          <w:sz w:val="28"/>
          <w:szCs w:val="28"/>
        </w:rPr>
        <w:lastRenderedPageBreak/>
        <w:t>продукції підприємств будівельного комплексу, здійснення підприємницької діяльності, спрямованої на задоволення потреб населення в об’єктах будівництва. Стратегічні завдання К</w:t>
      </w:r>
      <w:r w:rsidR="00254C66" w:rsidRPr="00356F5B">
        <w:rPr>
          <w:rFonts w:ascii="Times New Roman" w:hAnsi="Times New Roman" w:cs="Times New Roman"/>
          <w:sz w:val="28"/>
          <w:szCs w:val="28"/>
        </w:rPr>
        <w:t>омпанії</w:t>
      </w:r>
      <w:r w:rsidRPr="00356F5B">
        <w:rPr>
          <w:rFonts w:ascii="Times New Roman" w:hAnsi="Times New Roman" w:cs="Times New Roman"/>
          <w:sz w:val="28"/>
          <w:szCs w:val="28"/>
        </w:rPr>
        <w:t xml:space="preserve"> наведено на малюнку 1.</w:t>
      </w:r>
    </w:p>
    <w:p w14:paraId="0FBD5E20" w14:textId="77777777" w:rsidR="00B153DC" w:rsidRPr="00356F5B" w:rsidRDefault="00FF2428" w:rsidP="00160F54">
      <w:pPr>
        <w:ind w:firstLine="709"/>
        <w:jc w:val="both"/>
      </w:pPr>
      <w:r w:rsidRPr="00356F5B">
        <w:rPr>
          <w:rFonts w:ascii="Times New Roman" w:hAnsi="Times New Roman" w:cs="Times New Roman"/>
          <w:sz w:val="28"/>
          <w:szCs w:val="28"/>
        </w:rPr>
        <w:t xml:space="preserve">Статутний капітал Компанії становить 16,53 млн грн і розподілений на 66 138 480 штук простих іменних акцій номінальною вартістю 0,25 грн за одну акцію. Акції розподілені між акціонерами (учасниками) Компанії </w:t>
      </w:r>
      <w:proofErr w:type="spellStart"/>
      <w:r w:rsidRPr="00356F5B">
        <w:rPr>
          <w:rFonts w:ascii="Times New Roman" w:hAnsi="Times New Roman" w:cs="Times New Roman"/>
          <w:sz w:val="28"/>
          <w:szCs w:val="28"/>
        </w:rPr>
        <w:t>пропорційно</w:t>
      </w:r>
      <w:proofErr w:type="spellEnd"/>
      <w:r w:rsidRPr="00356F5B">
        <w:rPr>
          <w:rFonts w:ascii="Times New Roman" w:hAnsi="Times New Roman" w:cs="Times New Roman"/>
          <w:sz w:val="28"/>
          <w:szCs w:val="28"/>
        </w:rPr>
        <w:t xml:space="preserve"> до їх частки у статутному капіталі. Структура акціонерів та їх частка наведена на </w:t>
      </w:r>
      <w:proofErr w:type="spellStart"/>
      <w:r w:rsidRPr="00356F5B">
        <w:rPr>
          <w:rFonts w:ascii="Times New Roman" w:hAnsi="Times New Roman" w:cs="Times New Roman"/>
          <w:sz w:val="28"/>
          <w:szCs w:val="28"/>
        </w:rPr>
        <w:t>мал</w:t>
      </w:r>
      <w:proofErr w:type="spellEnd"/>
      <w:r w:rsidRPr="00356F5B">
        <w:rPr>
          <w:rFonts w:ascii="Times New Roman" w:hAnsi="Times New Roman" w:cs="Times New Roman"/>
          <w:sz w:val="28"/>
          <w:szCs w:val="28"/>
        </w:rPr>
        <w:t xml:space="preserve"> 2.</w:t>
      </w:r>
    </w:p>
    <w:p w14:paraId="6ED0A253" w14:textId="77777777" w:rsidR="00B153DC" w:rsidRPr="00356F5B" w:rsidRDefault="00FF2428">
      <w:pPr>
        <w:jc w:val="both"/>
      </w:pPr>
      <w:r w:rsidRPr="00356F5B">
        <w:rPr>
          <w:noProof/>
          <w:lang w:eastAsia="uk-UA"/>
        </w:rPr>
        <w:drawing>
          <wp:inline distT="0" distB="0" distL="0" distR="0" wp14:anchorId="11485ACD" wp14:editId="1FD0296A">
            <wp:extent cx="5110480" cy="413258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6"/>
                    <pic:cNvPicPr>
                      <a:picLocks noChangeAspect="1" noChangeArrowheads="1"/>
                    </pic:cNvPicPr>
                  </pic:nvPicPr>
                  <pic:blipFill>
                    <a:blip r:embed="rId9"/>
                    <a:stretch>
                      <a:fillRect/>
                    </a:stretch>
                  </pic:blipFill>
                  <pic:spPr bwMode="auto">
                    <a:xfrm>
                      <a:off x="0" y="0"/>
                      <a:ext cx="5110480" cy="4132580"/>
                    </a:xfrm>
                    <a:prstGeom prst="rect">
                      <a:avLst/>
                    </a:prstGeom>
                  </pic:spPr>
                </pic:pic>
              </a:graphicData>
            </a:graphic>
          </wp:inline>
        </w:drawing>
      </w:r>
    </w:p>
    <w:p w14:paraId="54F04CE7" w14:textId="09B9D7BB" w:rsidR="00B153DC" w:rsidRPr="00356F5B" w:rsidRDefault="00254C66">
      <w:pPr>
        <w:ind w:firstLine="567"/>
        <w:jc w:val="both"/>
        <w:rPr>
          <w:rFonts w:ascii="Times New Roman" w:hAnsi="Times New Roman" w:cs="Times New Roman"/>
        </w:rPr>
      </w:pPr>
      <w:r w:rsidRPr="00356F5B">
        <w:rPr>
          <w:rFonts w:ascii="Times New Roman" w:hAnsi="Times New Roman" w:cs="Times New Roman"/>
          <w:sz w:val="28"/>
          <w:szCs w:val="28"/>
        </w:rPr>
        <w:t>М</w:t>
      </w:r>
      <w:r w:rsidR="00FF2428" w:rsidRPr="00356F5B">
        <w:rPr>
          <w:rFonts w:ascii="Times New Roman" w:hAnsi="Times New Roman" w:cs="Times New Roman"/>
          <w:sz w:val="28"/>
          <w:szCs w:val="28"/>
        </w:rPr>
        <w:t>ал.2</w:t>
      </w:r>
    </w:p>
    <w:p w14:paraId="21C31269" w14:textId="77777777" w:rsidR="00B153DC" w:rsidRPr="00356F5B" w:rsidRDefault="00FF2428">
      <w:pPr>
        <w:ind w:firstLine="4678"/>
        <w:jc w:val="both"/>
      </w:pPr>
      <w:r w:rsidRPr="00356F5B">
        <w:rPr>
          <w:noProof/>
          <w:lang w:eastAsia="uk-UA"/>
        </w:rPr>
        <mc:AlternateContent>
          <mc:Choice Requires="wps">
            <w:drawing>
              <wp:anchor distT="0" distB="0" distL="0" distR="0" simplePos="0" relativeHeight="7" behindDoc="0" locked="0" layoutInCell="0" allowOverlap="1" wp14:anchorId="0FD1912A" wp14:editId="3162C066">
                <wp:simplePos x="0" y="0"/>
                <wp:positionH relativeFrom="margin">
                  <wp:posOffset>-47708</wp:posOffset>
                </wp:positionH>
                <wp:positionV relativeFrom="paragraph">
                  <wp:posOffset>13031</wp:posOffset>
                </wp:positionV>
                <wp:extent cx="2872800" cy="3482672"/>
                <wp:effectExtent l="0" t="0" r="3810" b="3810"/>
                <wp:wrapNone/>
                <wp:docPr id="5" name="Прямоугольник 4"/>
                <wp:cNvGraphicFramePr/>
                <a:graphic xmlns:a="http://schemas.openxmlformats.org/drawingml/2006/main">
                  <a:graphicData uri="http://schemas.microsoft.com/office/word/2010/wordprocessingShape">
                    <wps:wsp>
                      <wps:cNvSpPr/>
                      <wps:spPr>
                        <a:xfrm>
                          <a:off x="0" y="0"/>
                          <a:ext cx="2872800" cy="3482672"/>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2F3D4D5F" w14:textId="43DE9957" w:rsidR="00B153DC" w:rsidRDefault="00FF2428" w:rsidP="00254C66">
                            <w:pPr>
                              <w:pStyle w:val="af2"/>
                              <w:ind w:firstLine="709"/>
                              <w:jc w:val="both"/>
                              <w:rPr>
                                <w:rFonts w:ascii="Times New Roman" w:hAnsi="Times New Roman" w:cs="Times New Roman"/>
                                <w:sz w:val="28"/>
                                <w:szCs w:val="28"/>
                              </w:rPr>
                            </w:pPr>
                            <w:r>
                              <w:rPr>
                                <w:rFonts w:ascii="Times New Roman" w:hAnsi="Times New Roman" w:cs="Times New Roman"/>
                                <w:color w:val="000000"/>
                                <w:sz w:val="28"/>
                                <w:szCs w:val="28"/>
                              </w:rPr>
                              <w:t>Компанія має дворівневу систему структур</w:t>
                            </w:r>
                            <w:r w:rsidR="00DA552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управління.</w:t>
                            </w:r>
                          </w:p>
                          <w:p w14:paraId="5DCDFE6A" w14:textId="77777777" w:rsidR="00B153DC" w:rsidRDefault="00FF2428" w:rsidP="00254C66">
                            <w:pPr>
                              <w:pStyle w:val="af2"/>
                              <w:ind w:firstLine="709"/>
                              <w:jc w:val="both"/>
                              <w:rPr>
                                <w:rFonts w:ascii="Times New Roman" w:hAnsi="Times New Roman" w:cs="Times New Roman"/>
                                <w:sz w:val="28"/>
                                <w:szCs w:val="28"/>
                              </w:rPr>
                            </w:pPr>
                            <w:r>
                              <w:rPr>
                                <w:rFonts w:ascii="Times New Roman" w:hAnsi="Times New Roman" w:cs="Times New Roman"/>
                                <w:color w:val="000000"/>
                                <w:sz w:val="28"/>
                                <w:szCs w:val="28"/>
                              </w:rPr>
                              <w:t>Органами управління Компанії є:</w:t>
                            </w:r>
                          </w:p>
                          <w:p w14:paraId="42A61E98" w14:textId="77777777" w:rsidR="00B153DC" w:rsidRDefault="00FF2428">
                            <w:pPr>
                              <w:pStyle w:val="ae"/>
                              <w:numPr>
                                <w:ilvl w:val="0"/>
                                <w:numId w:val="1"/>
                              </w:numPr>
                              <w:ind w:hanging="644"/>
                              <w:jc w:val="both"/>
                              <w:rPr>
                                <w:rFonts w:ascii="Times New Roman" w:hAnsi="Times New Roman" w:cs="Times New Roman"/>
                                <w:sz w:val="28"/>
                                <w:szCs w:val="28"/>
                              </w:rPr>
                            </w:pPr>
                            <w:r>
                              <w:rPr>
                                <w:rFonts w:ascii="Times New Roman" w:hAnsi="Times New Roman" w:cs="Times New Roman"/>
                                <w:color w:val="000000"/>
                                <w:sz w:val="28"/>
                                <w:szCs w:val="28"/>
                              </w:rPr>
                              <w:t>Загальні збори акціонерів Компанії – вищий орган;</w:t>
                            </w:r>
                          </w:p>
                          <w:p w14:paraId="79F0913F" w14:textId="77777777" w:rsidR="00B153DC" w:rsidRDefault="00FF2428">
                            <w:pPr>
                              <w:pStyle w:val="ae"/>
                              <w:numPr>
                                <w:ilvl w:val="0"/>
                                <w:numId w:val="1"/>
                              </w:numPr>
                              <w:ind w:hanging="644"/>
                              <w:jc w:val="both"/>
                              <w:rPr>
                                <w:rFonts w:ascii="Times New Roman" w:hAnsi="Times New Roman" w:cs="Times New Roman"/>
                                <w:sz w:val="28"/>
                                <w:szCs w:val="28"/>
                              </w:rPr>
                            </w:pPr>
                            <w:r>
                              <w:rPr>
                                <w:rFonts w:ascii="Times New Roman" w:hAnsi="Times New Roman" w:cs="Times New Roman"/>
                                <w:color w:val="000000"/>
                                <w:sz w:val="28"/>
                                <w:szCs w:val="28"/>
                              </w:rPr>
                              <w:t>Наглядова рада;</w:t>
                            </w:r>
                          </w:p>
                          <w:p w14:paraId="1D010A89" w14:textId="77777777" w:rsidR="00B153DC" w:rsidRDefault="00FF2428">
                            <w:pPr>
                              <w:pStyle w:val="ae"/>
                              <w:numPr>
                                <w:ilvl w:val="0"/>
                                <w:numId w:val="1"/>
                              </w:numPr>
                              <w:ind w:hanging="644"/>
                              <w:jc w:val="both"/>
                              <w:rPr>
                                <w:rFonts w:ascii="Times New Roman" w:hAnsi="Times New Roman" w:cs="Times New Roman"/>
                                <w:sz w:val="28"/>
                                <w:szCs w:val="28"/>
                              </w:rPr>
                            </w:pPr>
                            <w:r>
                              <w:rPr>
                                <w:rFonts w:ascii="Times New Roman" w:hAnsi="Times New Roman" w:cs="Times New Roman"/>
                                <w:color w:val="000000"/>
                                <w:sz w:val="28"/>
                                <w:szCs w:val="28"/>
                              </w:rPr>
                              <w:t>Правління – колегіальний виконавчий орган.</w:t>
                            </w:r>
                          </w:p>
                          <w:p w14:paraId="4BFDEBEE" w14:textId="358165C5" w:rsidR="00B153DC" w:rsidRDefault="00FF2428" w:rsidP="00254C66">
                            <w:pPr>
                              <w:pStyle w:val="ae"/>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До складу організаційної структури Компанії (мал.3) входять два дочірні підприємства зі статусом юридичної особи та один відокремлений підрозділ без такого статусу.</w:t>
                            </w:r>
                          </w:p>
                        </w:txbxContent>
                      </wps:txbx>
                      <wps:bodyPr>
                        <a:prstTxWarp prst="textNoShape">
                          <a:avLst/>
                        </a:prstTxWarp>
                        <a:noAutofit/>
                      </wps:bodyPr>
                    </wps:wsp>
                  </a:graphicData>
                </a:graphic>
                <wp14:sizeRelV relativeFrom="margin">
                  <wp14:pctHeight>0</wp14:pctHeight>
                </wp14:sizeRelV>
              </wp:anchor>
            </w:drawing>
          </mc:Choice>
          <mc:Fallback>
            <w:pict>
              <v:rect w14:anchorId="0FD1912A" id="Прямоугольник 4" o:spid="_x0000_s1027" style="position:absolute;left:0;text-align:left;margin-left:-3.75pt;margin-top:1.05pt;width:226.2pt;height:274.25pt;z-index:7;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1FwIAAGgEAAAOAAAAZHJzL2Uyb0RvYy54bWysVMtu1DAU3SPxD5b3TDJpOx1Fk6kQVdmg&#10;UtEi1h7H7ljyS7Y7yeyQ2CLxCXwEG8Sj35D5I66dNB0KmyI2jh/3nutzznUWJ62SaMOcF0ZXeDrJ&#10;MWKamlro6wq/vTp7NsfIB6JrIo1mFd4yj0+WT58sGluywqyNrJlDAKJ92dgKr0OwZZZ5umaK+Imx&#10;TMMhN06RAEt3ndWONICuZFbk+SxrjKutM5R5D7un/SFeJnzOGQ2vOfcsIFlhuFtIo0vjKo7ZckHK&#10;a0fsWtDhGuQfbqGI0FB0hDolgaAbJ/6AUoI64w0PE2pUZjgXlCUOwGaaP2BzuSaWJS4gjrejTP7/&#10;wdLzzYVDoq7wEUaaKLCo+7x7v/vU/ehudx+6L91t9333sfvZfe2+ocOoV2N9CWmX9sINKw/TSL7l&#10;TsUv0EJt0ng7aszagChsFvPjYp6DFRTODg7nxey4iKjZfbp1PrxkRqE4qbADE5O2ZPPKhz70LiRW&#10;80aK+kxImRaxcdgL6dCGgOUyTAfw36KkRk2FZwdHeQLWJqb3yFLDXSLFnlSaha1kEVzqN4yDWInb&#10;X6oRSpkeK6boGMUB/DGJQ3xMZamFH5M8ZqTKRocxWQltXFJjj1SchnbVphZIWsWdlam3vaVR6Kv2&#10;HXF2cCOAkefmrjNJ+cCUPjbW1ub5TTBcJMf2QZO60M7J8+Hpxfeyv04e3P8glr8AAAD//wMAUEsD&#10;BBQABgAIAAAAIQDQSvqM3gAAAAgBAAAPAAAAZHJzL2Rvd25yZXYueG1sTI/NTsMwEITvSLyDtUjc&#10;WidV0p+QTVVV4gYHWiqubrzEEfE6it008PSYEz2OZjTzTbmdbCdGGnzrGCGdJyCIa6dbbhDej8+z&#10;NQgfFGvVOSaEb/Kwre7vSlVod+U3Gg+hEbGEfaEQTAh9IaWvDVnl564njt6nG6wKUQ6N1IO6xnLb&#10;yUWSLKVVLccFo3raG6q/DheLQMdT2L2u9uuX3PyMHzadNu5kEB8fpt0TiEBT+A/DH35Ehyoynd2F&#10;tRcdwmyVxyTCIgUR7SzLNiDOCHmeLEFWpbw9UP0CAAD//wMAUEsBAi0AFAAGAAgAAAAhALaDOJL+&#10;AAAA4QEAABMAAAAAAAAAAAAAAAAAAAAAAFtDb250ZW50X1R5cGVzXS54bWxQSwECLQAUAAYACAAA&#10;ACEAOP0h/9YAAACUAQAACwAAAAAAAAAAAAAAAAAvAQAAX3JlbHMvLnJlbHNQSwECLQAUAAYACAAA&#10;ACEAEjQCtRcCAABoBAAADgAAAAAAAAAAAAAAAAAuAgAAZHJzL2Uyb0RvYy54bWxQSwECLQAUAAYA&#10;CAAAACEA0Er6jN4AAAAIAQAADwAAAAAAAAAAAAAAAABxBAAAZHJzL2Rvd25yZXYueG1sUEsFBgAA&#10;AAAEAAQA8wAAAHwFAAAAAA==&#10;" o:allowincell="f" fillcolor="white [3201]" stroked="f" strokeweight=".5pt">
                <v:textbox>
                  <w:txbxContent>
                    <w:p w14:paraId="2F3D4D5F" w14:textId="43DE9957" w:rsidR="00B153DC" w:rsidRDefault="00FF2428" w:rsidP="00254C66">
                      <w:pPr>
                        <w:pStyle w:val="af2"/>
                        <w:ind w:firstLine="709"/>
                        <w:jc w:val="both"/>
                        <w:rPr>
                          <w:rFonts w:ascii="Times New Roman" w:hAnsi="Times New Roman" w:cs="Times New Roman"/>
                          <w:sz w:val="28"/>
                          <w:szCs w:val="28"/>
                        </w:rPr>
                      </w:pPr>
                      <w:r>
                        <w:rPr>
                          <w:rFonts w:ascii="Times New Roman" w:hAnsi="Times New Roman" w:cs="Times New Roman"/>
                          <w:color w:val="000000"/>
                          <w:sz w:val="28"/>
                          <w:szCs w:val="28"/>
                        </w:rPr>
                        <w:t>Компанія має дворівневу систему структур</w:t>
                      </w:r>
                      <w:r w:rsidR="00DA552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управління.</w:t>
                      </w:r>
                    </w:p>
                    <w:p w14:paraId="5DCDFE6A" w14:textId="77777777" w:rsidR="00B153DC" w:rsidRDefault="00FF2428" w:rsidP="00254C66">
                      <w:pPr>
                        <w:pStyle w:val="af2"/>
                        <w:ind w:firstLine="709"/>
                        <w:jc w:val="both"/>
                        <w:rPr>
                          <w:rFonts w:ascii="Times New Roman" w:hAnsi="Times New Roman" w:cs="Times New Roman"/>
                          <w:sz w:val="28"/>
                          <w:szCs w:val="28"/>
                        </w:rPr>
                      </w:pPr>
                      <w:r>
                        <w:rPr>
                          <w:rFonts w:ascii="Times New Roman" w:hAnsi="Times New Roman" w:cs="Times New Roman"/>
                          <w:color w:val="000000"/>
                          <w:sz w:val="28"/>
                          <w:szCs w:val="28"/>
                        </w:rPr>
                        <w:t>Органами управління Компанії є:</w:t>
                      </w:r>
                    </w:p>
                    <w:p w14:paraId="42A61E98" w14:textId="77777777" w:rsidR="00B153DC" w:rsidRDefault="00FF2428">
                      <w:pPr>
                        <w:pStyle w:val="ae"/>
                        <w:numPr>
                          <w:ilvl w:val="0"/>
                          <w:numId w:val="1"/>
                        </w:numPr>
                        <w:ind w:hanging="644"/>
                        <w:jc w:val="both"/>
                        <w:rPr>
                          <w:rFonts w:ascii="Times New Roman" w:hAnsi="Times New Roman" w:cs="Times New Roman"/>
                          <w:sz w:val="28"/>
                          <w:szCs w:val="28"/>
                        </w:rPr>
                      </w:pPr>
                      <w:r>
                        <w:rPr>
                          <w:rFonts w:ascii="Times New Roman" w:hAnsi="Times New Roman" w:cs="Times New Roman"/>
                          <w:color w:val="000000"/>
                          <w:sz w:val="28"/>
                          <w:szCs w:val="28"/>
                        </w:rPr>
                        <w:t>Загальні збори акціонерів Компанії – вищий орган;</w:t>
                      </w:r>
                    </w:p>
                    <w:p w14:paraId="79F0913F" w14:textId="77777777" w:rsidR="00B153DC" w:rsidRDefault="00FF2428">
                      <w:pPr>
                        <w:pStyle w:val="ae"/>
                        <w:numPr>
                          <w:ilvl w:val="0"/>
                          <w:numId w:val="1"/>
                        </w:numPr>
                        <w:ind w:hanging="644"/>
                        <w:jc w:val="both"/>
                        <w:rPr>
                          <w:rFonts w:ascii="Times New Roman" w:hAnsi="Times New Roman" w:cs="Times New Roman"/>
                          <w:sz w:val="28"/>
                          <w:szCs w:val="28"/>
                        </w:rPr>
                      </w:pPr>
                      <w:r>
                        <w:rPr>
                          <w:rFonts w:ascii="Times New Roman" w:hAnsi="Times New Roman" w:cs="Times New Roman"/>
                          <w:color w:val="000000"/>
                          <w:sz w:val="28"/>
                          <w:szCs w:val="28"/>
                        </w:rPr>
                        <w:t>Наглядова рада;</w:t>
                      </w:r>
                    </w:p>
                    <w:p w14:paraId="1D010A89" w14:textId="77777777" w:rsidR="00B153DC" w:rsidRDefault="00FF2428">
                      <w:pPr>
                        <w:pStyle w:val="ae"/>
                        <w:numPr>
                          <w:ilvl w:val="0"/>
                          <w:numId w:val="1"/>
                        </w:numPr>
                        <w:ind w:hanging="644"/>
                        <w:jc w:val="both"/>
                        <w:rPr>
                          <w:rFonts w:ascii="Times New Roman" w:hAnsi="Times New Roman" w:cs="Times New Roman"/>
                          <w:sz w:val="28"/>
                          <w:szCs w:val="28"/>
                        </w:rPr>
                      </w:pPr>
                      <w:r>
                        <w:rPr>
                          <w:rFonts w:ascii="Times New Roman" w:hAnsi="Times New Roman" w:cs="Times New Roman"/>
                          <w:color w:val="000000"/>
                          <w:sz w:val="28"/>
                          <w:szCs w:val="28"/>
                        </w:rPr>
                        <w:t>Правління – колегіальний виконавчий орган.</w:t>
                      </w:r>
                    </w:p>
                    <w:p w14:paraId="4BFDEBEE" w14:textId="358165C5" w:rsidR="00B153DC" w:rsidRDefault="00FF2428" w:rsidP="00254C66">
                      <w:pPr>
                        <w:pStyle w:val="ae"/>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До складу організаційної структури Компанії (мал.3) входять два дочірні підприємства зі статусом юридичної особи та один відокремлений підрозділ без такого статусу.</w:t>
                      </w:r>
                    </w:p>
                  </w:txbxContent>
                </v:textbox>
                <w10:wrap anchorx="margin"/>
              </v:rect>
            </w:pict>
          </mc:Fallback>
        </mc:AlternateContent>
      </w:r>
      <w:r w:rsidRPr="00356F5B">
        <w:rPr>
          <w:noProof/>
          <w:lang w:eastAsia="uk-UA"/>
        </w:rPr>
        <w:drawing>
          <wp:inline distT="0" distB="0" distL="0" distR="0" wp14:anchorId="1888985F" wp14:editId="38A0A22B">
            <wp:extent cx="3129097" cy="3152851"/>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9"/>
                    <pic:cNvPicPr>
                      <a:picLocks noChangeAspect="1" noChangeArrowheads="1"/>
                    </pic:cNvPicPr>
                  </pic:nvPicPr>
                  <pic:blipFill>
                    <a:blip r:embed="rId10"/>
                    <a:stretch>
                      <a:fillRect/>
                    </a:stretch>
                  </pic:blipFill>
                  <pic:spPr bwMode="auto">
                    <a:xfrm>
                      <a:off x="0" y="0"/>
                      <a:ext cx="3133226" cy="3157011"/>
                    </a:xfrm>
                    <a:prstGeom prst="rect">
                      <a:avLst/>
                    </a:prstGeom>
                  </pic:spPr>
                </pic:pic>
              </a:graphicData>
            </a:graphic>
          </wp:inline>
        </w:drawing>
      </w:r>
    </w:p>
    <w:p w14:paraId="53A60D7A" w14:textId="5E6B698E" w:rsidR="00B153DC" w:rsidRPr="00356F5B" w:rsidRDefault="00254C66">
      <w:pPr>
        <w:ind w:left="6372" w:firstLine="708"/>
        <w:jc w:val="both"/>
        <w:rPr>
          <w:rFonts w:ascii="Times New Roman" w:hAnsi="Times New Roman" w:cs="Times New Roman"/>
        </w:rPr>
      </w:pPr>
      <w:proofErr w:type="spellStart"/>
      <w:r w:rsidRPr="00356F5B">
        <w:rPr>
          <w:rFonts w:ascii="Times New Roman" w:hAnsi="Times New Roman" w:cs="Times New Roman"/>
          <w:color w:val="202124"/>
          <w:sz w:val="28"/>
          <w:szCs w:val="28"/>
          <w:shd w:val="clear" w:color="auto" w:fill="FFFFFF"/>
        </w:rPr>
        <w:lastRenderedPageBreak/>
        <w:t>М</w:t>
      </w:r>
      <w:r w:rsidR="00FF2428" w:rsidRPr="00356F5B">
        <w:rPr>
          <w:rFonts w:ascii="Times New Roman" w:hAnsi="Times New Roman" w:cs="Times New Roman"/>
          <w:color w:val="202124"/>
          <w:sz w:val="28"/>
          <w:szCs w:val="28"/>
          <w:shd w:val="clear" w:color="auto" w:fill="FFFFFF"/>
        </w:rPr>
        <w:t>ал</w:t>
      </w:r>
      <w:proofErr w:type="spellEnd"/>
      <w:r w:rsidR="00FF2428" w:rsidRPr="00356F5B">
        <w:rPr>
          <w:rFonts w:ascii="Times New Roman" w:hAnsi="Times New Roman" w:cs="Times New Roman"/>
          <w:color w:val="202124"/>
          <w:sz w:val="28"/>
          <w:szCs w:val="28"/>
          <w:shd w:val="clear" w:color="auto" w:fill="FFFFFF"/>
        </w:rPr>
        <w:t>. 3</w:t>
      </w:r>
    </w:p>
    <w:p w14:paraId="5B4D948F" w14:textId="583CEDF7" w:rsidR="0040293F" w:rsidRPr="00356F5B" w:rsidRDefault="00254C66" w:rsidP="0040293F">
      <w:pPr>
        <w:jc w:val="both"/>
        <w:rPr>
          <w:rFonts w:ascii="Times New Roman" w:hAnsi="Times New Roman" w:cs="Times New Roman"/>
          <w:sz w:val="28"/>
          <w:szCs w:val="28"/>
        </w:rPr>
      </w:pPr>
      <w:r w:rsidRPr="00356F5B">
        <w:rPr>
          <w:rFonts w:ascii="Times New Roman" w:hAnsi="Times New Roman" w:cs="Times New Roman"/>
          <w:color w:val="202124"/>
          <w:sz w:val="28"/>
          <w:szCs w:val="28"/>
          <w:shd w:val="clear" w:color="auto" w:fill="FFFFFF"/>
        </w:rPr>
        <w:tab/>
      </w:r>
      <w:r w:rsidR="00FF2428" w:rsidRPr="00356F5B">
        <w:rPr>
          <w:rFonts w:ascii="Times New Roman" w:hAnsi="Times New Roman" w:cs="Times New Roman"/>
          <w:color w:val="202124"/>
          <w:sz w:val="28"/>
          <w:szCs w:val="28"/>
          <w:shd w:val="clear" w:color="auto" w:fill="FFFFFF"/>
        </w:rPr>
        <w:t>Крім того, станом на 31.03.2023 К</w:t>
      </w:r>
      <w:r w:rsidRPr="00356F5B">
        <w:rPr>
          <w:rFonts w:ascii="Times New Roman" w:hAnsi="Times New Roman" w:cs="Times New Roman"/>
          <w:color w:val="202124"/>
          <w:sz w:val="28"/>
          <w:szCs w:val="28"/>
          <w:shd w:val="clear" w:color="auto" w:fill="FFFFFF"/>
        </w:rPr>
        <w:t>омпанія</w:t>
      </w:r>
      <w:r w:rsidR="00FF2428" w:rsidRPr="00356F5B">
        <w:rPr>
          <w:rFonts w:ascii="Times New Roman" w:hAnsi="Times New Roman" w:cs="Times New Roman"/>
          <w:color w:val="202124"/>
          <w:sz w:val="28"/>
          <w:szCs w:val="28"/>
          <w:shd w:val="clear" w:color="auto" w:fill="FFFFFF"/>
        </w:rPr>
        <w:t xml:space="preserve"> є акціонером (володіє корпоративними правами) наступних суб’єктів господарювання:</w:t>
      </w:r>
      <w:r w:rsidR="0040293F" w:rsidRPr="00356F5B">
        <w:rPr>
          <w:rFonts w:ascii="Times New Roman" w:hAnsi="Times New Roman" w:cs="Times New Roman"/>
          <w:color w:val="202124"/>
          <w:sz w:val="28"/>
          <w:szCs w:val="28"/>
          <w:shd w:val="clear" w:color="auto" w:fill="FFFFFF"/>
        </w:rPr>
        <w:t xml:space="preserve"> </w:t>
      </w:r>
      <w:r w:rsidR="0040293F" w:rsidRPr="00356F5B">
        <w:rPr>
          <w:rFonts w:ascii="Times New Roman" w:hAnsi="Times New Roman" w:cs="Times New Roman"/>
          <w:sz w:val="28"/>
          <w:szCs w:val="28"/>
        </w:rPr>
        <w:t>ПрАТ  «</w:t>
      </w:r>
      <w:proofErr w:type="spellStart"/>
      <w:r w:rsidR="0040293F" w:rsidRPr="00356F5B">
        <w:rPr>
          <w:rFonts w:ascii="Times New Roman" w:hAnsi="Times New Roman" w:cs="Times New Roman"/>
          <w:sz w:val="28"/>
          <w:szCs w:val="28"/>
        </w:rPr>
        <w:t>Київбуддеталькомлект</w:t>
      </w:r>
      <w:proofErr w:type="spellEnd"/>
      <w:r w:rsidR="0040293F" w:rsidRPr="00356F5B">
        <w:rPr>
          <w:rFonts w:ascii="Times New Roman" w:hAnsi="Times New Roman" w:cs="Times New Roman"/>
          <w:sz w:val="28"/>
          <w:szCs w:val="28"/>
        </w:rPr>
        <w:t>» - 30%; АТ «Жуляни» - 30%; ПрАТ «</w:t>
      </w:r>
      <w:proofErr w:type="spellStart"/>
      <w:r w:rsidR="0040293F" w:rsidRPr="00356F5B">
        <w:rPr>
          <w:rFonts w:ascii="Times New Roman" w:hAnsi="Times New Roman" w:cs="Times New Roman"/>
          <w:sz w:val="28"/>
          <w:szCs w:val="28"/>
        </w:rPr>
        <w:t>Полар</w:t>
      </w:r>
      <w:proofErr w:type="spellEnd"/>
      <w:r w:rsidR="0040293F" w:rsidRPr="00356F5B">
        <w:rPr>
          <w:rFonts w:ascii="Times New Roman" w:hAnsi="Times New Roman" w:cs="Times New Roman"/>
          <w:sz w:val="28"/>
          <w:szCs w:val="28"/>
        </w:rPr>
        <w:t xml:space="preserve"> – Україна» - 22%; АТ «ПП «</w:t>
      </w:r>
      <w:proofErr w:type="spellStart"/>
      <w:r w:rsidR="0040293F" w:rsidRPr="00356F5B">
        <w:rPr>
          <w:rFonts w:ascii="Times New Roman" w:hAnsi="Times New Roman" w:cs="Times New Roman"/>
          <w:sz w:val="28"/>
          <w:szCs w:val="28"/>
        </w:rPr>
        <w:t>Київоргбуд</w:t>
      </w:r>
      <w:proofErr w:type="spellEnd"/>
      <w:r w:rsidR="0040293F" w:rsidRPr="00356F5B">
        <w:rPr>
          <w:rFonts w:ascii="Times New Roman" w:hAnsi="Times New Roman" w:cs="Times New Roman"/>
          <w:sz w:val="28"/>
          <w:szCs w:val="28"/>
        </w:rPr>
        <w:t xml:space="preserve">» - 36%; ПрАТ «Деревообробний комбінат № 7» - 25%; ПрАТ «Трест </w:t>
      </w:r>
      <w:proofErr w:type="spellStart"/>
      <w:r w:rsidR="0040293F" w:rsidRPr="00356F5B">
        <w:rPr>
          <w:rFonts w:ascii="Times New Roman" w:hAnsi="Times New Roman" w:cs="Times New Roman"/>
          <w:sz w:val="28"/>
          <w:szCs w:val="28"/>
        </w:rPr>
        <w:t>Київспецбуд</w:t>
      </w:r>
      <w:proofErr w:type="spellEnd"/>
      <w:r w:rsidR="0040293F" w:rsidRPr="00356F5B">
        <w:rPr>
          <w:rFonts w:ascii="Times New Roman" w:hAnsi="Times New Roman" w:cs="Times New Roman"/>
          <w:sz w:val="28"/>
          <w:szCs w:val="28"/>
        </w:rPr>
        <w:t xml:space="preserve">» - 25%; ПрАТ «Трест </w:t>
      </w:r>
      <w:proofErr w:type="spellStart"/>
      <w:r w:rsidR="0040293F" w:rsidRPr="00356F5B">
        <w:rPr>
          <w:rFonts w:ascii="Times New Roman" w:hAnsi="Times New Roman" w:cs="Times New Roman"/>
          <w:sz w:val="28"/>
          <w:szCs w:val="28"/>
        </w:rPr>
        <w:t>Київелектромонтаж</w:t>
      </w:r>
      <w:proofErr w:type="spellEnd"/>
      <w:r w:rsidR="0040293F" w:rsidRPr="00356F5B">
        <w:rPr>
          <w:rFonts w:ascii="Times New Roman" w:hAnsi="Times New Roman" w:cs="Times New Roman"/>
          <w:sz w:val="28"/>
          <w:szCs w:val="28"/>
        </w:rPr>
        <w:t>» - 26%; ПрАТ «АТП № 2» - 30%; ПАТ «Управління спеціальних машин» - 29,74%; ПрАТ «ЕМЗ» Металіст» - 30%; ПрАТ  «</w:t>
      </w:r>
      <w:proofErr w:type="spellStart"/>
      <w:r w:rsidR="0040293F" w:rsidRPr="00356F5B">
        <w:rPr>
          <w:rFonts w:ascii="Times New Roman" w:hAnsi="Times New Roman" w:cs="Times New Roman"/>
          <w:sz w:val="28"/>
          <w:szCs w:val="28"/>
        </w:rPr>
        <w:t>Експерементально</w:t>
      </w:r>
      <w:proofErr w:type="spellEnd"/>
      <w:r w:rsidR="0040293F" w:rsidRPr="00356F5B">
        <w:rPr>
          <w:rFonts w:ascii="Times New Roman" w:hAnsi="Times New Roman" w:cs="Times New Roman"/>
          <w:sz w:val="28"/>
          <w:szCs w:val="28"/>
        </w:rPr>
        <w:t xml:space="preserve">-механічний завод» - 30%; НАО «ДКР </w:t>
      </w:r>
      <w:proofErr w:type="spellStart"/>
      <w:r w:rsidR="0040293F" w:rsidRPr="00356F5B">
        <w:rPr>
          <w:rFonts w:ascii="Times New Roman" w:hAnsi="Times New Roman" w:cs="Times New Roman"/>
          <w:sz w:val="28"/>
          <w:szCs w:val="28"/>
        </w:rPr>
        <w:t>Девелопмент</w:t>
      </w:r>
      <w:proofErr w:type="spellEnd"/>
      <w:r w:rsidR="0040293F" w:rsidRPr="00356F5B">
        <w:rPr>
          <w:rFonts w:ascii="Times New Roman" w:hAnsi="Times New Roman" w:cs="Times New Roman"/>
          <w:sz w:val="28"/>
          <w:szCs w:val="28"/>
        </w:rPr>
        <w:t>» - 30%; ТОВ «Новобудова» - 30%; ТОВ «ПРО ТЕК Україна» - 10%; ПрАТ «Трест Київміськбуд – 6» - 30%; ПрАТ «Тайга» - 30%; ПрАТ «</w:t>
      </w:r>
      <w:proofErr w:type="spellStart"/>
      <w:r w:rsidR="0040293F" w:rsidRPr="00356F5B">
        <w:rPr>
          <w:rFonts w:ascii="Times New Roman" w:hAnsi="Times New Roman" w:cs="Times New Roman"/>
          <w:sz w:val="28"/>
          <w:szCs w:val="28"/>
        </w:rPr>
        <w:t>Київопорядкомплект</w:t>
      </w:r>
      <w:proofErr w:type="spellEnd"/>
      <w:r w:rsidR="0040293F" w:rsidRPr="00356F5B">
        <w:rPr>
          <w:rFonts w:ascii="Times New Roman" w:hAnsi="Times New Roman" w:cs="Times New Roman"/>
          <w:sz w:val="28"/>
          <w:szCs w:val="28"/>
        </w:rPr>
        <w:t xml:space="preserve">» - 10,1%; ВАТ «АТП № 7» - 30%; ПрАТ «Трест </w:t>
      </w:r>
      <w:proofErr w:type="spellStart"/>
      <w:r w:rsidR="0040293F" w:rsidRPr="00356F5B">
        <w:rPr>
          <w:rFonts w:ascii="Times New Roman" w:hAnsi="Times New Roman" w:cs="Times New Roman"/>
          <w:sz w:val="28"/>
          <w:szCs w:val="28"/>
        </w:rPr>
        <w:t>Київпідземшляхбуд</w:t>
      </w:r>
      <w:proofErr w:type="spellEnd"/>
      <w:r w:rsidR="0040293F" w:rsidRPr="00356F5B">
        <w:rPr>
          <w:rFonts w:ascii="Times New Roman" w:hAnsi="Times New Roman" w:cs="Times New Roman"/>
          <w:sz w:val="28"/>
          <w:szCs w:val="28"/>
        </w:rPr>
        <w:t xml:space="preserve"> – 2» - 20%; ПАТ  «Трест Київміськбуд – 3» - 30%; ПрАТ «АТП-1» - 30%; ПрАТ  «Домобудівний комбінат № 4» - 30%; ПАТ «</w:t>
      </w:r>
      <w:proofErr w:type="spellStart"/>
      <w:r w:rsidR="0040293F" w:rsidRPr="00356F5B">
        <w:rPr>
          <w:rFonts w:ascii="Times New Roman" w:hAnsi="Times New Roman" w:cs="Times New Roman"/>
          <w:sz w:val="28"/>
          <w:szCs w:val="28"/>
        </w:rPr>
        <w:t>Будтранс</w:t>
      </w:r>
      <w:proofErr w:type="spellEnd"/>
      <w:r w:rsidR="0040293F" w:rsidRPr="00356F5B">
        <w:rPr>
          <w:rFonts w:ascii="Times New Roman" w:hAnsi="Times New Roman" w:cs="Times New Roman"/>
          <w:sz w:val="28"/>
          <w:szCs w:val="28"/>
        </w:rPr>
        <w:t>» - 30%; ПрАТ  «Асфальтобетонний завод» - 30%; ТОВ «ЕКОС Центр» - 24%; ТОВ «ЕКОС Нерухомість» - 24%; УТБ «Контрактовий дім УМВБ» - 0,01%; ТОВ «</w:t>
      </w:r>
      <w:proofErr w:type="spellStart"/>
      <w:r w:rsidR="0040293F" w:rsidRPr="00356F5B">
        <w:rPr>
          <w:rFonts w:ascii="Times New Roman" w:hAnsi="Times New Roman" w:cs="Times New Roman"/>
          <w:sz w:val="28"/>
          <w:szCs w:val="28"/>
        </w:rPr>
        <w:t>Міськбуд</w:t>
      </w:r>
      <w:proofErr w:type="spellEnd"/>
      <w:r w:rsidR="0040293F" w:rsidRPr="00356F5B">
        <w:rPr>
          <w:rFonts w:ascii="Times New Roman" w:hAnsi="Times New Roman" w:cs="Times New Roman"/>
          <w:sz w:val="28"/>
          <w:szCs w:val="28"/>
        </w:rPr>
        <w:t xml:space="preserve"> – 4» - 100%.</w:t>
      </w:r>
    </w:p>
    <w:p w14:paraId="7A230349" w14:textId="70FE879E" w:rsidR="00B153DC" w:rsidRPr="00356F5B" w:rsidRDefault="00FF2428" w:rsidP="00254C66">
      <w:pPr>
        <w:pStyle w:val="ae"/>
        <w:ind w:left="0" w:firstLine="709"/>
        <w:jc w:val="both"/>
      </w:pPr>
      <w:r w:rsidRPr="00356F5B">
        <w:rPr>
          <w:rFonts w:ascii="Times New Roman" w:hAnsi="Times New Roman" w:cs="Times New Roman"/>
          <w:sz w:val="28"/>
          <w:szCs w:val="28"/>
          <w:shd w:val="clear" w:color="auto" w:fill="FFFFFF"/>
        </w:rPr>
        <w:t>Дебіторська заборгованість Компанії станом на 31.03.2023 становила 1,22</w:t>
      </w:r>
      <w:r w:rsidR="003E5D32"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млрд грн, що майже в 6 разів перевищує аналогічний показник початку 2019 року.</w:t>
      </w:r>
    </w:p>
    <w:p w14:paraId="2C42136A" w14:textId="7D1E7F73" w:rsidR="00B153DC" w:rsidRPr="00356F5B" w:rsidRDefault="00FF2428" w:rsidP="003E5D32">
      <w:pPr>
        <w:pStyle w:val="ae"/>
        <w:ind w:left="0" w:firstLine="709"/>
        <w:jc w:val="both"/>
      </w:pPr>
      <w:r w:rsidRPr="00356F5B">
        <w:rPr>
          <w:rFonts w:ascii="Times New Roman" w:hAnsi="Times New Roman" w:cs="Times New Roman"/>
          <w:sz w:val="28"/>
          <w:szCs w:val="28"/>
          <w:shd w:val="clear" w:color="auto" w:fill="FFFFFF"/>
        </w:rPr>
        <w:t xml:space="preserve">Аванси, в основному, Компанією видані ТОВ «Гарант </w:t>
      </w:r>
      <w:proofErr w:type="spellStart"/>
      <w:r w:rsidRPr="00356F5B">
        <w:rPr>
          <w:rFonts w:ascii="Times New Roman" w:hAnsi="Times New Roman" w:cs="Times New Roman"/>
          <w:sz w:val="28"/>
          <w:szCs w:val="28"/>
          <w:shd w:val="clear" w:color="auto" w:fill="FFFFFF"/>
        </w:rPr>
        <w:t>Енерджи</w:t>
      </w:r>
      <w:proofErr w:type="spellEnd"/>
      <w:r w:rsidRPr="00356F5B">
        <w:rPr>
          <w:rFonts w:ascii="Times New Roman" w:hAnsi="Times New Roman" w:cs="Times New Roman"/>
          <w:sz w:val="28"/>
          <w:szCs w:val="28"/>
          <w:shd w:val="clear" w:color="auto" w:fill="FFFFFF"/>
        </w:rPr>
        <w:t>» (66,03</w:t>
      </w:r>
      <w:r w:rsidR="003E5D32"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млн</w:t>
      </w:r>
      <w:r w:rsidR="003E5D32"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грн – електромережі), ТОВ «ІБК «АЛЬЯНС-ГРУП» (34,27 млн грн – передача функцій замовника), ТОВ «</w:t>
      </w:r>
      <w:proofErr w:type="spellStart"/>
      <w:r w:rsidRPr="00356F5B">
        <w:rPr>
          <w:rFonts w:ascii="Times New Roman" w:hAnsi="Times New Roman" w:cs="Times New Roman"/>
          <w:sz w:val="28"/>
          <w:szCs w:val="28"/>
          <w:shd w:val="clear" w:color="auto" w:fill="FFFFFF"/>
        </w:rPr>
        <w:t>Фінліфт</w:t>
      </w:r>
      <w:proofErr w:type="spellEnd"/>
      <w:r w:rsidRPr="00356F5B">
        <w:rPr>
          <w:rFonts w:ascii="Times New Roman" w:hAnsi="Times New Roman" w:cs="Times New Roman"/>
          <w:sz w:val="28"/>
          <w:szCs w:val="28"/>
          <w:shd w:val="clear" w:color="auto" w:fill="FFFFFF"/>
        </w:rPr>
        <w:t>-К» (21,5 млн грн) та ТОВ «</w:t>
      </w:r>
      <w:proofErr w:type="spellStart"/>
      <w:r w:rsidRPr="00356F5B">
        <w:rPr>
          <w:rFonts w:ascii="Times New Roman" w:hAnsi="Times New Roman" w:cs="Times New Roman"/>
          <w:sz w:val="28"/>
          <w:szCs w:val="28"/>
          <w:shd w:val="clear" w:color="auto" w:fill="FFFFFF"/>
        </w:rPr>
        <w:t>Альтіс-ліфтсервіс</w:t>
      </w:r>
      <w:proofErr w:type="spellEnd"/>
      <w:r w:rsidRPr="00356F5B">
        <w:rPr>
          <w:rFonts w:ascii="Times New Roman" w:hAnsi="Times New Roman" w:cs="Times New Roman"/>
          <w:sz w:val="28"/>
          <w:szCs w:val="28"/>
          <w:shd w:val="clear" w:color="auto" w:fill="FFFFFF"/>
        </w:rPr>
        <w:t>» (21,5 млн грн) за ліфтове обладнання, ПАТ «ДТЕК Київські електромережі» (12,44 млн грн – електромережі).</w:t>
      </w:r>
    </w:p>
    <w:p w14:paraId="7DEF81C7" w14:textId="39D4BB79" w:rsidR="00B153DC" w:rsidRPr="00356F5B" w:rsidRDefault="00FF2428" w:rsidP="003E5D32">
      <w:pPr>
        <w:pStyle w:val="ae"/>
        <w:ind w:left="0" w:firstLine="709"/>
        <w:jc w:val="both"/>
      </w:pPr>
      <w:r w:rsidRPr="00356F5B">
        <w:rPr>
          <w:rFonts w:ascii="Times New Roman" w:hAnsi="Times New Roman" w:cs="Times New Roman"/>
          <w:sz w:val="28"/>
          <w:szCs w:val="28"/>
          <w:shd w:val="clear" w:color="auto" w:fill="FFFFFF"/>
        </w:rPr>
        <w:t>Інша поточна дебіторська заборгованість сформована у вигляді заборгованості територіальної громади міста Києва за передані мережі – 51,47 млн грн (75%), з розрахунків з фізичними особами – 15,72 млн грн (23%) та ДП «УКБ-</w:t>
      </w:r>
      <w:proofErr w:type="spellStart"/>
      <w:r w:rsidRPr="00356F5B">
        <w:rPr>
          <w:rFonts w:ascii="Times New Roman" w:hAnsi="Times New Roman" w:cs="Times New Roman"/>
          <w:sz w:val="28"/>
          <w:szCs w:val="28"/>
          <w:shd w:val="clear" w:color="auto" w:fill="FFFFFF"/>
        </w:rPr>
        <w:t>Інвест</w:t>
      </w:r>
      <w:proofErr w:type="spellEnd"/>
      <w:r w:rsidRPr="00356F5B">
        <w:rPr>
          <w:rFonts w:ascii="Times New Roman" w:hAnsi="Times New Roman" w:cs="Times New Roman"/>
          <w:sz w:val="28"/>
          <w:szCs w:val="28"/>
          <w:shd w:val="clear" w:color="auto" w:fill="FFFFFF"/>
        </w:rPr>
        <w:t>» - 1,8 млн грн (2%), довгострокова дебіторська заборгованість 2,92</w:t>
      </w:r>
      <w:r w:rsidR="003E5D32"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млн грн - ТОВ «Моноліт-Буд».</w:t>
      </w:r>
    </w:p>
    <w:p w14:paraId="685298F1" w14:textId="61A12421" w:rsidR="00B153DC" w:rsidRPr="00356F5B" w:rsidRDefault="00FF2428" w:rsidP="003E5D32">
      <w:pPr>
        <w:pStyle w:val="ae"/>
        <w:ind w:left="0" w:firstLine="709"/>
        <w:jc w:val="both"/>
      </w:pPr>
      <w:r w:rsidRPr="00356F5B">
        <w:rPr>
          <w:rFonts w:ascii="Times New Roman" w:hAnsi="Times New Roman" w:cs="Times New Roman"/>
          <w:sz w:val="28"/>
          <w:szCs w:val="28"/>
          <w:shd w:val="clear" w:color="auto" w:fill="FFFFFF"/>
        </w:rPr>
        <w:t>Також, за Компанією обліковується дебіторська заборгованість за розрахунками з бюджетом у сумі 867,97 млн грн, пов’язана з нарахуванням та сплатою податку на додану вартість.</w:t>
      </w:r>
    </w:p>
    <w:p w14:paraId="43C233E3" w14:textId="77777777" w:rsidR="00B153DC" w:rsidRPr="00356F5B" w:rsidRDefault="00FF2428" w:rsidP="003E5D32">
      <w:pPr>
        <w:pStyle w:val="ae"/>
        <w:ind w:left="0" w:firstLine="709"/>
        <w:jc w:val="both"/>
      </w:pPr>
      <w:r w:rsidRPr="00356F5B">
        <w:rPr>
          <w:rFonts w:ascii="Times New Roman" w:hAnsi="Times New Roman" w:cs="Times New Roman"/>
          <w:sz w:val="28"/>
          <w:szCs w:val="28"/>
          <w:shd w:val="clear" w:color="auto" w:fill="FFFFFF"/>
        </w:rPr>
        <w:t xml:space="preserve">Зобов’язання та забезпечення Компанії станом на 31.03.2023 становили </w:t>
      </w:r>
      <w:r w:rsidRPr="00356F5B">
        <w:rPr>
          <w:rFonts w:ascii="Times New Roman" w:hAnsi="Times New Roman" w:cs="Times New Roman"/>
          <w:sz w:val="28"/>
          <w:szCs w:val="28"/>
          <w:shd w:val="clear" w:color="auto" w:fill="FFFFFF"/>
        </w:rPr>
        <w:br/>
        <w:t>14,84 млрд грн, що більш ніж у 2 рази перевищує аналогічний показник початку 2019 року. Це відбулося насамперед у зв’язку із значним збільшенням зобов’язань по залучених коштах від покупців по об'єктах незавершеного будівництва, які з 3,5 млрд грн на початок 2019 року зросли до 11,4 млрд грн.</w:t>
      </w:r>
    </w:p>
    <w:p w14:paraId="0C4D593E" w14:textId="77777777" w:rsidR="00B153DC" w:rsidRPr="00356F5B" w:rsidRDefault="00FF2428" w:rsidP="003E5D32">
      <w:pPr>
        <w:pStyle w:val="ae"/>
        <w:ind w:left="0" w:firstLine="709"/>
        <w:jc w:val="both"/>
      </w:pPr>
      <w:r w:rsidRPr="00356F5B">
        <w:rPr>
          <w:rFonts w:ascii="Times New Roman" w:hAnsi="Times New Roman" w:cs="Times New Roman"/>
          <w:color w:val="202124"/>
          <w:sz w:val="28"/>
          <w:szCs w:val="28"/>
          <w:shd w:val="clear" w:color="auto" w:fill="FFFFFF"/>
        </w:rPr>
        <w:t>Відстрочені податкові зобов’язання обліковуються у сумі 11,65 млн грн, зобов’язання перед бюджетом – 2,85 млн грн,</w:t>
      </w:r>
      <w:r w:rsidRPr="00356F5B">
        <w:rPr>
          <w:rFonts w:ascii="Times New Roman" w:hAnsi="Times New Roman" w:cs="Times New Roman"/>
        </w:rPr>
        <w:t xml:space="preserve"> </w:t>
      </w:r>
      <w:r w:rsidRPr="00356F5B">
        <w:rPr>
          <w:rFonts w:ascii="Times New Roman" w:hAnsi="Times New Roman" w:cs="Times New Roman"/>
          <w:color w:val="202124"/>
          <w:sz w:val="28"/>
          <w:szCs w:val="28"/>
          <w:shd w:val="clear" w:color="auto" w:fill="FFFFFF"/>
        </w:rPr>
        <w:t>довгострокові зобов’язання зі сплати орендної плати за землю – 3,33 млн грн.</w:t>
      </w:r>
    </w:p>
    <w:p w14:paraId="0E6567D5" w14:textId="77777777" w:rsidR="00B153DC" w:rsidRPr="00356F5B" w:rsidRDefault="00FF2428" w:rsidP="003E5D32">
      <w:pPr>
        <w:pStyle w:val="ae"/>
        <w:ind w:left="0" w:firstLine="709"/>
        <w:jc w:val="both"/>
      </w:pPr>
      <w:r w:rsidRPr="00356F5B">
        <w:rPr>
          <w:rFonts w:ascii="Times New Roman" w:hAnsi="Times New Roman" w:cs="Times New Roman"/>
          <w:color w:val="202124"/>
          <w:sz w:val="28"/>
          <w:szCs w:val="28"/>
          <w:shd w:val="clear" w:color="auto" w:fill="FFFFFF"/>
        </w:rPr>
        <w:t>Зобов’язання із короткострокових кредитів банків (відновлювальна і кредитні лінії) Компанії станом на 31.03.2023 відображено у сумі 131,86 млн грн, з яких 121,86 млн грн заборгованість перед АТ «</w:t>
      </w:r>
      <w:proofErr w:type="spellStart"/>
      <w:r w:rsidRPr="00356F5B">
        <w:rPr>
          <w:rFonts w:ascii="Times New Roman" w:hAnsi="Times New Roman" w:cs="Times New Roman"/>
          <w:color w:val="202124"/>
          <w:sz w:val="28"/>
          <w:szCs w:val="28"/>
          <w:shd w:val="clear" w:color="auto" w:fill="FFFFFF"/>
        </w:rPr>
        <w:t>Укргазбанк</w:t>
      </w:r>
      <w:proofErr w:type="spellEnd"/>
      <w:r w:rsidRPr="00356F5B">
        <w:rPr>
          <w:rFonts w:ascii="Times New Roman" w:hAnsi="Times New Roman" w:cs="Times New Roman"/>
          <w:color w:val="202124"/>
          <w:sz w:val="28"/>
          <w:szCs w:val="28"/>
          <w:shd w:val="clear" w:color="auto" w:fill="FFFFFF"/>
        </w:rPr>
        <w:t>» та 10,00 млн грн - АТ «</w:t>
      </w:r>
      <w:proofErr w:type="spellStart"/>
      <w:r w:rsidRPr="00356F5B">
        <w:rPr>
          <w:rFonts w:ascii="Times New Roman" w:hAnsi="Times New Roman" w:cs="Times New Roman"/>
          <w:color w:val="202124"/>
          <w:sz w:val="28"/>
          <w:szCs w:val="28"/>
          <w:shd w:val="clear" w:color="auto" w:fill="FFFFFF"/>
        </w:rPr>
        <w:t>Кристалбанк</w:t>
      </w:r>
      <w:proofErr w:type="spellEnd"/>
      <w:r w:rsidRPr="00356F5B">
        <w:rPr>
          <w:rFonts w:ascii="Times New Roman" w:hAnsi="Times New Roman" w:cs="Times New Roman"/>
          <w:color w:val="202124"/>
          <w:sz w:val="28"/>
          <w:szCs w:val="28"/>
          <w:shd w:val="clear" w:color="auto" w:fill="FFFFFF"/>
        </w:rPr>
        <w:t>».</w:t>
      </w:r>
    </w:p>
    <w:p w14:paraId="634D14B8" w14:textId="77777777" w:rsidR="00B153DC" w:rsidRPr="00356F5B" w:rsidRDefault="00FF2428" w:rsidP="003E5D32">
      <w:pPr>
        <w:pStyle w:val="ae"/>
        <w:ind w:left="0" w:firstLine="709"/>
        <w:jc w:val="both"/>
      </w:pPr>
      <w:r w:rsidRPr="00356F5B">
        <w:rPr>
          <w:rFonts w:ascii="Times New Roman" w:hAnsi="Times New Roman" w:cs="Times New Roman"/>
          <w:color w:val="202124"/>
          <w:sz w:val="28"/>
          <w:szCs w:val="28"/>
          <w:shd w:val="clear" w:color="auto" w:fill="FFFFFF"/>
        </w:rPr>
        <w:lastRenderedPageBreak/>
        <w:t>На балансі компанії станом на 31.03.2023 також обліковується заборгованість за одержаними від юридичних та фізичних осіб авансами за майнові права у сумі 2,91 млрд грн.</w:t>
      </w:r>
    </w:p>
    <w:p w14:paraId="1F20B57B" w14:textId="3CDA5EF2" w:rsidR="00B153DC" w:rsidRPr="00356F5B" w:rsidRDefault="00FF2428" w:rsidP="003E5D32">
      <w:pPr>
        <w:pStyle w:val="ae"/>
        <w:ind w:left="0" w:firstLine="709"/>
        <w:jc w:val="both"/>
      </w:pPr>
      <w:r w:rsidRPr="00356F5B">
        <w:rPr>
          <w:rFonts w:ascii="Times New Roman" w:hAnsi="Times New Roman" w:cs="Times New Roman"/>
          <w:color w:val="202124"/>
          <w:sz w:val="28"/>
          <w:szCs w:val="28"/>
          <w:shd w:val="clear" w:color="auto" w:fill="FFFFFF"/>
        </w:rPr>
        <w:t>Поточна кредиторська заборгованість за розрахунками з учасниками сформована за рахунок нарахованих дивідендів юридичним особам у сумі 0,09</w:t>
      </w:r>
      <w:r w:rsidR="003E5D32" w:rsidRPr="00356F5B">
        <w:rPr>
          <w:rFonts w:ascii="Times New Roman" w:hAnsi="Times New Roman" w:cs="Times New Roman"/>
          <w:color w:val="202124"/>
          <w:sz w:val="28"/>
          <w:szCs w:val="28"/>
          <w:shd w:val="clear" w:color="auto" w:fill="FFFFFF"/>
        </w:rPr>
        <w:t> </w:t>
      </w:r>
      <w:r w:rsidRPr="00356F5B">
        <w:rPr>
          <w:rFonts w:ascii="Times New Roman" w:hAnsi="Times New Roman" w:cs="Times New Roman"/>
          <w:color w:val="202124"/>
          <w:sz w:val="28"/>
          <w:szCs w:val="28"/>
          <w:shd w:val="clear" w:color="auto" w:fill="FFFFFF"/>
        </w:rPr>
        <w:t xml:space="preserve"> млн грн та інших виплат фізичним особам – 4,44 млн грн.</w:t>
      </w:r>
    </w:p>
    <w:p w14:paraId="44DEF2F8" w14:textId="646FA67E" w:rsidR="00B153DC" w:rsidRPr="00356F5B" w:rsidRDefault="00FF2428" w:rsidP="003E5D32">
      <w:pPr>
        <w:ind w:firstLine="709"/>
        <w:jc w:val="both"/>
      </w:pPr>
      <w:r w:rsidRPr="00356F5B">
        <w:rPr>
          <w:rFonts w:ascii="Times New Roman" w:hAnsi="Times New Roman" w:cs="Times New Roman"/>
          <w:color w:val="202124"/>
          <w:sz w:val="28"/>
          <w:szCs w:val="28"/>
          <w:shd w:val="clear" w:color="auto" w:fill="FFFFFF"/>
        </w:rPr>
        <w:t>За останні 4 роки</w:t>
      </w:r>
      <w:r w:rsidR="00DA552D" w:rsidRPr="00356F5B">
        <w:rPr>
          <w:rFonts w:ascii="Times New Roman" w:hAnsi="Times New Roman" w:cs="Times New Roman"/>
          <w:color w:val="202124"/>
          <w:sz w:val="28"/>
          <w:szCs w:val="28"/>
          <w:shd w:val="clear" w:color="auto" w:fill="FFFFFF"/>
        </w:rPr>
        <w:t>,</w:t>
      </w:r>
      <w:r w:rsidRPr="00356F5B">
        <w:rPr>
          <w:rFonts w:ascii="Times New Roman" w:hAnsi="Times New Roman" w:cs="Times New Roman"/>
          <w:color w:val="202124"/>
          <w:sz w:val="28"/>
          <w:szCs w:val="28"/>
          <w:shd w:val="clear" w:color="auto" w:fill="FFFFFF"/>
        </w:rPr>
        <w:t xml:space="preserve"> за винятком 2021 року</w:t>
      </w:r>
      <w:r w:rsidR="00DA552D" w:rsidRPr="00356F5B">
        <w:rPr>
          <w:rFonts w:ascii="Times New Roman" w:hAnsi="Times New Roman" w:cs="Times New Roman"/>
          <w:color w:val="202124"/>
          <w:sz w:val="28"/>
          <w:szCs w:val="28"/>
          <w:shd w:val="clear" w:color="auto" w:fill="FFFFFF"/>
        </w:rPr>
        <w:t>,</w:t>
      </w:r>
      <w:r w:rsidRPr="00356F5B">
        <w:rPr>
          <w:rFonts w:ascii="Times New Roman" w:hAnsi="Times New Roman" w:cs="Times New Roman"/>
          <w:color w:val="202124"/>
          <w:sz w:val="28"/>
          <w:szCs w:val="28"/>
          <w:shd w:val="clear" w:color="auto" w:fill="FFFFFF"/>
        </w:rPr>
        <w:t xml:space="preserve"> також спостерігається переважне зменшення фінансових показників діяльності Компанії.</w:t>
      </w:r>
    </w:p>
    <w:p w14:paraId="381BF248" w14:textId="0FA0C78A" w:rsidR="00B153DC" w:rsidRPr="00356F5B" w:rsidRDefault="00FF2428" w:rsidP="003E5D32">
      <w:pPr>
        <w:ind w:firstLine="709"/>
        <w:jc w:val="both"/>
      </w:pPr>
      <w:r w:rsidRPr="00356F5B">
        <w:rPr>
          <w:rFonts w:ascii="Times New Roman" w:hAnsi="Times New Roman" w:cs="Times New Roman"/>
          <w:color w:val="202124"/>
          <w:sz w:val="28"/>
          <w:szCs w:val="28"/>
          <w:shd w:val="clear" w:color="auto" w:fill="FFFFFF"/>
        </w:rPr>
        <w:t>Зокрема, більш ніж на 40% у порівнянні з 2019 роком зменшився отриманий у 2022 році чистий дохід від реалізації продукції (товарів, робіт, послуг), у 5</w:t>
      </w:r>
      <w:r w:rsidR="003E5D32" w:rsidRPr="00356F5B">
        <w:rPr>
          <w:rFonts w:ascii="Times New Roman" w:hAnsi="Times New Roman" w:cs="Times New Roman"/>
          <w:color w:val="202124"/>
          <w:sz w:val="28"/>
          <w:szCs w:val="28"/>
          <w:shd w:val="clear" w:color="auto" w:fill="FFFFFF"/>
        </w:rPr>
        <w:t> </w:t>
      </w:r>
      <w:r w:rsidRPr="00356F5B">
        <w:rPr>
          <w:rFonts w:ascii="Times New Roman" w:hAnsi="Times New Roman" w:cs="Times New Roman"/>
          <w:color w:val="202124"/>
          <w:sz w:val="28"/>
          <w:szCs w:val="28"/>
          <w:shd w:val="clear" w:color="auto" w:fill="FFFFFF"/>
        </w:rPr>
        <w:t xml:space="preserve"> разів</w:t>
      </w:r>
      <w:r w:rsidR="003E5D32" w:rsidRPr="00356F5B">
        <w:rPr>
          <w:rFonts w:ascii="Times New Roman" w:hAnsi="Times New Roman" w:cs="Times New Roman"/>
          <w:color w:val="202124"/>
          <w:sz w:val="28"/>
          <w:szCs w:val="28"/>
          <w:shd w:val="clear" w:color="auto" w:fill="FFFFFF"/>
        </w:rPr>
        <w:t> </w:t>
      </w:r>
      <w:r w:rsidRPr="00356F5B">
        <w:rPr>
          <w:rFonts w:ascii="Times New Roman" w:hAnsi="Times New Roman" w:cs="Times New Roman"/>
          <w:color w:val="202124"/>
          <w:sz w:val="28"/>
          <w:szCs w:val="28"/>
          <w:shd w:val="clear" w:color="auto" w:fill="FFFFFF"/>
        </w:rPr>
        <w:t xml:space="preserve"> - інший операційний дохід, у 8 разів - дохід від участі в капіталі,  майже у 4 рази інші фінансові доходи.</w:t>
      </w:r>
    </w:p>
    <w:p w14:paraId="232A73FF" w14:textId="77777777" w:rsidR="00B153DC" w:rsidRPr="00356F5B" w:rsidRDefault="00FF2428">
      <w:pPr>
        <w:jc w:val="both"/>
      </w:pPr>
      <w:r w:rsidRPr="00356F5B">
        <w:rPr>
          <w:noProof/>
          <w:lang w:eastAsia="uk-UA"/>
        </w:rPr>
        <mc:AlternateContent>
          <mc:Choice Requires="wps">
            <w:drawing>
              <wp:anchor distT="0" distB="0" distL="0" distR="0" simplePos="0" relativeHeight="12" behindDoc="0" locked="0" layoutInCell="0" allowOverlap="1" wp14:anchorId="736B48D9" wp14:editId="75D6B08E">
                <wp:simplePos x="0" y="0"/>
                <wp:positionH relativeFrom="column">
                  <wp:posOffset>3838575</wp:posOffset>
                </wp:positionH>
                <wp:positionV relativeFrom="paragraph">
                  <wp:posOffset>542925</wp:posOffset>
                </wp:positionV>
                <wp:extent cx="123825" cy="118110"/>
                <wp:effectExtent l="0" t="0" r="0" b="0"/>
                <wp:wrapNone/>
                <wp:docPr id="9" name="Овал 7"/>
                <wp:cNvGraphicFramePr/>
                <a:graphic xmlns:a="http://schemas.openxmlformats.org/drawingml/2006/main">
                  <a:graphicData uri="http://schemas.microsoft.com/office/word/2010/wordprocessingShape">
                    <wps:wsp>
                      <wps:cNvSpPr/>
                      <wps:spPr>
                        <a:xfrm>
                          <a:off x="0" y="0"/>
                          <a:ext cx="123120" cy="117360"/>
                        </a:xfrm>
                        <a:prstGeom prst="ellipse">
                          <a:avLst/>
                        </a:prstGeom>
                        <a:solidFill>
                          <a:srgbClr val="4472C4"/>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id="shape_0" ID="Овал 39" path="l-2147483648,-2147483643l-2147483628,-2147483627l-2147483648,-2147483643l-2147483626,-2147483625xe" fillcolor="#4472c4" stroked="f" style="position:absolute;margin-left:302.25pt;margin-top:42.75pt;width:9.65pt;height:9.2pt;mso-wrap-style:none;v-text-anchor:middle" wp14:anchorId="2611AAC1">
                <v:fill o:detectmouseclick="t" type="solid" color2="#bb8d3b"/>
                <v:stroke color="#3465a4" weight="12600" joinstyle="miter" endcap="flat"/>
                <w10:wrap type="none"/>
              </v:oval>
            </w:pict>
          </mc:Fallback>
        </mc:AlternateContent>
      </w:r>
      <w:r w:rsidRPr="00356F5B">
        <w:rPr>
          <w:noProof/>
          <w:lang w:eastAsia="uk-UA"/>
        </w:rPr>
        <mc:AlternateContent>
          <mc:Choice Requires="wps">
            <w:drawing>
              <wp:anchor distT="0" distB="0" distL="0" distR="0" simplePos="0" relativeHeight="14" behindDoc="0" locked="0" layoutInCell="0" allowOverlap="1" wp14:anchorId="48401E03" wp14:editId="5ECC3E9E">
                <wp:simplePos x="0" y="0"/>
                <wp:positionH relativeFrom="column">
                  <wp:posOffset>3628390</wp:posOffset>
                </wp:positionH>
                <wp:positionV relativeFrom="paragraph">
                  <wp:posOffset>574040</wp:posOffset>
                </wp:positionV>
                <wp:extent cx="325755" cy="47625"/>
                <wp:effectExtent l="0" t="0" r="635" b="0"/>
                <wp:wrapNone/>
                <wp:docPr id="10" name="Прямоугольник 8"/>
                <wp:cNvGraphicFramePr/>
                <a:graphic xmlns:a="http://schemas.openxmlformats.org/drawingml/2006/main">
                  <a:graphicData uri="http://schemas.microsoft.com/office/word/2010/wordprocessingShape">
                    <wps:wsp>
                      <wps:cNvSpPr/>
                      <wps:spPr>
                        <a:xfrm>
                          <a:off x="0" y="0"/>
                          <a:ext cx="325080" cy="4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id="shape_0" ID="Прямокутник 38" path="m0,0l-2147483645,0l-2147483645,-2147483646l0,-2147483646xe" fillcolor="#4472c4" stroked="f" style="position:absolute;margin-left:285.7pt;margin-top:45.2pt;width:25.55pt;height:3.65pt;mso-wrap-style:none;v-text-anchor:middle" wp14:anchorId="6E2AEDC5">
                <v:fill o:detectmouseclick="t" type="solid" color2="#bb8d3b"/>
                <v:stroke color="#3465a4" weight="12600" joinstyle="miter" endcap="flat"/>
                <w10:wrap type="none"/>
              </v:rect>
            </w:pict>
          </mc:Fallback>
        </mc:AlternateContent>
      </w:r>
      <w:r w:rsidRPr="00356F5B">
        <w:rPr>
          <w:noProof/>
          <w:lang w:eastAsia="uk-UA"/>
        </w:rPr>
        <mc:AlternateContent>
          <mc:Choice Requires="wps">
            <w:drawing>
              <wp:anchor distT="0" distB="0" distL="0" distR="0" simplePos="0" relativeHeight="20" behindDoc="0" locked="0" layoutInCell="0" allowOverlap="1" wp14:anchorId="5C8B11F5" wp14:editId="5E3CC6AF">
                <wp:simplePos x="0" y="0"/>
                <wp:positionH relativeFrom="margin">
                  <wp:align>right</wp:align>
                </wp:positionH>
                <wp:positionV relativeFrom="paragraph">
                  <wp:posOffset>283845</wp:posOffset>
                </wp:positionV>
                <wp:extent cx="2096770" cy="838200"/>
                <wp:effectExtent l="0" t="0" r="0" b="2540"/>
                <wp:wrapNone/>
                <wp:docPr id="11" name="Прямоугольник 9"/>
                <wp:cNvGraphicFramePr/>
                <a:graphic xmlns:a="http://schemas.openxmlformats.org/drawingml/2006/main">
                  <a:graphicData uri="http://schemas.microsoft.com/office/word/2010/wordprocessingShape">
                    <wps:wsp>
                      <wps:cNvSpPr/>
                      <wps:spPr>
                        <a:xfrm>
                          <a:off x="0" y="0"/>
                          <a:ext cx="2096280" cy="83772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2768D8E9" w14:textId="77777777" w:rsidR="00B153DC" w:rsidRDefault="00FF2428">
                            <w:pPr>
                              <w:pStyle w:val="af2"/>
                              <w:jc w:val="both"/>
                              <w:rPr>
                                <w14:textOutline w14:w="9525" w14:cap="rnd" w14:cmpd="sng" w14:algn="ctr">
                                  <w14:noFill/>
                                  <w14:prstDash w14:val="solid"/>
                                  <w14:bevel/>
                                </w14:textOutline>
                              </w:rPr>
                            </w:pPr>
                            <w:r w:rsidRPr="003E5D32">
                              <w:rPr>
                                <w:rFonts w:ascii="Times New Roman" w:hAnsi="Times New Roman" w:cs="Times New Roman"/>
                                <w:color w:val="202124"/>
                                <w:shd w:val="clear" w:color="auto" w:fill="FFFFFF"/>
                              </w:rPr>
                              <w:t>Чистий дохід від реалізації продукції (товарів, робіт, послуг)</w:t>
                            </w:r>
                            <w:r w:rsidRPr="003E5D32">
                              <w:rPr>
                                <w:rFonts w:ascii="Times New Roman" w:hAnsi="Times New Roman" w:cs="Times New Roman"/>
                                <w14:textOutline w14:w="9525" w14:cap="rnd" w14:cmpd="sng" w14:algn="ctr">
                                  <w14:noFill/>
                                  <w14:prstDash w14:val="solid"/>
                                  <w14:bevel/>
                                </w14:textOutline>
                              </w:rPr>
                              <w:t xml:space="preserve">, млрд </w:t>
                            </w:r>
                            <w:r>
                              <w:rPr>
                                <w14:textOutline w14:w="9525" w14:cap="rnd" w14:cmpd="sng" w14:algn="ctr">
                                  <w14:noFill/>
                                  <w14:prstDash w14:val="solid"/>
                                  <w14:bevel/>
                                </w14:textOutline>
                              </w:rPr>
                              <w:t>грн</w:t>
                            </w:r>
                          </w:p>
                        </w:txbxContent>
                      </wps:txbx>
                      <wps:bodyPr>
                        <a:prstTxWarp prst="textNoShape">
                          <a:avLst/>
                        </a:prstTxWarp>
                        <a:noAutofit/>
                      </wps:bodyPr>
                    </wps:wsp>
                  </a:graphicData>
                </a:graphic>
              </wp:anchor>
            </w:drawing>
          </mc:Choice>
          <mc:Fallback>
            <w:pict>
              <v:rect w14:anchorId="5C8B11F5" id="Прямоугольник 9" o:spid="_x0000_s1028" style="position:absolute;left:0;text-align:left;margin-left:113.9pt;margin-top:22.35pt;width:165.1pt;height:66pt;z-index:2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e2EAIAAEAEAAAOAAAAZHJzL2Uyb0RvYy54bWysU0tu2zAQ3RfoHQjua8kK6jiC5aBokG6K&#10;NGhSdE1TpC2AP5CMJe8KdFugR+ghugn6yRnkG3U4tpUgXaXoRuJn3puZ94az004rshY+NNZUdDzK&#10;KRGG27oxy4p+uD5/MaUkRGZqpqwRFd2IQE/nz5/NWleKwq6sqoUnQGJC2bqKrmJ0ZZYFvhKahZF1&#10;wsCltF6zCFu/zGrPWmDXKivyfJK11tfOWy5CgNOz3SWdI7+Ugsd3UgYRiaoo1Bbx6/G7SN9sPmPl&#10;0jO3avi+DPYPVWjWGEg6UJ2xyMiNb/6i0g33NlgZR9zqzErZcIE9QDfj/FE3VyvmBPYC4gQ3yBT+&#10;Hy2/WF960tTg3ZgSwzR41H/bftp+7X/1d9vP/ff+rv+5/dL/7m/7H+QkCda6UALuyl36/S7AMnXf&#10;Sa/TH/oiHYq8GUQWXSQcDov8ZFJMwQsOd9Oj4+MCXcju0c6H+EZYTdKioh5MRG3Z+m2IkBFCDyEp&#10;mbHnjVJopDKkrejk6GWOgOEGEMoAMFW+qxVXcaNEYlDmvZAgApacDnD8xGvlyZrB4DDOhYnj1Dsy&#10;QXSKkpD2KcB9fIIKHM2ngAcEZrYmDmDdGOuxtgdNpWXsFh1aWxxcW9h6s3MqCXjdfWTe7VWO4M+F&#10;PUwcKx+JvYtNuY19dROtbNCJlOZAiurCmKJI+yeV3sHDPXpw//DnfwAAAP//AwBQSwMEFAAGAAgA&#10;AAAhAM8EoDffAAAABwEAAA8AAABkcnMvZG93bnJldi54bWxMj0FPg0AUhO8m/ofNM/Fi7GKppUGW&#10;xhiNicaDtJfeFvYVUPYtYbeA/nqfJz1OZjLzTbadbSdGHHzrSMHNIgKBVDnTUq1gv3u63oDwQZPR&#10;nSNU8IUetvn5WaZT4yZ6x7EIteAS8qlW0ITQp1L6qkGr/cL1SOwd3WB1YDnU0gx64nLbyWUUraXV&#10;LfFCo3t8aLD6LE5WQfyRTPvx9vEbr4rSHl8Or8+7t0Gpy4v5/g5EwDn8heEXn9EhZ6bSnch40Sng&#10;I0HBapWAYDeOoyWIkmPJOgGZZ/I/f/4DAAD//wMAUEsBAi0AFAAGAAgAAAAhALaDOJL+AAAA4QEA&#10;ABMAAAAAAAAAAAAAAAAAAAAAAFtDb250ZW50X1R5cGVzXS54bWxQSwECLQAUAAYACAAAACEAOP0h&#10;/9YAAACUAQAACwAAAAAAAAAAAAAAAAAvAQAAX3JlbHMvLnJlbHNQSwECLQAUAAYACAAAACEANh6X&#10;thACAABABAAADgAAAAAAAAAAAAAAAAAuAgAAZHJzL2Uyb0RvYy54bWxQSwECLQAUAAYACAAAACEA&#10;zwSgN98AAAAHAQAADwAAAAAAAAAAAAAAAABqBAAAZHJzL2Rvd25yZXYueG1sUEsFBgAAAAAEAAQA&#10;8wAAAHYFAAAAAA==&#10;" o:allowincell="f" filled="f" stroked="f" strokeweight=".5pt">
                <v:textbox>
                  <w:txbxContent>
                    <w:p w14:paraId="2768D8E9" w14:textId="77777777" w:rsidR="00B153DC" w:rsidRDefault="00FF2428">
                      <w:pPr>
                        <w:pStyle w:val="af2"/>
                        <w:jc w:val="both"/>
                        <w:rPr>
                          <w14:textOutline w14:w="9525" w14:cap="rnd" w14:cmpd="sng" w14:algn="ctr">
                            <w14:noFill/>
                            <w14:prstDash w14:val="solid"/>
                            <w14:bevel/>
                          </w14:textOutline>
                        </w:rPr>
                      </w:pPr>
                      <w:r w:rsidRPr="003E5D32">
                        <w:rPr>
                          <w:rFonts w:ascii="Times New Roman" w:hAnsi="Times New Roman" w:cs="Times New Roman"/>
                          <w:color w:val="202124"/>
                          <w:shd w:val="clear" w:color="auto" w:fill="FFFFFF"/>
                        </w:rPr>
                        <w:t>Чистий дохід від реалізації продукції (товарів, робіт, послуг)</w:t>
                      </w:r>
                      <w:r w:rsidRPr="003E5D32">
                        <w:rPr>
                          <w:rFonts w:ascii="Times New Roman" w:hAnsi="Times New Roman" w:cs="Times New Roman"/>
                          <w14:textOutline w14:w="9525" w14:cap="rnd" w14:cmpd="sng" w14:algn="ctr">
                            <w14:noFill/>
                            <w14:prstDash w14:val="solid"/>
                            <w14:bevel/>
                          </w14:textOutline>
                        </w:rPr>
                        <w:t xml:space="preserve">, млрд </w:t>
                      </w:r>
                      <w:r>
                        <w:rPr>
                          <w14:textOutline w14:w="9525" w14:cap="rnd" w14:cmpd="sng" w14:algn="ctr">
                            <w14:noFill/>
                            <w14:prstDash w14:val="solid"/>
                            <w14:bevel/>
                          </w14:textOutline>
                        </w:rPr>
                        <w:t>грн</w:t>
                      </w:r>
                    </w:p>
                  </w:txbxContent>
                </v:textbox>
                <w10:wrap anchorx="margin"/>
              </v:rect>
            </w:pict>
          </mc:Fallback>
        </mc:AlternateContent>
      </w:r>
      <w:r w:rsidRPr="00356F5B">
        <w:rPr>
          <w:noProof/>
          <w:lang w:eastAsia="uk-UA"/>
        </w:rPr>
        <w:drawing>
          <wp:inline distT="0" distB="0" distL="0" distR="0" wp14:anchorId="5C9F09E1" wp14:editId="5C4AE290">
            <wp:extent cx="3588385" cy="1270000"/>
            <wp:effectExtent l="0" t="0" r="0"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56F5B">
        <w:rPr>
          <w:rFonts w:ascii="Times New Roman" w:hAnsi="Times New Roman" w:cs="Times New Roman"/>
        </w:rPr>
        <w:t xml:space="preserve"> </w:t>
      </w:r>
    </w:p>
    <w:p w14:paraId="2EB0CE30" w14:textId="77777777" w:rsidR="00B153DC" w:rsidRPr="00356F5B" w:rsidRDefault="00FF2428">
      <w:pPr>
        <w:jc w:val="both"/>
      </w:pPr>
      <w:r w:rsidRPr="00356F5B">
        <w:rPr>
          <w:noProof/>
          <w:lang w:eastAsia="uk-UA"/>
        </w:rPr>
        <mc:AlternateContent>
          <mc:Choice Requires="wps">
            <w:drawing>
              <wp:anchor distT="0" distB="0" distL="0" distR="0" simplePos="0" relativeHeight="9" behindDoc="0" locked="0" layoutInCell="0" allowOverlap="1" wp14:anchorId="3FE2A8BF" wp14:editId="75707995">
                <wp:simplePos x="0" y="0"/>
                <wp:positionH relativeFrom="column">
                  <wp:posOffset>3822065</wp:posOffset>
                </wp:positionH>
                <wp:positionV relativeFrom="paragraph">
                  <wp:posOffset>615315</wp:posOffset>
                </wp:positionV>
                <wp:extent cx="123825" cy="118110"/>
                <wp:effectExtent l="0" t="0" r="0" b="0"/>
                <wp:wrapNone/>
                <wp:docPr id="14" name="Овал 11"/>
                <wp:cNvGraphicFramePr/>
                <a:graphic xmlns:a="http://schemas.openxmlformats.org/drawingml/2006/main">
                  <a:graphicData uri="http://schemas.microsoft.com/office/word/2010/wordprocessingShape">
                    <wps:wsp>
                      <wps:cNvSpPr/>
                      <wps:spPr>
                        <a:xfrm>
                          <a:off x="0" y="0"/>
                          <a:ext cx="123120" cy="117360"/>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id="shape_0" ID="Овал 43" path="l-2147483648,-2147483643l-2147483628,-2147483627l-2147483648,-2147483643l-2147483626,-2147483625xe" fillcolor="#7030a0" stroked="f" style="position:absolute;margin-left:300.95pt;margin-top:48.45pt;width:9.65pt;height:9.2pt;mso-wrap-style:none;v-text-anchor:middle" wp14:anchorId="7134D37A">
                <v:fill o:detectmouseclick="t" type="solid" color2="#8fcf5f"/>
                <v:stroke color="#3465a4" weight="12600" joinstyle="miter" endcap="flat"/>
                <w10:wrap type="none"/>
              </v:oval>
            </w:pict>
          </mc:Fallback>
        </mc:AlternateContent>
      </w:r>
      <w:r w:rsidRPr="00356F5B">
        <w:rPr>
          <w:noProof/>
          <w:lang w:eastAsia="uk-UA"/>
        </w:rPr>
        <mc:AlternateContent>
          <mc:Choice Requires="wps">
            <w:drawing>
              <wp:anchor distT="0" distB="0" distL="0" distR="0" simplePos="0" relativeHeight="16" behindDoc="0" locked="0" layoutInCell="0" allowOverlap="1" wp14:anchorId="76F52CEE" wp14:editId="36C9A491">
                <wp:simplePos x="0" y="0"/>
                <wp:positionH relativeFrom="column">
                  <wp:posOffset>3612515</wp:posOffset>
                </wp:positionH>
                <wp:positionV relativeFrom="paragraph">
                  <wp:posOffset>646430</wp:posOffset>
                </wp:positionV>
                <wp:extent cx="325755" cy="47625"/>
                <wp:effectExtent l="0" t="0" r="635" b="0"/>
                <wp:wrapNone/>
                <wp:docPr id="15" name="Прямоугольник 12"/>
                <wp:cNvGraphicFramePr/>
                <a:graphic xmlns:a="http://schemas.openxmlformats.org/drawingml/2006/main">
                  <a:graphicData uri="http://schemas.microsoft.com/office/word/2010/wordprocessingShape">
                    <wps:wsp>
                      <wps:cNvSpPr/>
                      <wps:spPr>
                        <a:xfrm>
                          <a:off x="0" y="0"/>
                          <a:ext cx="325080" cy="4716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id="shape_0" ID="Прямокутник 42" path="m0,0l-2147483645,0l-2147483645,-2147483646l0,-2147483646xe" fillcolor="#7030a0" stroked="f" style="position:absolute;margin-left:284.45pt;margin-top:50.9pt;width:25.55pt;height:3.65pt;mso-wrap-style:none;v-text-anchor:middle" wp14:anchorId="6812E926">
                <v:fill o:detectmouseclick="t" type="solid" color2="#8fcf5f"/>
                <v:stroke color="#3465a4" weight="12600" joinstyle="miter" endcap="flat"/>
                <w10:wrap type="none"/>
              </v:rect>
            </w:pict>
          </mc:Fallback>
        </mc:AlternateContent>
      </w:r>
      <w:r w:rsidRPr="00356F5B">
        <w:rPr>
          <w:noProof/>
          <w:lang w:eastAsia="uk-UA"/>
        </w:rPr>
        <mc:AlternateContent>
          <mc:Choice Requires="wps">
            <w:drawing>
              <wp:anchor distT="0" distB="0" distL="0" distR="0" simplePos="0" relativeHeight="27" behindDoc="0" locked="0" layoutInCell="0" allowOverlap="1" wp14:anchorId="70BB1D20" wp14:editId="55593548">
                <wp:simplePos x="0" y="0"/>
                <wp:positionH relativeFrom="margin">
                  <wp:align>right</wp:align>
                </wp:positionH>
                <wp:positionV relativeFrom="paragraph">
                  <wp:posOffset>473710</wp:posOffset>
                </wp:positionV>
                <wp:extent cx="2096770" cy="429260"/>
                <wp:effectExtent l="0" t="0" r="0" b="0"/>
                <wp:wrapNone/>
                <wp:docPr id="16" name="Прямоугольник 13"/>
                <wp:cNvGraphicFramePr/>
                <a:graphic xmlns:a="http://schemas.openxmlformats.org/drawingml/2006/main">
                  <a:graphicData uri="http://schemas.microsoft.com/office/word/2010/wordprocessingShape">
                    <wps:wsp>
                      <wps:cNvSpPr/>
                      <wps:spPr>
                        <a:xfrm>
                          <a:off x="0" y="0"/>
                          <a:ext cx="2096280" cy="4287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111F2C75" w14:textId="77777777" w:rsidR="00B153DC" w:rsidRPr="003E5D32" w:rsidRDefault="00FF2428">
                            <w:pPr>
                              <w:pStyle w:val="af2"/>
                              <w:jc w:val="both"/>
                              <w:rPr>
                                <w:rFonts w:ascii="Times New Roman" w:hAnsi="Times New Roman" w:cs="Times New Roman"/>
                                <w14:textOutline w14:w="9525" w14:cap="rnd" w14:cmpd="sng" w14:algn="ctr">
                                  <w14:noFill/>
                                  <w14:prstDash w14:val="solid"/>
                                  <w14:bevel/>
                                </w14:textOutline>
                              </w:rPr>
                            </w:pPr>
                            <w:r w:rsidRPr="003E5D32">
                              <w:rPr>
                                <w:rFonts w:ascii="Times New Roman" w:hAnsi="Times New Roman" w:cs="Times New Roman"/>
                                <w:color w:val="202124"/>
                                <w:shd w:val="clear" w:color="auto" w:fill="FFFFFF"/>
                              </w:rPr>
                              <w:t>Інший операційний дохід, млн грн</w:t>
                            </w:r>
                          </w:p>
                        </w:txbxContent>
                      </wps:txbx>
                      <wps:bodyPr>
                        <a:prstTxWarp prst="textNoShape">
                          <a:avLst/>
                        </a:prstTxWarp>
                        <a:noAutofit/>
                      </wps:bodyPr>
                    </wps:wsp>
                  </a:graphicData>
                </a:graphic>
              </wp:anchor>
            </w:drawing>
          </mc:Choice>
          <mc:Fallback>
            <w:pict>
              <v:rect w14:anchorId="70BB1D20" id="Прямоугольник 13" o:spid="_x0000_s1029" style="position:absolute;left:0;text-align:left;margin-left:113.9pt;margin-top:37.3pt;width:165.1pt;height:33.8pt;z-index:2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8CDwIAAEEEAAAOAAAAZHJzL2Uyb0RvYy54bWysU8tuEzEU3SPxD5b3dCYphDDKpEJUZYNK&#10;RYtYOx47seSXbDcz2SGxReIT+Ag2iEe/YfJHXN8k06qsitjM+HHPufeecz076YwmaxGicramo6OS&#10;EmG5a5Rd1vT91dmTKSUxMdsw7ayo6UZEejJ//GjW+kqM3crpRgQCJDZWra/pKiVfFUXkK2FYPHJe&#10;WLiULhiWYBuWRRNYC+xGF+OynBStC40PjosY4fR0d0nnyC+l4OmtlFEkomsKtSX8Bvwu8reYz1i1&#10;DMyvFN+Xwf6hCsOUhaQD1SlLjFwH9ReVUTy46GQ64s4UTkrFBfYA3YzKe91crpgX2AuIE/0gU/x/&#10;tPx8fRGIasC7CSWWGfCo/7r9uP3S/+pvtp/6b/1N/3P7uf/df+9/kNFxVqz1sQLgpb8I+12EZW6/&#10;k8HkPzRGOlR5M6gsukQ4HI7LF5PxFMzgcPd0PH0+QRuKW7QPMb0WzpC8qGkAF1Fctn4TE2SE0ENI&#10;TmbdmdIandSWtDWdHD8rETDcAEJbAObKd7XiKm20yAzavhMSVMCS8wHOn3ilA1kzmBzGubBplHtH&#10;JojOURLSPgS4j89QgbP5EPCAwMzOpgFslHUBa7vTVF6mbtGht4NrC9dsdk5lAa+6Dyz4vcoJ/Dl3&#10;h5Fj1T2xd7E5t3Uvr5OTCp3IaQ6kqC7MKYq0f1P5Idzdowe3L3/+BwAA//8DAFBLAwQUAAYACAAA&#10;ACEAK+uyb98AAAAHAQAADwAAAGRycy9kb3ducmV2LnhtbEyPQU+DQBSE7yb+h80z8WLsItS2QZbG&#10;GI2JxoO0l94W9hVQ9i1ht4D+ep8nPU5mMvNNtp1tJ0YcfOtIwc0iAoFUOdNSrWC/e7regPBBk9Gd&#10;I1TwhR62+flZplPjJnrHsQi14BLyqVbQhNCnUvqqQav9wvVI7B3dYHVgOdTSDHrictvJOIpW0uqW&#10;eKHRPT40WH0WJ6sg+VhP+/H28RuvitIeXw6vz7u3QanLi/n+DkTAOfyF4Ref0SFnptKdyHjRKeAj&#10;QcF6uQLBbpJEMYiSY8s4Bpln8j9//gMAAP//AwBQSwECLQAUAAYACAAAACEAtoM4kv4AAADhAQAA&#10;EwAAAAAAAAAAAAAAAAAAAAAAW0NvbnRlbnRfVHlwZXNdLnhtbFBLAQItABQABgAIAAAAIQA4/SH/&#10;1gAAAJQBAAALAAAAAAAAAAAAAAAAAC8BAABfcmVscy8ucmVsc1BLAQItABQABgAIAAAAIQClvL8C&#10;DwIAAEEEAAAOAAAAAAAAAAAAAAAAAC4CAABkcnMvZTJvRG9jLnhtbFBLAQItABQABgAIAAAAIQAr&#10;67Jv3wAAAAcBAAAPAAAAAAAAAAAAAAAAAGkEAABkcnMvZG93bnJldi54bWxQSwUGAAAAAAQABADz&#10;AAAAdQUAAAAA&#10;" o:allowincell="f" filled="f" stroked="f" strokeweight=".5pt">
                <v:textbox>
                  <w:txbxContent>
                    <w:p w14:paraId="111F2C75" w14:textId="77777777" w:rsidR="00B153DC" w:rsidRPr="003E5D32" w:rsidRDefault="00FF2428">
                      <w:pPr>
                        <w:pStyle w:val="af2"/>
                        <w:jc w:val="both"/>
                        <w:rPr>
                          <w:rFonts w:ascii="Times New Roman" w:hAnsi="Times New Roman" w:cs="Times New Roman"/>
                          <w14:textOutline w14:w="9525" w14:cap="rnd" w14:cmpd="sng" w14:algn="ctr">
                            <w14:noFill/>
                            <w14:prstDash w14:val="solid"/>
                            <w14:bevel/>
                          </w14:textOutline>
                        </w:rPr>
                      </w:pPr>
                      <w:r w:rsidRPr="003E5D32">
                        <w:rPr>
                          <w:rFonts w:ascii="Times New Roman" w:hAnsi="Times New Roman" w:cs="Times New Roman"/>
                          <w:color w:val="202124"/>
                          <w:shd w:val="clear" w:color="auto" w:fill="FFFFFF"/>
                        </w:rPr>
                        <w:t>Інший операційний дохід, млн грн</w:t>
                      </w:r>
                    </w:p>
                  </w:txbxContent>
                </v:textbox>
                <w10:wrap anchorx="margin"/>
              </v:rect>
            </w:pict>
          </mc:Fallback>
        </mc:AlternateContent>
      </w:r>
      <w:r w:rsidRPr="00356F5B">
        <w:rPr>
          <w:noProof/>
          <w:lang w:eastAsia="uk-UA"/>
        </w:rPr>
        <w:drawing>
          <wp:inline distT="0" distB="0" distL="0" distR="0" wp14:anchorId="5A5DF148" wp14:editId="60FE4719">
            <wp:extent cx="3576320" cy="1267460"/>
            <wp:effectExtent l="0" t="0" r="0" b="0"/>
            <wp:docPr id="1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E2C507" w14:textId="77777777" w:rsidR="00B153DC" w:rsidRPr="00356F5B" w:rsidRDefault="00FF2428">
      <w:pPr>
        <w:jc w:val="both"/>
      </w:pPr>
      <w:r w:rsidRPr="00356F5B">
        <w:rPr>
          <w:noProof/>
          <w:lang w:eastAsia="uk-UA"/>
        </w:rPr>
        <mc:AlternateContent>
          <mc:Choice Requires="wps">
            <w:drawing>
              <wp:anchor distT="0" distB="0" distL="0" distR="0" simplePos="0" relativeHeight="10" behindDoc="0" locked="0" layoutInCell="0" allowOverlap="1" wp14:anchorId="15FA7229" wp14:editId="43FA4DD6">
                <wp:simplePos x="0" y="0"/>
                <wp:positionH relativeFrom="column">
                  <wp:posOffset>3850640</wp:posOffset>
                </wp:positionH>
                <wp:positionV relativeFrom="paragraph">
                  <wp:posOffset>734060</wp:posOffset>
                </wp:positionV>
                <wp:extent cx="123825" cy="118110"/>
                <wp:effectExtent l="0" t="0" r="0" b="0"/>
                <wp:wrapNone/>
                <wp:docPr id="19" name="Овал 15"/>
                <wp:cNvGraphicFramePr/>
                <a:graphic xmlns:a="http://schemas.openxmlformats.org/drawingml/2006/main">
                  <a:graphicData uri="http://schemas.microsoft.com/office/word/2010/wordprocessingShape">
                    <wps:wsp>
                      <wps:cNvSpPr/>
                      <wps:spPr>
                        <a:xfrm>
                          <a:off x="0" y="0"/>
                          <a:ext cx="123120" cy="117360"/>
                        </a:xfrm>
                        <a:prstGeom prst="ellips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id="shape_0" ID="Овал 49" path="l-2147483648,-2147483643l-2147483628,-2147483627l-2147483648,-2147483643l-2147483626,-2147483625xe" fillcolor="#f4b183" stroked="f" style="position:absolute;margin-left:303.2pt;margin-top:57.8pt;width:9.65pt;height:9.2pt;mso-wrap-style:none;v-text-anchor:middle" wp14:anchorId="707FFF2D">
                <v:fill o:detectmouseclick="t" type="solid" color2="#0b4e7c"/>
                <v:stroke color="#3465a4" weight="12600" joinstyle="miter" endcap="flat"/>
                <w10:wrap type="none"/>
              </v:oval>
            </w:pict>
          </mc:Fallback>
        </mc:AlternateContent>
      </w:r>
      <w:r w:rsidRPr="00356F5B">
        <w:rPr>
          <w:noProof/>
          <w:lang w:eastAsia="uk-UA"/>
        </w:rPr>
        <mc:AlternateContent>
          <mc:Choice Requires="wps">
            <w:drawing>
              <wp:anchor distT="0" distB="0" distL="0" distR="0" simplePos="0" relativeHeight="13" behindDoc="0" locked="0" layoutInCell="0" allowOverlap="1" wp14:anchorId="7488D465" wp14:editId="404915BC">
                <wp:simplePos x="0" y="0"/>
                <wp:positionH relativeFrom="margin">
                  <wp:posOffset>3917950</wp:posOffset>
                </wp:positionH>
                <wp:positionV relativeFrom="paragraph">
                  <wp:posOffset>138430</wp:posOffset>
                </wp:positionV>
                <wp:extent cx="2096770" cy="429260"/>
                <wp:effectExtent l="0" t="0" r="0" b="0"/>
                <wp:wrapNone/>
                <wp:docPr id="20" name="Прямоугольник 16"/>
                <wp:cNvGraphicFramePr/>
                <a:graphic xmlns:a="http://schemas.openxmlformats.org/drawingml/2006/main">
                  <a:graphicData uri="http://schemas.microsoft.com/office/word/2010/wordprocessingShape">
                    <wps:wsp>
                      <wps:cNvSpPr/>
                      <wps:spPr>
                        <a:xfrm>
                          <a:off x="0" y="0"/>
                          <a:ext cx="2096280" cy="42876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3D01D18B" w14:textId="07BB8298" w:rsidR="00B153DC" w:rsidRPr="003E5D32" w:rsidRDefault="00FF2428" w:rsidP="003E5D32">
                            <w:pPr>
                              <w:pStyle w:val="af2"/>
                              <w:tabs>
                                <w:tab w:val="left" w:pos="142"/>
                              </w:tabs>
                              <w:ind w:left="284"/>
                              <w:rPr>
                                <w:rFonts w:ascii="Times New Roman" w:hAnsi="Times New Roman" w:cs="Times New Roman"/>
                                <w14:textOutline w14:w="9525" w14:cap="rnd" w14:cmpd="sng" w14:algn="ctr">
                                  <w14:noFill/>
                                  <w14:prstDash w14:val="solid"/>
                                  <w14:bevel/>
                                </w14:textOutline>
                              </w:rPr>
                            </w:pPr>
                            <w:r w:rsidRPr="003E5D32">
                              <w:rPr>
                                <w:rFonts w:ascii="Times New Roman" w:hAnsi="Times New Roman" w:cs="Times New Roman"/>
                                <w:color w:val="202124"/>
                                <w:shd w:val="clear" w:color="auto" w:fill="FFFFFF"/>
                              </w:rPr>
                              <w:t xml:space="preserve">Дохід від участі в </w:t>
                            </w:r>
                            <w:r w:rsidR="003E5D32" w:rsidRPr="003E5D32">
                              <w:rPr>
                                <w:rFonts w:ascii="Times New Roman" w:hAnsi="Times New Roman" w:cs="Times New Roman"/>
                                <w:color w:val="202124"/>
                                <w:shd w:val="clear" w:color="auto" w:fill="FFFFFF"/>
                              </w:rPr>
                              <w:t xml:space="preserve">      </w:t>
                            </w:r>
                            <w:r w:rsidRPr="003E5D32">
                              <w:rPr>
                                <w:rFonts w:ascii="Times New Roman" w:hAnsi="Times New Roman" w:cs="Times New Roman"/>
                                <w:color w:val="202124"/>
                                <w:shd w:val="clear" w:color="auto" w:fill="FFFFFF"/>
                              </w:rPr>
                              <w:t>капіталі, млн грн</w:t>
                            </w:r>
                          </w:p>
                        </w:txbxContent>
                      </wps:txbx>
                      <wps:bodyPr>
                        <a:prstTxWarp prst="textNoShape">
                          <a:avLst/>
                        </a:prstTxWarp>
                        <a:noAutofit/>
                      </wps:bodyPr>
                    </wps:wsp>
                  </a:graphicData>
                </a:graphic>
              </wp:anchor>
            </w:drawing>
          </mc:Choice>
          <mc:Fallback>
            <w:pict>
              <v:rect w14:anchorId="7488D465" id="Прямоугольник 16" o:spid="_x0000_s1030" style="position:absolute;left:0;text-align:left;margin-left:308.5pt;margin-top:10.9pt;width:165.1pt;height:33.8pt;z-index:1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2sEQIAAEEEAAAOAAAAZHJzL2Uyb0RvYy54bWysU81uEzEQviPxDpbvZDdLCWGVTYWoygWV&#10;irbi7HjtZCX/yXazmxsSVyQegYfggoD2GTZvxHiSbKtyKuKy65/5vpn5vvHsuNOKrIUPjTUVHY9y&#10;SoThtm7MsqJXl6fPppSEyEzNlDWiohsR6PH86ZNZ60pR2JVVtfAESEwoW1fRVYyuzLLAV0KzMLJO&#10;GLiU1msWYeuXWe1ZC+xaZUWeT7LW+tp5y0UIcHqyu6Rz5JdS8PheyiAiURWF2iJ+PX4X6ZvNZ6xc&#10;euZWDd+Xwf6hCs0aA0kHqhMWGbn2zV9UuuHeBivjiFudWSkbLrAH6GacP+jmYsWcwF5AnOAGmcL/&#10;o+Vn63NPmrqiBchjmAaP+m/bT9uv/e/+dvu5/97f9r+2X/qb/kf/k4wnSbHWhRKAF+7c73cBlqn9&#10;Tnqd/tAY6VDlzaCy6CLhcFjkrybFFLJxuDsqpi8naEN2h3Y+xLfCapIWFfXgIorL1u9ChIwQeghJ&#10;yYw9bZRCJ5UhbUUnz1/kCBhuAKEMAFPlu1pxFTdKJAZlPggJKmDJ6QDnT7xRnqwZTA7jXJg4Tr0j&#10;E0SnKAlpHwPcxyeowNl8DHhAYGZr4gDWjbEea7vXVFrGbtGht0cH1xa23uycSgJedh+Zd3uVI/hz&#10;Zg8jx8oHYu9iU25jX19HKxt0IqU5kKK6MKco0v5NpYdwf48e3L38+R8AAAD//wMAUEsDBBQABgAI&#10;AAAAIQDJGBpU4gAAAAkBAAAPAAAAZHJzL2Rvd25yZXYueG1sTI/BTsMwEETvSPyDtUhcEHUSStOG&#10;OBVCIKQiDqS9cHPibRKI7ch2k8DXs5zguNrRzHv5dtY9G9H5zhoB8SIChqa2qjONgMP+6XoNzAdp&#10;lOytQQFf6GFbnJ/lMlN2Mm84lqFhVGJ8JgW0IQwZ575uUUu/sAMa+h2t0zLQ6RqunJyoXPc8iaIV&#10;17IztNDKAR9arD/LkxZw85FOh/H28Ruvykofd+8vz/tXJ8TlxXx/ByzgHP7C8ItP6FAQU2VPRnnW&#10;C1jFKbkEAUlMChTYLNMEWCVgvVkCL3L+36D4AQAA//8DAFBLAQItABQABgAIAAAAIQC2gziS/gAA&#10;AOEBAAATAAAAAAAAAAAAAAAAAAAAAABbQ29udGVudF9UeXBlc10ueG1sUEsBAi0AFAAGAAgAAAAh&#10;ADj9If/WAAAAlAEAAAsAAAAAAAAAAAAAAAAALwEAAF9yZWxzLy5yZWxzUEsBAi0AFAAGAAgAAAAh&#10;AIB1fawRAgAAQQQAAA4AAAAAAAAAAAAAAAAALgIAAGRycy9lMm9Eb2MueG1sUEsBAi0AFAAGAAgA&#10;AAAhAMkYGlTiAAAACQEAAA8AAAAAAAAAAAAAAAAAawQAAGRycy9kb3ducmV2LnhtbFBLBQYAAAAA&#10;BAAEAPMAAAB6BQAAAAA=&#10;" o:allowincell="f" filled="f" stroked="f" strokeweight=".5pt">
                <v:textbox>
                  <w:txbxContent>
                    <w:p w14:paraId="3D01D18B" w14:textId="07BB8298" w:rsidR="00B153DC" w:rsidRPr="003E5D32" w:rsidRDefault="00FF2428" w:rsidP="003E5D32">
                      <w:pPr>
                        <w:pStyle w:val="af2"/>
                        <w:tabs>
                          <w:tab w:val="left" w:pos="142"/>
                        </w:tabs>
                        <w:ind w:left="284"/>
                        <w:rPr>
                          <w:rFonts w:ascii="Times New Roman" w:hAnsi="Times New Roman" w:cs="Times New Roman"/>
                          <w14:textOutline w14:w="9525" w14:cap="rnd" w14:cmpd="sng" w14:algn="ctr">
                            <w14:noFill/>
                            <w14:prstDash w14:val="solid"/>
                            <w14:bevel/>
                          </w14:textOutline>
                        </w:rPr>
                      </w:pPr>
                      <w:r w:rsidRPr="003E5D32">
                        <w:rPr>
                          <w:rFonts w:ascii="Times New Roman" w:hAnsi="Times New Roman" w:cs="Times New Roman"/>
                          <w:color w:val="202124"/>
                          <w:shd w:val="clear" w:color="auto" w:fill="FFFFFF"/>
                        </w:rPr>
                        <w:t xml:space="preserve">Дохід від участі в </w:t>
                      </w:r>
                      <w:r w:rsidR="003E5D32" w:rsidRPr="003E5D32">
                        <w:rPr>
                          <w:rFonts w:ascii="Times New Roman" w:hAnsi="Times New Roman" w:cs="Times New Roman"/>
                          <w:color w:val="202124"/>
                          <w:shd w:val="clear" w:color="auto" w:fill="FFFFFF"/>
                        </w:rPr>
                        <w:t xml:space="preserve">      </w:t>
                      </w:r>
                      <w:r w:rsidRPr="003E5D32">
                        <w:rPr>
                          <w:rFonts w:ascii="Times New Roman" w:hAnsi="Times New Roman" w:cs="Times New Roman"/>
                          <w:color w:val="202124"/>
                          <w:shd w:val="clear" w:color="auto" w:fill="FFFFFF"/>
                        </w:rPr>
                        <w:t>капіталі, млн грн</w:t>
                      </w:r>
                    </w:p>
                  </w:txbxContent>
                </v:textbox>
                <w10:wrap anchorx="margin"/>
              </v:rect>
            </w:pict>
          </mc:Fallback>
        </mc:AlternateContent>
      </w:r>
      <w:r w:rsidRPr="00356F5B">
        <w:rPr>
          <w:noProof/>
          <w:lang w:eastAsia="uk-UA"/>
        </w:rPr>
        <mc:AlternateContent>
          <mc:Choice Requires="wps">
            <w:drawing>
              <wp:anchor distT="0" distB="0" distL="0" distR="0" simplePos="0" relativeHeight="21" behindDoc="0" locked="0" layoutInCell="0" allowOverlap="1" wp14:anchorId="4ED3AEA1" wp14:editId="29DF2E75">
                <wp:simplePos x="0" y="0"/>
                <wp:positionH relativeFrom="column">
                  <wp:posOffset>3634105</wp:posOffset>
                </wp:positionH>
                <wp:positionV relativeFrom="paragraph">
                  <wp:posOffset>330835</wp:posOffset>
                </wp:positionV>
                <wp:extent cx="325755" cy="47625"/>
                <wp:effectExtent l="0" t="0" r="635" b="0"/>
                <wp:wrapNone/>
                <wp:docPr id="22" name="Прямоугольник 17"/>
                <wp:cNvGraphicFramePr/>
                <a:graphic xmlns:a="http://schemas.openxmlformats.org/drawingml/2006/main">
                  <a:graphicData uri="http://schemas.microsoft.com/office/word/2010/wordprocessingShape">
                    <wps:wsp>
                      <wps:cNvSpPr/>
                      <wps:spPr>
                        <a:xfrm>
                          <a:off x="0" y="0"/>
                          <a:ext cx="325080" cy="4716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id="shape_0" ID="Прямокутник 46" path="m0,0l-2147483645,0l-2147483645,-2147483646l0,-2147483646xe" fillcolor="#8497b0" stroked="f" style="position:absolute;margin-left:286.15pt;margin-top:26.05pt;width:25.55pt;height:3.65pt;mso-wrap-style:none;v-text-anchor:middle" wp14:anchorId="1CCD19B8">
                <v:fill o:detectmouseclick="t" type="solid" color2="#7b684f"/>
                <v:stroke color="#3465a4" weight="12600" joinstyle="miter" endcap="flat"/>
                <w10:wrap type="none"/>
              </v:rect>
            </w:pict>
          </mc:Fallback>
        </mc:AlternateContent>
      </w:r>
      <w:r w:rsidRPr="00356F5B">
        <w:rPr>
          <w:noProof/>
          <w:lang w:eastAsia="uk-UA"/>
        </w:rPr>
        <mc:AlternateContent>
          <mc:Choice Requires="wps">
            <w:drawing>
              <wp:anchor distT="0" distB="0" distL="0" distR="0" simplePos="0" relativeHeight="22" behindDoc="0" locked="0" layoutInCell="0" allowOverlap="1" wp14:anchorId="7205FB6B" wp14:editId="6A8B2B8F">
                <wp:simplePos x="0" y="0"/>
                <wp:positionH relativeFrom="column">
                  <wp:posOffset>3641090</wp:posOffset>
                </wp:positionH>
                <wp:positionV relativeFrom="paragraph">
                  <wp:posOffset>765175</wp:posOffset>
                </wp:positionV>
                <wp:extent cx="325755" cy="47625"/>
                <wp:effectExtent l="0" t="0" r="635" b="0"/>
                <wp:wrapNone/>
                <wp:docPr id="23" name="Прямоугольник 18"/>
                <wp:cNvGraphicFramePr/>
                <a:graphic xmlns:a="http://schemas.openxmlformats.org/drawingml/2006/main">
                  <a:graphicData uri="http://schemas.microsoft.com/office/word/2010/wordprocessingShape">
                    <wps:wsp>
                      <wps:cNvSpPr/>
                      <wps:spPr>
                        <a:xfrm>
                          <a:off x="0" y="0"/>
                          <a:ext cx="325080" cy="4716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id="shape_0" ID="Прямокутник 48" path="m0,0l-2147483645,0l-2147483645,-2147483646l0,-2147483646xe" fillcolor="#f4b183" stroked="f" style="position:absolute;margin-left:286.7pt;margin-top:60.25pt;width:25.55pt;height:3.65pt;mso-wrap-style:none;v-text-anchor:middle" wp14:anchorId="6F8A067D">
                <v:fill o:detectmouseclick="t" type="solid" color2="#0b4e7c"/>
                <v:stroke color="#3465a4" weight="12600" joinstyle="miter" endcap="flat"/>
                <w10:wrap type="none"/>
              </v:rect>
            </w:pict>
          </mc:Fallback>
        </mc:AlternateContent>
      </w:r>
      <w:r w:rsidRPr="00356F5B">
        <w:rPr>
          <w:noProof/>
          <w:lang w:eastAsia="uk-UA"/>
        </w:rPr>
        <mc:AlternateContent>
          <mc:Choice Requires="wps">
            <w:drawing>
              <wp:anchor distT="0" distB="0" distL="0" distR="0" simplePos="0" relativeHeight="24" behindDoc="0" locked="0" layoutInCell="0" allowOverlap="1" wp14:anchorId="7812F82B" wp14:editId="0AC7870E">
                <wp:simplePos x="0" y="0"/>
                <wp:positionH relativeFrom="column">
                  <wp:posOffset>3844925</wp:posOffset>
                </wp:positionH>
                <wp:positionV relativeFrom="paragraph">
                  <wp:posOffset>300355</wp:posOffset>
                </wp:positionV>
                <wp:extent cx="123825" cy="118110"/>
                <wp:effectExtent l="0" t="0" r="0" b="0"/>
                <wp:wrapNone/>
                <wp:docPr id="24" name="Овал 19"/>
                <wp:cNvGraphicFramePr/>
                <a:graphic xmlns:a="http://schemas.openxmlformats.org/drawingml/2006/main">
                  <a:graphicData uri="http://schemas.microsoft.com/office/word/2010/wordprocessingShape">
                    <wps:wsp>
                      <wps:cNvSpPr/>
                      <wps:spPr>
                        <a:xfrm>
                          <a:off x="0" y="0"/>
                          <a:ext cx="123120" cy="117360"/>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oval id="shape_0" ID="Овал 47" path="l-2147483648,-2147483643l-2147483628,-2147483627l-2147483648,-2147483643l-2147483626,-2147483625xe" fillcolor="#8497b0" stroked="f" style="position:absolute;margin-left:302.75pt;margin-top:23.65pt;width:9.65pt;height:9.2pt;mso-wrap-style:none;v-text-anchor:middle" wp14:anchorId="24C131C3">
                <v:fill o:detectmouseclick="t" type="solid" color2="#7b684f"/>
                <v:stroke color="#3465a4" weight="12600" joinstyle="miter" endcap="flat"/>
                <w10:wrap type="none"/>
              </v:oval>
            </w:pict>
          </mc:Fallback>
        </mc:AlternateContent>
      </w:r>
      <w:r w:rsidRPr="00356F5B">
        <w:rPr>
          <w:noProof/>
          <w:lang w:eastAsia="uk-UA"/>
        </w:rPr>
        <mc:AlternateContent>
          <mc:Choice Requires="wps">
            <w:drawing>
              <wp:anchor distT="0" distB="0" distL="0" distR="0" simplePos="0" relativeHeight="28" behindDoc="0" locked="0" layoutInCell="0" allowOverlap="1" wp14:anchorId="2394DA43" wp14:editId="2085FC55">
                <wp:simplePos x="0" y="0"/>
                <wp:positionH relativeFrom="margin">
                  <wp:align>right</wp:align>
                </wp:positionH>
                <wp:positionV relativeFrom="paragraph">
                  <wp:posOffset>572135</wp:posOffset>
                </wp:positionV>
                <wp:extent cx="2096770" cy="448310"/>
                <wp:effectExtent l="0" t="0" r="0" b="0"/>
                <wp:wrapNone/>
                <wp:docPr id="25" name="Прямоугольник 20"/>
                <wp:cNvGraphicFramePr/>
                <a:graphic xmlns:a="http://schemas.openxmlformats.org/drawingml/2006/main">
                  <a:graphicData uri="http://schemas.microsoft.com/office/word/2010/wordprocessingShape">
                    <wps:wsp>
                      <wps:cNvSpPr/>
                      <wps:spPr>
                        <a:xfrm>
                          <a:off x="0" y="0"/>
                          <a:ext cx="2096280" cy="447840"/>
                        </a:xfrm>
                        <a:prstGeom prst="rect">
                          <a:avLst/>
                        </a:prstGeom>
                        <a:noFill/>
                        <a:ln w="6350">
                          <a:noFill/>
                        </a:ln>
                      </wps:spPr>
                      <wps:style>
                        <a:lnRef idx="0">
                          <a:schemeClr val="accent1"/>
                        </a:lnRef>
                        <a:fillRef idx="0">
                          <a:schemeClr val="accent1"/>
                        </a:fillRef>
                        <a:effectRef idx="0">
                          <a:schemeClr val="accent1"/>
                        </a:effectRef>
                        <a:fontRef idx="minor"/>
                      </wps:style>
                      <wps:txbx>
                        <w:txbxContent>
                          <w:p w14:paraId="21B9115E" w14:textId="1F87F9EE" w:rsidR="00B153DC" w:rsidRPr="003E5D32" w:rsidRDefault="0040293F">
                            <w:pPr>
                              <w:pStyle w:val="af2"/>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 xml:space="preserve"> </w:t>
                            </w:r>
                            <w:r w:rsidR="00FF2428" w:rsidRPr="003E5D32">
                              <w:rPr>
                                <w:rFonts w:ascii="Times New Roman" w:hAnsi="Times New Roman" w:cs="Times New Roman"/>
                                <w:color w:val="202124"/>
                                <w:shd w:val="clear" w:color="auto" w:fill="FFFFFF"/>
                              </w:rPr>
                              <w:t xml:space="preserve">Інші фінансові доходи, </w:t>
                            </w:r>
                          </w:p>
                          <w:p w14:paraId="53DBFCC4" w14:textId="77034312" w:rsidR="00B153DC" w:rsidRPr="003E5D32" w:rsidRDefault="0040293F">
                            <w:pPr>
                              <w:pStyle w:val="af2"/>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color w:val="202124"/>
                                <w:shd w:val="clear" w:color="auto" w:fill="FFFFFF"/>
                              </w:rPr>
                              <w:t xml:space="preserve"> </w:t>
                            </w:r>
                            <w:r w:rsidR="00FF2428" w:rsidRPr="003E5D32">
                              <w:rPr>
                                <w:rFonts w:ascii="Times New Roman" w:hAnsi="Times New Roman" w:cs="Times New Roman"/>
                                <w:color w:val="202124"/>
                                <w:shd w:val="clear" w:color="auto" w:fill="FFFFFF"/>
                              </w:rPr>
                              <w:t>млн грн</w:t>
                            </w:r>
                          </w:p>
                        </w:txbxContent>
                      </wps:txbx>
                      <wps:bodyPr>
                        <a:prstTxWarp prst="textNoShape">
                          <a:avLst/>
                        </a:prstTxWarp>
                        <a:noAutofit/>
                      </wps:bodyPr>
                    </wps:wsp>
                  </a:graphicData>
                </a:graphic>
              </wp:anchor>
            </w:drawing>
          </mc:Choice>
          <mc:Fallback>
            <w:pict>
              <v:rect w14:anchorId="2394DA43" id="Прямоугольник 20" o:spid="_x0000_s1031" style="position:absolute;left:0;text-align:left;margin-left:113.9pt;margin-top:45.05pt;width:165.1pt;height:35.3pt;z-index: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AxEAIAAEEEAAAOAAAAZHJzL2Uyb0RvYy54bWysU81uEzEQviPxDpbvZDdLEtJVNhWiKhdU&#10;KtqKs+O1k5W8tmW72c0NiSsSj8BD9IL46TNs3ojxJN1E5VTExX8z3zcz34xnp22tyFo4Xxld0OEg&#10;pURobspKLwt6c33+YkqJD0yXTBktCroRnp7Onz+bNTYXmVkZVQpHgET7vLEFXYVg8yTxfCVq5gfG&#10;Cg1GaVzNAlzdMikda4C9VkmWppOkMa60znDhPbye7Yx0jvxSCh7eS+lFIKqgkFvA1eG6iGsyn7F8&#10;6ZhdVXyfBvuHLGpWaQjaU52xwMitq/6iqivujDcyDLipEyNlxQXWANUM00fVXK2YFVgLiONtL5P/&#10;f7T8Yn3pSFUWNBtTolkNPeq+bT9tv3a/uvvt5+6uu+9+br90v7vv3Q+SoWKN9TkAr+ylA/3izcMx&#10;lt9KV8cdCiMtqrzpVRZtIBwes/Rkkk2hGRxso9Gr6QhJkwPaOh/eClOTeCiogy6iuGz9zgeICK4P&#10;LjGYNueVUthJpUlT0MnLcYqA3gIIpQF4yBVPYaNEZFD6g5CgAqYcH3D+xBvlyJrB5DDOhQ7DOC3I&#10;BN7RS0LYpwD3/hEqcDafAu4RGNno0IPrShuHuR0VFY+hXbTY23G0xpeFKTe7TkUBr9uPzNm9ygH6&#10;c2EeRo7lj8Te+cbY2ry+DUZW2IljUlQX5hRF2v+p+BGO79iDw8+f/wEAAP//AwBQSwMEFAAGAAgA&#10;AAAhAMjtLHXfAAAABwEAAA8AAABkcnMvZG93bnJldi54bWxMj8FOwzAQRO9I/IO1SFwQtduIFkKc&#10;CiEQEogDaS/cnHibBOJ1FLtJ4OtZTnAczWjmTbadXSdGHELrScNyoUAgVd62VGvY7x4vr0GEaMia&#10;zhNq+MIA2/z0JDOp9RO94VjEWnAJhdRoaGLsUylD1aAzYeF7JPYOfnAmshxqaQczcbnr5EqptXSm&#10;JV5oTI/3DVafxdFpSD420368evjGi6J0h+f3l6fd66D1+dl8dwsi4hz/wvCLz+iQM1Ppj2SD6DTw&#10;kajhRi1BsJskagWi5NhabUDmmfzPn/8AAAD//wMAUEsBAi0AFAAGAAgAAAAhALaDOJL+AAAA4QEA&#10;ABMAAAAAAAAAAAAAAAAAAAAAAFtDb250ZW50X1R5cGVzXS54bWxQSwECLQAUAAYACAAAACEAOP0h&#10;/9YAAACUAQAACwAAAAAAAAAAAAAAAAAvAQAAX3JlbHMvLnJlbHNQSwECLQAUAAYACAAAACEA2p+g&#10;MRACAABBBAAADgAAAAAAAAAAAAAAAAAuAgAAZHJzL2Uyb0RvYy54bWxQSwECLQAUAAYACAAAACEA&#10;yO0sdd8AAAAHAQAADwAAAAAAAAAAAAAAAABqBAAAZHJzL2Rvd25yZXYueG1sUEsFBgAAAAAEAAQA&#10;8wAAAHYFAAAAAA==&#10;" o:allowincell="f" filled="f" stroked="f" strokeweight=".5pt">
                <v:textbox>
                  <w:txbxContent>
                    <w:p w14:paraId="21B9115E" w14:textId="1F87F9EE" w:rsidR="00B153DC" w:rsidRPr="003E5D32" w:rsidRDefault="0040293F">
                      <w:pPr>
                        <w:pStyle w:val="af2"/>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 xml:space="preserve"> </w:t>
                      </w:r>
                      <w:r w:rsidR="00FF2428" w:rsidRPr="003E5D32">
                        <w:rPr>
                          <w:rFonts w:ascii="Times New Roman" w:hAnsi="Times New Roman" w:cs="Times New Roman"/>
                          <w:color w:val="202124"/>
                          <w:shd w:val="clear" w:color="auto" w:fill="FFFFFF"/>
                        </w:rPr>
                        <w:t xml:space="preserve">Інші фінансові доходи, </w:t>
                      </w:r>
                    </w:p>
                    <w:p w14:paraId="53DBFCC4" w14:textId="77034312" w:rsidR="00B153DC" w:rsidRPr="003E5D32" w:rsidRDefault="0040293F">
                      <w:pPr>
                        <w:pStyle w:val="af2"/>
                        <w:jc w:val="both"/>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color w:val="202124"/>
                          <w:shd w:val="clear" w:color="auto" w:fill="FFFFFF"/>
                        </w:rPr>
                        <w:t xml:space="preserve"> </w:t>
                      </w:r>
                      <w:r w:rsidR="00FF2428" w:rsidRPr="003E5D32">
                        <w:rPr>
                          <w:rFonts w:ascii="Times New Roman" w:hAnsi="Times New Roman" w:cs="Times New Roman"/>
                          <w:color w:val="202124"/>
                          <w:shd w:val="clear" w:color="auto" w:fill="FFFFFF"/>
                        </w:rPr>
                        <w:t>млн грн</w:t>
                      </w:r>
                    </w:p>
                  </w:txbxContent>
                </v:textbox>
                <w10:wrap anchorx="margin"/>
              </v:rect>
            </w:pict>
          </mc:Fallback>
        </mc:AlternateContent>
      </w:r>
      <w:r w:rsidRPr="00356F5B">
        <w:rPr>
          <w:noProof/>
          <w:lang w:eastAsia="uk-UA"/>
        </w:rPr>
        <w:drawing>
          <wp:inline distT="0" distB="0" distL="0" distR="0" wp14:anchorId="4F2E0100" wp14:editId="32E938B7">
            <wp:extent cx="3582670" cy="1278890"/>
            <wp:effectExtent l="0" t="0" r="0" b="0"/>
            <wp:docPr id="2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AD8338" w14:textId="77777777" w:rsidR="00B153DC" w:rsidRPr="00356F5B" w:rsidRDefault="00B153DC">
      <w:pPr>
        <w:ind w:firstLine="567"/>
        <w:jc w:val="both"/>
        <w:rPr>
          <w:rFonts w:ascii="Times New Roman" w:hAnsi="Times New Roman" w:cs="Times New Roman"/>
          <w:color w:val="202124"/>
          <w:sz w:val="30"/>
          <w:szCs w:val="30"/>
          <w:shd w:val="clear" w:color="auto" w:fill="FFFFFF"/>
        </w:rPr>
      </w:pPr>
    </w:p>
    <w:p w14:paraId="208FE7D8" w14:textId="77777777" w:rsidR="00B153DC" w:rsidRPr="00356F5B" w:rsidRDefault="00FF2428" w:rsidP="00631C20">
      <w:pPr>
        <w:ind w:firstLine="709"/>
        <w:jc w:val="both"/>
      </w:pPr>
      <w:r w:rsidRPr="00356F5B">
        <w:rPr>
          <w:rFonts w:ascii="Times New Roman" w:hAnsi="Times New Roman" w:cs="Times New Roman"/>
          <w:color w:val="202124"/>
          <w:sz w:val="28"/>
          <w:szCs w:val="28"/>
          <w:shd w:val="clear" w:color="auto" w:fill="FFFFFF"/>
        </w:rPr>
        <w:t>Чистий дохід Компанії від реалізації продукції (товарів, робіт, послуг) переважно сформовано за рахунок доходів від реалізації нерухомості та незавершеного будівництва (91% у 2019 році, 96% у 2020 році, 89% у 2021 році та 70% у 2022 році).</w:t>
      </w:r>
    </w:p>
    <w:p w14:paraId="4BBDFD8B" w14:textId="3E78283B" w:rsidR="00B153DC" w:rsidRPr="00356F5B" w:rsidRDefault="00FF2428" w:rsidP="00631C20">
      <w:pPr>
        <w:ind w:firstLine="709"/>
        <w:jc w:val="both"/>
      </w:pPr>
      <w:r w:rsidRPr="00356F5B">
        <w:rPr>
          <w:rFonts w:ascii="Times New Roman" w:hAnsi="Times New Roman" w:cs="Times New Roman"/>
          <w:sz w:val="28"/>
          <w:szCs w:val="28"/>
          <w:shd w:val="clear" w:color="auto" w:fill="FFFFFF"/>
        </w:rPr>
        <w:t>Найбільшу питому вагу в складі інших операційних доходів 2019 року займають надходження від продажу необоротних активів (57% або 79,64 млн грн), 2020-2021 років – доходи від безкоштовно отриманих активів (54% або 124</w:t>
      </w:r>
      <w:r w:rsidR="00631C20"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млн</w:t>
      </w:r>
      <w:r w:rsidR="00631C20"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грн та 76% або 174,29 млн грн відповідно) та дохід від списання кредиторської заборгованості.</w:t>
      </w:r>
    </w:p>
    <w:p w14:paraId="52B4A08D" w14:textId="77777777" w:rsidR="00B153DC" w:rsidRPr="00356F5B" w:rsidRDefault="00FF2428" w:rsidP="00631C20">
      <w:pPr>
        <w:ind w:firstLine="709"/>
        <w:jc w:val="both"/>
      </w:pPr>
      <w:r w:rsidRPr="00356F5B">
        <w:rPr>
          <w:rFonts w:ascii="Times New Roman" w:hAnsi="Times New Roman" w:cs="Times New Roman"/>
          <w:sz w:val="28"/>
          <w:szCs w:val="28"/>
          <w:shd w:val="clear" w:color="auto" w:fill="FFFFFF"/>
        </w:rPr>
        <w:t>Водночас витрати Компанії (за винятком інших операційних) також демонструють основну тенденцію змін у часі до їх зменшення.</w:t>
      </w:r>
    </w:p>
    <w:p w14:paraId="76802001" w14:textId="77777777" w:rsidR="00B153DC" w:rsidRPr="00356F5B" w:rsidRDefault="00FF2428" w:rsidP="00631C20">
      <w:pPr>
        <w:ind w:firstLine="709"/>
        <w:jc w:val="both"/>
      </w:pPr>
      <w:r w:rsidRPr="00356F5B">
        <w:rPr>
          <w:rFonts w:ascii="Times New Roman" w:hAnsi="Times New Roman" w:cs="Times New Roman"/>
          <w:sz w:val="28"/>
          <w:szCs w:val="28"/>
          <w:shd w:val="clear" w:color="auto" w:fill="FFFFFF"/>
        </w:rPr>
        <w:t xml:space="preserve">Так, собівартість реалізованої продукції (товарів, робіт, послуг) у 2022 році склала 1,60 млрд грн, що на 42% менше показника 2019 року, адміністративні </w:t>
      </w:r>
      <w:r w:rsidRPr="00356F5B">
        <w:rPr>
          <w:rFonts w:ascii="Times New Roman" w:hAnsi="Times New Roman" w:cs="Times New Roman"/>
          <w:sz w:val="28"/>
          <w:szCs w:val="28"/>
          <w:shd w:val="clear" w:color="auto" w:fill="FFFFFF"/>
        </w:rPr>
        <w:lastRenderedPageBreak/>
        <w:t>витрати (49,17 млн грн) – у 2,5 рази, а витрати на збут (33,45 млн грн) та фінансові витрати (2,9 млн грн) в 4 та в 4,5 рази менше відповідно.</w:t>
      </w:r>
    </w:p>
    <w:p w14:paraId="2C58BDF3" w14:textId="77777777" w:rsidR="00B153DC" w:rsidRPr="00356F5B" w:rsidRDefault="00FF2428" w:rsidP="00631C20">
      <w:pPr>
        <w:ind w:firstLine="709"/>
        <w:jc w:val="both"/>
      </w:pPr>
      <w:r w:rsidRPr="00356F5B">
        <w:rPr>
          <w:rFonts w:ascii="Times New Roman" w:hAnsi="Times New Roman" w:cs="Times New Roman"/>
          <w:sz w:val="28"/>
          <w:szCs w:val="28"/>
          <w:shd w:val="clear" w:color="auto" w:fill="FFFFFF"/>
        </w:rPr>
        <w:t>Інші операційні витрати з 86,65 млн грн у 2019 році зросли до 201,6 млн грн у 2022 році.</w:t>
      </w:r>
    </w:p>
    <w:p w14:paraId="637BE938" w14:textId="11D0D968" w:rsidR="00B153DC" w:rsidRPr="00356F5B" w:rsidRDefault="00FF2428" w:rsidP="00631C20">
      <w:pPr>
        <w:ind w:firstLine="709"/>
        <w:jc w:val="both"/>
      </w:pPr>
      <w:r w:rsidRPr="00356F5B">
        <w:rPr>
          <w:rFonts w:ascii="Times New Roman" w:hAnsi="Times New Roman" w:cs="Times New Roman"/>
          <w:sz w:val="28"/>
          <w:szCs w:val="28"/>
          <w:shd w:val="clear" w:color="auto" w:fill="FFFFFF"/>
        </w:rPr>
        <w:t>У складі сформованих у 2021 році інших операційних витрат (225,43</w:t>
      </w:r>
      <w:r w:rsidR="00631C20"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млн</w:t>
      </w:r>
      <w:r w:rsidR="00631C20"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грн) найбільшу питому вагу займають витрати з безкоштовної передачі активів територіальній  громаді міста Києва (82,29 млн грн або 37%), визнання раніше списаної кредиторської заборгованості (50,16 млн грн або 22%) та списання витрат по незавершеному будівництву (29,61 млн грн або 13%).</w:t>
      </w:r>
    </w:p>
    <w:p w14:paraId="23AEF04C" w14:textId="6BD5CDB9" w:rsidR="00B153DC" w:rsidRPr="00356F5B" w:rsidRDefault="00FF2428" w:rsidP="00631C20">
      <w:pPr>
        <w:ind w:firstLine="709"/>
        <w:jc w:val="both"/>
      </w:pPr>
      <w:r w:rsidRPr="00356F5B">
        <w:rPr>
          <w:rFonts w:ascii="Times New Roman" w:hAnsi="Times New Roman" w:cs="Times New Roman"/>
          <w:sz w:val="28"/>
          <w:szCs w:val="28"/>
          <w:shd w:val="clear" w:color="auto" w:fill="FFFFFF"/>
        </w:rPr>
        <w:t>Інші операційні витрати 2022 року також сформовані в основному зі списання витрат по незавершеному будівництву (103,8 млн грн або 51%), витрат з безкоштовної передачі активів територіальній  громаді міста Києва (22,3</w:t>
      </w:r>
      <w:r w:rsidR="00631C20"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млн</w:t>
      </w:r>
      <w:r w:rsidR="00631C20"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грн або 11%).</w:t>
      </w:r>
    </w:p>
    <w:p w14:paraId="09455D1E" w14:textId="13D0AF28" w:rsidR="00B153DC" w:rsidRPr="00356F5B" w:rsidRDefault="00FF2428" w:rsidP="00631C20">
      <w:pPr>
        <w:ind w:firstLine="709"/>
        <w:jc w:val="both"/>
      </w:pPr>
      <w:r w:rsidRPr="00356F5B">
        <w:rPr>
          <w:noProof/>
          <w:lang w:eastAsia="uk-UA"/>
        </w:rPr>
        <mc:AlternateContent>
          <mc:Choice Requires="wps">
            <w:drawing>
              <wp:anchor distT="0" distB="0" distL="0" distR="0" simplePos="0" relativeHeight="29" behindDoc="0" locked="0" layoutInCell="0" allowOverlap="1" wp14:anchorId="3831848C" wp14:editId="6ADD37EF">
                <wp:simplePos x="0" y="0"/>
                <wp:positionH relativeFrom="column">
                  <wp:posOffset>3264535</wp:posOffset>
                </wp:positionH>
                <wp:positionV relativeFrom="paragraph">
                  <wp:posOffset>709295</wp:posOffset>
                </wp:positionV>
                <wp:extent cx="1541780" cy="1530350"/>
                <wp:effectExtent l="0" t="0" r="3810" b="0"/>
                <wp:wrapNone/>
                <wp:docPr id="28" name="Овал 22"/>
                <wp:cNvGraphicFramePr/>
                <a:graphic xmlns:a="http://schemas.openxmlformats.org/drawingml/2006/main">
                  <a:graphicData uri="http://schemas.microsoft.com/office/word/2010/wordprocessingShape">
                    <wps:wsp>
                      <wps:cNvSpPr/>
                      <wps:spPr>
                        <a:xfrm>
                          <a:off x="0" y="0"/>
                          <a:ext cx="1541160" cy="15296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wps:style>
                      <wps:txbx>
                        <w:txbxContent>
                          <w:p w14:paraId="068B3B89" w14:textId="77777777" w:rsidR="00B153DC" w:rsidRDefault="00FF2428">
                            <w:pPr>
                              <w:pStyle w:val="af2"/>
                              <w:jc w:val="center"/>
                              <w:rPr>
                                <w:b/>
                              </w:rPr>
                            </w:pPr>
                            <w:r>
                              <w:rPr>
                                <w:b/>
                                <w:color w:val="FFFFFF"/>
                              </w:rPr>
                              <w:t>-54,89</w:t>
                            </w:r>
                          </w:p>
                        </w:txbxContent>
                      </wps:txbx>
                      <wps:bodyPr anchor="ctr">
                        <a:prstTxWarp prst="textNoShape">
                          <a:avLst/>
                        </a:prstTxWarp>
                        <a:noAutofit/>
                      </wps:bodyPr>
                    </wps:wsp>
                  </a:graphicData>
                </a:graphic>
              </wp:anchor>
            </w:drawing>
          </mc:Choice>
          <mc:Fallback>
            <w:pict>
              <v:oval w14:anchorId="3831848C" id="Овал 22" o:spid="_x0000_s1032" style="position:absolute;left:0;text-align:left;margin-left:257.05pt;margin-top:55.85pt;width:121.4pt;height:120.5pt;z-index:2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2BKAIAAIMEAAAOAAAAZHJzL2Uyb0RvYy54bWysVM1uEzEQviPxDpbvZH/URLDKpkJU4YJK&#10;RVtxdrx21pLXY9lusnkZngFx5SXySIy9Pw1U4oDIwbE933wz38x419d9p8lBOK/A1LRY5JQIw6FR&#10;Zl/Tx4ftm7eU+MBMwzQYUdOT8PR68/rV+mgrUUILuhGOIInx1dHWtA3BVlnmeSs65hdghUGjBNex&#10;gEe3zxrHjsje6azM81V2BNdYB1x4j7c3g5FuEr+UgofPUnoRiK4p5hbS6tK6i2u2WbNq75htFR/T&#10;YP+QRceUwaAz1Q0LjDw59YKqU9yBBxkWHLoMpFRcJA2opsj/UHPfMiuSFiyOt3OZ/P+j5beHO0dU&#10;U9MSO2VYhz06fzv/OH8//yRlGetztL5C2L29c+PJ4zaK7aXr4j/KIH2q6WmuqegD4XhZLK+KYoWl&#10;52grluW71VWqevbsbp0PHwV0JG5qKrRW1kfdrGKHTz5gVERPqHjtQatmq7ROB7fffdCOHBj2eLvN&#10;8RfTRpffYNpEsIHoNpjjTRbVDXrSLpy0iDhtvgiJdUEFZcokTaSY4zDOhQnFYGpZI4bwy8vocYaj&#10;R8olEUZmifFn7pFgQg4kE/eQ5YiPriIN9Oyc/y2xwXn2SJHBhNm5UwZcqtOF7rgN/a5PA7Gamr+D&#10;5oRDwgxvAZ8ODy4Fjg156L8yZ8fGBez5LUxD+6J5AzYmYuD9UwCpUmdjzCHC2A2c9FSx8VXGp3R5&#10;Tqjnb8fmFwAAAP//AwBQSwMEFAAGAAgAAAAhAHiBloHfAAAACwEAAA8AAABkcnMvZG93bnJldi54&#10;bWxMj8FOwzAQRO9I/IO1SNyo44CbNsSpEBJHJFqQuLrJEke111HsNIGvx5zocTVPM2+r3eIsO+MY&#10;ek8KxCoDhtT4tqdOwcf7y90GWIiaWm09oYJvDLCrr68qXbZ+pj2eD7FjqYRCqRWYGIeS89AYdDqs&#10;/ICUsi8/Oh3TOXa8HfWcyp3leZatudM9pQWjB3w22JwOk1MQZ/mz/5R5NF22sSeatmF+e1Xq9mZ5&#10;egQWcYn/MPzpJ3Wok9PRT9QGZhVI8SASmgIhCmCJKOR6C+yo4F7mBfC64pc/1L8AAAD//wMAUEsB&#10;Ai0AFAAGAAgAAAAhALaDOJL+AAAA4QEAABMAAAAAAAAAAAAAAAAAAAAAAFtDb250ZW50X1R5cGVz&#10;XS54bWxQSwECLQAUAAYACAAAACEAOP0h/9YAAACUAQAACwAAAAAAAAAAAAAAAAAvAQAAX3JlbHMv&#10;LnJlbHNQSwECLQAUAAYACAAAACEAQ+JdgSgCAACDBAAADgAAAAAAAAAAAAAAAAAuAgAAZHJzL2Uy&#10;b0RvYy54bWxQSwECLQAUAAYACAAAACEAeIGWgd8AAAALAQAADwAAAAAAAAAAAAAAAACCBAAAZHJz&#10;L2Rvd25yZXYueG1sUEsFBgAAAAAEAAQA8wAAAI4FAAAAAA==&#10;" o:allowincell="f" fillcolor="red" stroked="f" strokeweight="1pt">
                <v:stroke joinstyle="miter"/>
                <v:textbox>
                  <w:txbxContent>
                    <w:p w14:paraId="068B3B89" w14:textId="77777777" w:rsidR="00B153DC" w:rsidRDefault="00FF2428">
                      <w:pPr>
                        <w:pStyle w:val="af2"/>
                        <w:jc w:val="center"/>
                        <w:rPr>
                          <w:b/>
                        </w:rPr>
                      </w:pPr>
                      <w:r>
                        <w:rPr>
                          <w:b/>
                          <w:color w:val="FFFFFF"/>
                        </w:rPr>
                        <w:t>-54,89</w:t>
                      </w:r>
                    </w:p>
                  </w:txbxContent>
                </v:textbox>
              </v:oval>
            </w:pict>
          </mc:Fallback>
        </mc:AlternateContent>
      </w:r>
      <w:r w:rsidRPr="00356F5B">
        <w:rPr>
          <w:rFonts w:ascii="Times New Roman" w:hAnsi="Times New Roman" w:cs="Times New Roman"/>
          <w:sz w:val="28"/>
          <w:szCs w:val="28"/>
          <w:shd w:val="clear" w:color="auto" w:fill="FFFFFF"/>
        </w:rPr>
        <w:t>Зменшення дохідної та витратної частин Компанії та скорочення обсягів будівництва відповідно відобразилось і на її фінансовому результаті, який з прибутку в 35,14 млн грн в 2019 році обернувся в збиток 2022 року у сумі 54,89</w:t>
      </w:r>
      <w:r w:rsidR="00631C20" w:rsidRPr="00356F5B">
        <w:rPr>
          <w:rFonts w:ascii="Times New Roman" w:hAnsi="Times New Roman" w:cs="Times New Roman"/>
          <w:sz w:val="28"/>
          <w:szCs w:val="28"/>
          <w:shd w:val="clear" w:color="auto" w:fill="FFFFFF"/>
        </w:rPr>
        <w:t> </w:t>
      </w:r>
      <w:r w:rsidRPr="00356F5B">
        <w:rPr>
          <w:rFonts w:ascii="Times New Roman" w:hAnsi="Times New Roman" w:cs="Times New Roman"/>
          <w:sz w:val="28"/>
          <w:szCs w:val="28"/>
          <w:shd w:val="clear" w:color="auto" w:fill="FFFFFF"/>
        </w:rPr>
        <w:t xml:space="preserve"> млн грн.</w:t>
      </w:r>
    </w:p>
    <w:p w14:paraId="451202A4" w14:textId="594A10A7" w:rsidR="00B153DC" w:rsidRPr="00356F5B" w:rsidRDefault="00E37881">
      <w:pPr>
        <w:ind w:firstLine="567"/>
        <w:jc w:val="both"/>
        <w:rPr>
          <w:sz w:val="28"/>
          <w:szCs w:val="28"/>
          <w:shd w:val="clear" w:color="auto" w:fill="FFFFFF"/>
        </w:rPr>
      </w:pPr>
      <w:r w:rsidRPr="00356F5B">
        <w:rPr>
          <w:noProof/>
          <w:sz w:val="28"/>
          <w:szCs w:val="28"/>
          <w:shd w:val="clear" w:color="auto" w:fill="FFFFFF"/>
          <w:lang w:eastAsia="uk-UA"/>
        </w:rPr>
        <mc:AlternateContent>
          <mc:Choice Requires="wps">
            <w:drawing>
              <wp:anchor distT="0" distB="0" distL="0" distR="0" simplePos="0" relativeHeight="1056" behindDoc="0" locked="0" layoutInCell="0" allowOverlap="1" wp14:anchorId="213C1ADF" wp14:editId="5156AF9C">
                <wp:simplePos x="0" y="0"/>
                <wp:positionH relativeFrom="margin">
                  <wp:posOffset>-76200</wp:posOffset>
                </wp:positionH>
                <wp:positionV relativeFrom="paragraph">
                  <wp:posOffset>87630</wp:posOffset>
                </wp:positionV>
                <wp:extent cx="1183005" cy="1171575"/>
                <wp:effectExtent l="0" t="0" r="635" b="0"/>
                <wp:wrapNone/>
                <wp:docPr id="30" name="Овал 23"/>
                <wp:cNvGraphicFramePr/>
                <a:graphic xmlns:a="http://schemas.openxmlformats.org/drawingml/2006/main">
                  <a:graphicData uri="http://schemas.microsoft.com/office/word/2010/wordprocessingShape">
                    <wps:wsp>
                      <wps:cNvSpPr/>
                      <wps:spPr>
                        <a:xfrm>
                          <a:off x="0" y="0"/>
                          <a:ext cx="1183005" cy="1171575"/>
                        </a:xfrm>
                        <a:prstGeom prst="ellipse">
                          <a:avLst/>
                        </a:prstGeom>
                        <a:solidFill>
                          <a:srgbClr val="323364"/>
                        </a:solidFill>
                        <a:ln>
                          <a:noFill/>
                        </a:ln>
                      </wps:spPr>
                      <wps:style>
                        <a:lnRef idx="2">
                          <a:schemeClr val="accent1">
                            <a:shade val="50000"/>
                          </a:schemeClr>
                        </a:lnRef>
                        <a:fillRef idx="1">
                          <a:schemeClr val="accent1"/>
                        </a:fillRef>
                        <a:effectRef idx="0">
                          <a:schemeClr val="accent1"/>
                        </a:effectRef>
                        <a:fontRef idx="minor"/>
                      </wps:style>
                      <wps:txbx>
                        <w:txbxContent>
                          <w:p w14:paraId="5AA80394" w14:textId="77777777" w:rsidR="00B153DC" w:rsidRDefault="00FF2428">
                            <w:pPr>
                              <w:pStyle w:val="af2"/>
                              <w:jc w:val="center"/>
                              <w:rPr>
                                <w:b/>
                              </w:rPr>
                            </w:pPr>
                            <w:r>
                              <w:rPr>
                                <w:b/>
                                <w:color w:val="FFFFFF"/>
                              </w:rPr>
                              <w:t>35,14</w:t>
                            </w:r>
                          </w:p>
                        </w:txbxContent>
                      </wps:txbx>
                      <wps:bodyPr anchor="ctr">
                        <a:prstTxWarp prst="textNoShape">
                          <a:avLst/>
                        </a:prstTxWarp>
                        <a:noAutofit/>
                      </wps:bodyPr>
                    </wps:wsp>
                  </a:graphicData>
                </a:graphic>
              </wp:anchor>
            </w:drawing>
          </mc:Choice>
          <mc:Fallback>
            <w:pict>
              <v:oval w14:anchorId="213C1ADF" id="Овал 23" o:spid="_x0000_s1033" style="position:absolute;left:0;text-align:left;margin-left:-6pt;margin-top:6.9pt;width:93.15pt;height:92.25pt;z-index:105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H7KQIAAIMEAAAOAAAAZHJzL2Uyb0RvYy54bWysVMFu2zAMvQ/YPwi6L7bjpSmMOMWworsM&#10;XbF22FmRpViALAqSmjg/s28Ydt1P5JNGyY7TrUAPxXJQJOrxkY+kvLrqO012wnkFpqbFLKdEGA6N&#10;Mtuafnu4eXdJiQ/MNEyDETU9CE+v1m/frPa2EnNoQTfCESQxvtrbmrYh2CrLPG9Fx/wMrDB4KcF1&#10;LODRbbPGsT2ydzqb5/lFtgfXWAdceI/W6+GSrhO/lIKHL1J6EYiuKeYW0urSuolrtl6xauuYbRUf&#10;02CvyKJjymDQieqaBUYenXpG1SnuwIMMMw5dBlIqLpIGVFPk/6i5b5kVSQsWx9upTP7/0fLb3Z0j&#10;qqlpieUxrMMeHX8cfx1/Hn+TeRnrs7e+Qti9vXPjyeM2iu2l6+I/yiB9qulhqqnoA+FoLIrLMs8X&#10;lHC8K4plsVguImt2drfOh08COhI3NRVaK+ujblax3WcfBvQJFc0etGpulNbp4Labj9qRHcMel/Oy&#10;vHg/BvgLpk0EG4huA2O0ZFHdoCftwkGLiNPmq5BYF1QwT5mkiRRTHMa5MKEYrlrWiCH8IsffKXqc&#10;4eiRxCbCyCwx/sQ9EpyQA8mJe8hyxEdXkQZ6cs5fSmxwnjxSZDBhcu6UAZcyfaI7bkO/6dNALONt&#10;tGygOeCQMMNbwKfDg0uBY0Me+u/M2bFxAXt+C6ehfda8ARsTMfDhMYBUqbPnCGM3cNJTxcZXGZ/S&#10;03NCnb8d6z8AAAD//wMAUEsDBBQABgAIAAAAIQAcT8/k4AAAAAoBAAAPAAAAZHJzL2Rvd25yZXYu&#10;eG1sTI9Bb8IwDIXvk/YfIk/aZYK0FA0oTRGaNKkXJo1x2DE0punWOFUToPv3M6ftZvs9Pb+v2Iyu&#10;ExccQutJQTpNQCDV3rTUKDh8vE6WIELUZHTnCRX8YIBNeX9X6Nz4K73jZR8bwSEUcq3AxtjnUoba&#10;otNh6nsk1k5+cDryOjTSDPrK4a6TsyR5lk63xB+s7vHFYv29PzsFSVptV29Pu2rH5/5gF9X8q/9U&#10;6vFh3K5BRBzjnxlu9bk6lNzp6M9kgugUTNIZs0QWMka4GRbzDMSRh9UyA1kW8j9C+QsAAP//AwBQ&#10;SwECLQAUAAYACAAAACEAtoM4kv4AAADhAQAAEwAAAAAAAAAAAAAAAAAAAAAAW0NvbnRlbnRfVHlw&#10;ZXNdLnhtbFBLAQItABQABgAIAAAAIQA4/SH/1gAAAJQBAAALAAAAAAAAAAAAAAAAAC8BAABfcmVs&#10;cy8ucmVsc1BLAQItABQABgAIAAAAIQC6KwH7KQIAAIMEAAAOAAAAAAAAAAAAAAAAAC4CAABkcnMv&#10;ZTJvRG9jLnhtbFBLAQItABQABgAIAAAAIQAcT8/k4AAAAAoBAAAPAAAAAAAAAAAAAAAAAIMEAABk&#10;cnMvZG93bnJldi54bWxQSwUGAAAAAAQABADzAAAAkAUAAAAA&#10;" o:allowincell="f" fillcolor="#323364" stroked="f" strokeweight="1pt">
                <v:stroke joinstyle="miter"/>
                <v:textbox>
                  <w:txbxContent>
                    <w:p w14:paraId="5AA80394" w14:textId="77777777" w:rsidR="00B153DC" w:rsidRDefault="00FF2428">
                      <w:pPr>
                        <w:pStyle w:val="af2"/>
                        <w:jc w:val="center"/>
                        <w:rPr>
                          <w:b/>
                        </w:rPr>
                      </w:pPr>
                      <w:r>
                        <w:rPr>
                          <w:b/>
                          <w:color w:val="FFFFFF"/>
                        </w:rPr>
                        <w:t>35,14</w:t>
                      </w:r>
                    </w:p>
                  </w:txbxContent>
                </v:textbox>
                <w10:wrap anchorx="margin"/>
              </v:oval>
            </w:pict>
          </mc:Fallback>
        </mc:AlternateContent>
      </w:r>
      <w:r w:rsidR="00FF2428" w:rsidRPr="00356F5B">
        <w:rPr>
          <w:noProof/>
          <w:sz w:val="28"/>
          <w:szCs w:val="28"/>
          <w:shd w:val="clear" w:color="auto" w:fill="FFFFFF"/>
          <w:lang w:eastAsia="uk-UA"/>
        </w:rPr>
        <mc:AlternateContent>
          <mc:Choice Requires="wps">
            <w:drawing>
              <wp:anchor distT="0" distB="0" distL="0" distR="0" simplePos="0" relativeHeight="30" behindDoc="0" locked="0" layoutInCell="0" allowOverlap="1" wp14:anchorId="32A826B6" wp14:editId="04A03815">
                <wp:simplePos x="0" y="0"/>
                <wp:positionH relativeFrom="margin">
                  <wp:align>right</wp:align>
                </wp:positionH>
                <wp:positionV relativeFrom="paragraph">
                  <wp:posOffset>190500</wp:posOffset>
                </wp:positionV>
                <wp:extent cx="1026160" cy="951230"/>
                <wp:effectExtent l="0" t="0" r="5080" b="4445"/>
                <wp:wrapNone/>
                <wp:docPr id="32" name="Овал 24"/>
                <wp:cNvGraphicFramePr/>
                <a:graphic xmlns:a="http://schemas.openxmlformats.org/drawingml/2006/main">
                  <a:graphicData uri="http://schemas.microsoft.com/office/word/2010/wordprocessingShape">
                    <wps:wsp>
                      <wps:cNvSpPr/>
                      <wps:spPr>
                        <a:xfrm>
                          <a:off x="0" y="0"/>
                          <a:ext cx="1025640" cy="950760"/>
                        </a:xfrm>
                        <a:prstGeom prst="ellipse">
                          <a:avLst/>
                        </a:prstGeom>
                        <a:solidFill>
                          <a:srgbClr val="323364"/>
                        </a:solidFill>
                        <a:ln>
                          <a:noFill/>
                        </a:ln>
                      </wps:spPr>
                      <wps:style>
                        <a:lnRef idx="2">
                          <a:schemeClr val="accent1">
                            <a:shade val="50000"/>
                          </a:schemeClr>
                        </a:lnRef>
                        <a:fillRef idx="1">
                          <a:schemeClr val="accent1"/>
                        </a:fillRef>
                        <a:effectRef idx="0">
                          <a:schemeClr val="accent1"/>
                        </a:effectRef>
                        <a:fontRef idx="minor"/>
                      </wps:style>
                      <wps:txbx>
                        <w:txbxContent>
                          <w:p w14:paraId="2275AA8A" w14:textId="77777777" w:rsidR="00B153DC" w:rsidRDefault="00FF2428">
                            <w:pPr>
                              <w:pStyle w:val="af2"/>
                              <w:jc w:val="center"/>
                              <w:rPr>
                                <w:b/>
                              </w:rPr>
                            </w:pPr>
                            <w:r>
                              <w:rPr>
                                <w:b/>
                                <w:color w:val="FFFFFF"/>
                              </w:rPr>
                              <w:t>19,59</w:t>
                            </w:r>
                          </w:p>
                        </w:txbxContent>
                      </wps:txbx>
                      <wps:bodyPr anchor="ctr">
                        <a:prstTxWarp prst="textNoShape">
                          <a:avLst/>
                        </a:prstTxWarp>
                        <a:noAutofit/>
                      </wps:bodyPr>
                    </wps:wsp>
                  </a:graphicData>
                </a:graphic>
              </wp:anchor>
            </w:drawing>
          </mc:Choice>
          <mc:Fallback>
            <w:pict>
              <v:oval w14:anchorId="32A826B6" id="Овал 24" o:spid="_x0000_s1034" style="position:absolute;left:0;text-align:left;margin-left:29.6pt;margin-top:15pt;width:80.8pt;height:74.9pt;z-index:30;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hJLAIAAIIEAAAOAAAAZHJzL2Uyb0RvYy54bWysVM1uEzEQviPxDpbvdDebJpRVNhWiKhdU&#10;KlrE2fHaWUv+k+0mm5fhGRBXXiKP1BnvZluoxAGRg+Oxv/lmvpnxri57o8lOhKicbejsrKREWO5a&#10;ZbcN/Xp//eaCkpiYbZl2VjT0ICK9XL9+tdr7WlSuc7oVgQCJjfXeN7RLyddFEXknDItnzgsLl9IF&#10;wxKYYVu0ge2B3eiiKstlsXeh9cFxESOcXg2XdJ35pRQ8fZYyikR0QyG3lNeQ1w2uxXrF6m1gvlN8&#10;TIP9QxaGKQtBJ6orlhh5COoFlVE8uOhkOuPOFE5KxUXWAGpm5R9q7jrmRdYCxYl+KlP8f7T8Zncb&#10;iGobOq8oscxAj47fjz+PP46/SHWO9dn7WAPszt+G0YqwRbG9DAb/QQbpc00PU01FnwiHw1lZLZbn&#10;UHoOd+8W5dtlLnrx5O1DTB+FMwQ3DRVaKx9RNqvZ7lNMEBTQJxQeR6dVe620zkbYbj7oQHYMWjyv&#10;5vNlzhpcfoNpi2Dr0G1gxJMCxQ1y8i4dtECctl+EhLKAgCpnkgdSTHEY58Km2XDVsVYM4Rcl/LBm&#10;GB1HGD2ylQmRWUL8iXskOCEHkhP3QDPi0VXkeZ6cy78lNjhPHjmys2lyNsq6kDN9phu3qd/0eR4u&#10;Tr3fuPYAM8Is7xy8HJ5CDowNue+/seDHxiVo+Y07zeyL5g1YTMS69w/JSZU7izGHCGM3YNBzxcZH&#10;iS/puZ1RT5+O9SMAAAD//wMAUEsDBBQABgAIAAAAIQDuzJ633AAAAAcBAAAPAAAAZHJzL2Rvd25y&#10;ZXYueG1sTI7NTsMwEITvSLyDtUhcELUDKG1DnKpCQsqlSJQeOLrxEgfidRS7bXh7tid62p8ZzXzl&#10;avK9OOIYu0AaspkCgdQE21GrYffxer8AEZMha/pAqOEXI6yq66vSFDac6B2P29QKDqFYGA0upaGQ&#10;MjYOvYmzMCCx9hVGbxKfYyvtaE4c7nv5oFQuvemIG5wZ8MVh87M9eA0qq9fLt7tNveH3sHPz+ul7&#10;+NT69mZaP4NIOKV/M5zxGR0qZtqHA9koes5gn4ZHxfOs5lkOYs/LfLkAWZXykr/6AwAA//8DAFBL&#10;AQItABQABgAIAAAAIQC2gziS/gAAAOEBAAATAAAAAAAAAAAAAAAAAAAAAABbQ29udGVudF9UeXBl&#10;c10ueG1sUEsBAi0AFAAGAAgAAAAhADj9If/WAAAAlAEAAAsAAAAAAAAAAAAAAAAALwEAAF9yZWxz&#10;Ly5yZWxzUEsBAi0AFAAGAAgAAAAhAAeyeEksAgAAggQAAA4AAAAAAAAAAAAAAAAALgIAAGRycy9l&#10;Mm9Eb2MueG1sUEsBAi0AFAAGAAgAAAAhAO7MnrfcAAAABwEAAA8AAAAAAAAAAAAAAAAAhgQAAGRy&#10;cy9kb3ducmV2LnhtbFBLBQYAAAAABAAEAPMAAACPBQAAAAA=&#10;" o:allowincell="f" fillcolor="#323364" stroked="f" strokeweight="1pt">
                <v:stroke joinstyle="miter"/>
                <v:textbox>
                  <w:txbxContent>
                    <w:p w14:paraId="2275AA8A" w14:textId="77777777" w:rsidR="00B153DC" w:rsidRDefault="00FF2428">
                      <w:pPr>
                        <w:pStyle w:val="af2"/>
                        <w:jc w:val="center"/>
                        <w:rPr>
                          <w:b/>
                        </w:rPr>
                      </w:pPr>
                      <w:r>
                        <w:rPr>
                          <w:b/>
                          <w:color w:val="FFFFFF"/>
                        </w:rPr>
                        <w:t>19,59</w:t>
                      </w:r>
                    </w:p>
                  </w:txbxContent>
                </v:textbox>
                <w10:wrap anchorx="margin"/>
              </v:oval>
            </w:pict>
          </mc:Fallback>
        </mc:AlternateContent>
      </w:r>
    </w:p>
    <w:p w14:paraId="5EFC3700" w14:textId="57405001" w:rsidR="00B153DC" w:rsidRPr="00356F5B" w:rsidRDefault="00E37881">
      <w:pPr>
        <w:ind w:firstLine="567"/>
        <w:jc w:val="both"/>
        <w:rPr>
          <w:sz w:val="28"/>
          <w:szCs w:val="28"/>
          <w:shd w:val="clear" w:color="auto" w:fill="FFFFFF"/>
        </w:rPr>
      </w:pPr>
      <w:r w:rsidRPr="00356F5B">
        <w:rPr>
          <w:noProof/>
          <w:sz w:val="28"/>
          <w:szCs w:val="28"/>
          <w:shd w:val="clear" w:color="auto" w:fill="FFFFFF"/>
          <w:lang w:eastAsia="uk-UA"/>
        </w:rPr>
        <mc:AlternateContent>
          <mc:Choice Requires="wps">
            <w:drawing>
              <wp:anchor distT="0" distB="0" distL="0" distR="0" simplePos="0" relativeHeight="2080" behindDoc="0" locked="0" layoutInCell="0" allowOverlap="1" wp14:anchorId="2E05E91F" wp14:editId="1D13169C">
                <wp:simplePos x="0" y="0"/>
                <wp:positionH relativeFrom="column">
                  <wp:posOffset>1377315</wp:posOffset>
                </wp:positionH>
                <wp:positionV relativeFrom="paragraph">
                  <wp:posOffset>139700</wp:posOffset>
                </wp:positionV>
                <wp:extent cx="679450" cy="615950"/>
                <wp:effectExtent l="0" t="0" r="8890" b="0"/>
                <wp:wrapNone/>
                <wp:docPr id="34" name="Овал 25"/>
                <wp:cNvGraphicFramePr/>
                <a:graphic xmlns:a="http://schemas.openxmlformats.org/drawingml/2006/main">
                  <a:graphicData uri="http://schemas.microsoft.com/office/word/2010/wordprocessingShape">
                    <wps:wsp>
                      <wps:cNvSpPr/>
                      <wps:spPr>
                        <a:xfrm>
                          <a:off x="0" y="0"/>
                          <a:ext cx="679450" cy="615950"/>
                        </a:xfrm>
                        <a:prstGeom prst="ellipse">
                          <a:avLst/>
                        </a:prstGeom>
                        <a:solidFill>
                          <a:srgbClr val="323364"/>
                        </a:solidFill>
                        <a:ln>
                          <a:noFill/>
                        </a:ln>
                      </wps:spPr>
                      <wps:style>
                        <a:lnRef idx="2">
                          <a:schemeClr val="accent1">
                            <a:shade val="50000"/>
                          </a:schemeClr>
                        </a:lnRef>
                        <a:fillRef idx="1">
                          <a:schemeClr val="accent1"/>
                        </a:fillRef>
                        <a:effectRef idx="0">
                          <a:schemeClr val="accent1"/>
                        </a:effectRef>
                        <a:fontRef idx="minor"/>
                      </wps:style>
                      <wps:txbx>
                        <w:txbxContent>
                          <w:p w14:paraId="2EDC5A58" w14:textId="77777777" w:rsidR="00B153DC" w:rsidRDefault="00FF2428">
                            <w:pPr>
                              <w:pStyle w:val="af2"/>
                              <w:jc w:val="center"/>
                              <w:rPr>
                                <w:b/>
                              </w:rPr>
                            </w:pPr>
                            <w:r>
                              <w:rPr>
                                <w:b/>
                                <w:color w:val="FFFFFF"/>
                              </w:rPr>
                              <w:t>4,32</w:t>
                            </w:r>
                          </w:p>
                        </w:txbxContent>
                      </wps:txbx>
                      <wps:bodyPr anchor="ctr">
                        <a:prstTxWarp prst="textNoShape">
                          <a:avLst/>
                        </a:prstTxWarp>
                        <a:noAutofit/>
                      </wps:bodyPr>
                    </wps:wsp>
                  </a:graphicData>
                </a:graphic>
              </wp:anchor>
            </w:drawing>
          </mc:Choice>
          <mc:Fallback>
            <w:pict>
              <v:oval w14:anchorId="2E05E91F" id="Овал 25" o:spid="_x0000_s1035" style="position:absolute;left:0;text-align:left;margin-left:108.45pt;margin-top:11pt;width:53.5pt;height:48.5pt;z-index:20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c7JgIAAIEEAAAOAAAAZHJzL2Uyb0RvYy54bWysVM1uEzEQviPxDpbvZDe/kFU2FaIqF1Qq&#10;WsTZ8dpZS16PZbvJ5mV4BsSVl8gjdez9SaESB0QOznh+vplvZrybq7bR5CCcV2BKOp3klAjDoVJm&#10;X9KvDzdv3lHiAzMV02BESU/C06vt61eboy3EDGrQlXAEQYwvjrakdQi2yDLPa9EwPwErDBoluIYF&#10;vLp9Vjl2RPRGZ7M8X2VHcJV1wIX3qL3ujHSb8KUUPHyW0otAdEmxtpBOl85dPLPthhV7x2yteF8G&#10;+4cqGqYMJh2hrllg5NGpF1CN4g48yDDh0GQgpeIicUA20/wPNvc1syJxweZ4O7bJ/z9Yfnu4c0RV&#10;JZ0vKDGswRmdv59/nn+cf5HZMvbnaH2Bbvf2zvU3j2Ik20rXxH+kQdrU09PYU9EGwlG5erteLLHz&#10;HE2r6XKNMqJkl2DrfPgooCFRKKnQWlkfWbOCHT750HkPXlHtQavqRmmdLm6/+6AdOTCc8Hw2n68W&#10;fYLf3LSJzgZiWIcYNVnk1rFJUjhpEf20+SIkdgXrn6VK0j6KMQ/jXJgw7Uw1q0SXfpnjb8geNzhG&#10;JLIJMCJLzD9i9wCDZwcyYHdV9v4xVKR1HoPzvxXWBY8RKTOYMAY3yoBLlT7jHcXQ7tq0DutojZod&#10;VCdcEWZ4DfhweHApcRzIQ/uNOdsPLuDEb2FY2RfD63xjIQbePwaQKk32kqGfBu556lj/JuNDen5P&#10;Xpcvx/YJAAD//wMAUEsDBBQABgAIAAAAIQAWJAfZ3wAAAAoBAAAPAAAAZHJzL2Rvd25yZXYueG1s&#10;TI9BT8MwDIXvSPyHyEhcEEvboUFL02lCQuplSIwdOGaNaQqNEzXZVv495gQ3+/nT83v1enajOOEU&#10;B08K8kUGAqnzZqBewf7t+fYBREyajB49oYJvjLBuLi9qXRl/plc87VIv2IRipRXYlEIlZewsOh0X&#10;PiDx7cNPTidep16aSZ/Z3I2yyLKVdHog/mB1wCeL3dfu6BRkebspX2627ZblsLf37d1neFfq+mre&#10;PIJIOKc/GH7jc3RoONPBH8lEMSoo8lXJKA8Fd2JgWSxZODCZlxnIppb/KzQ/AAAA//8DAFBLAQIt&#10;ABQABgAIAAAAIQC2gziS/gAAAOEBAAATAAAAAAAAAAAAAAAAAAAAAABbQ29udGVudF9UeXBlc10u&#10;eG1sUEsBAi0AFAAGAAgAAAAhADj9If/WAAAAlAEAAAsAAAAAAAAAAAAAAAAALwEAAF9yZWxzLy5y&#10;ZWxzUEsBAi0AFAAGAAgAAAAhAObepzsmAgAAgQQAAA4AAAAAAAAAAAAAAAAALgIAAGRycy9lMm9E&#10;b2MueG1sUEsBAi0AFAAGAAgAAAAhABYkB9nfAAAACgEAAA8AAAAAAAAAAAAAAAAAgAQAAGRycy9k&#10;b3ducmV2LnhtbFBLBQYAAAAABAAEAPMAAACMBQAAAAA=&#10;" o:allowincell="f" fillcolor="#323364" stroked="f" strokeweight="1pt">
                <v:stroke joinstyle="miter"/>
                <v:textbox>
                  <w:txbxContent>
                    <w:p w14:paraId="2EDC5A58" w14:textId="77777777" w:rsidR="00B153DC" w:rsidRDefault="00FF2428">
                      <w:pPr>
                        <w:pStyle w:val="af2"/>
                        <w:jc w:val="center"/>
                        <w:rPr>
                          <w:b/>
                        </w:rPr>
                      </w:pPr>
                      <w:r>
                        <w:rPr>
                          <w:b/>
                          <w:color w:val="FFFFFF"/>
                        </w:rPr>
                        <w:t>4,32</w:t>
                      </w:r>
                    </w:p>
                  </w:txbxContent>
                </v:textbox>
              </v:oval>
            </w:pict>
          </mc:Fallback>
        </mc:AlternateContent>
      </w:r>
      <w:r w:rsidR="00FF2428" w:rsidRPr="00356F5B">
        <w:rPr>
          <w:noProof/>
          <w:sz w:val="28"/>
          <w:szCs w:val="28"/>
          <w:shd w:val="clear" w:color="auto" w:fill="FFFFFF"/>
          <w:lang w:eastAsia="uk-UA"/>
        </w:rPr>
        <mc:AlternateContent>
          <mc:Choice Requires="wps">
            <w:drawing>
              <wp:anchor distT="0" distB="0" distL="0" distR="0" simplePos="0" relativeHeight="19" behindDoc="0" locked="0" layoutInCell="0" allowOverlap="1" wp14:anchorId="5E849B69" wp14:editId="204AF911">
                <wp:simplePos x="0" y="0"/>
                <wp:positionH relativeFrom="column">
                  <wp:posOffset>2246630</wp:posOffset>
                </wp:positionH>
                <wp:positionV relativeFrom="paragraph">
                  <wp:posOffset>80010</wp:posOffset>
                </wp:positionV>
                <wp:extent cx="806450" cy="742950"/>
                <wp:effectExtent l="0" t="0" r="0" b="2540"/>
                <wp:wrapNone/>
                <wp:docPr id="36" name="Овал 26"/>
                <wp:cNvGraphicFramePr/>
                <a:graphic xmlns:a="http://schemas.openxmlformats.org/drawingml/2006/main">
                  <a:graphicData uri="http://schemas.microsoft.com/office/word/2010/wordprocessingShape">
                    <wps:wsp>
                      <wps:cNvSpPr/>
                      <wps:spPr>
                        <a:xfrm>
                          <a:off x="0" y="0"/>
                          <a:ext cx="805680" cy="742320"/>
                        </a:xfrm>
                        <a:prstGeom prst="ellipse">
                          <a:avLst/>
                        </a:prstGeom>
                        <a:solidFill>
                          <a:srgbClr val="323364"/>
                        </a:solidFill>
                        <a:ln>
                          <a:noFill/>
                        </a:ln>
                      </wps:spPr>
                      <wps:style>
                        <a:lnRef idx="2">
                          <a:schemeClr val="accent1">
                            <a:shade val="50000"/>
                          </a:schemeClr>
                        </a:lnRef>
                        <a:fillRef idx="1">
                          <a:schemeClr val="accent1"/>
                        </a:fillRef>
                        <a:effectRef idx="0">
                          <a:schemeClr val="accent1"/>
                        </a:effectRef>
                        <a:fontRef idx="minor"/>
                      </wps:style>
                      <wps:txbx>
                        <w:txbxContent>
                          <w:p w14:paraId="6DB4252A" w14:textId="77777777" w:rsidR="00B153DC" w:rsidRDefault="00FF2428">
                            <w:pPr>
                              <w:pStyle w:val="af2"/>
                              <w:jc w:val="center"/>
                              <w:rPr>
                                <w:b/>
                              </w:rPr>
                            </w:pPr>
                            <w:r>
                              <w:rPr>
                                <w:b/>
                                <w:color w:val="FFFFFF"/>
                              </w:rPr>
                              <w:t>5,05</w:t>
                            </w:r>
                          </w:p>
                        </w:txbxContent>
                      </wps:txbx>
                      <wps:bodyPr anchor="ctr">
                        <a:prstTxWarp prst="textNoShape">
                          <a:avLst/>
                        </a:prstTxWarp>
                        <a:noAutofit/>
                      </wps:bodyPr>
                    </wps:wsp>
                  </a:graphicData>
                </a:graphic>
              </wp:anchor>
            </w:drawing>
          </mc:Choice>
          <mc:Fallback>
            <w:pict>
              <v:oval w14:anchorId="5E849B69" id="Овал 26" o:spid="_x0000_s1036" style="position:absolute;left:0;text-align:left;margin-left:176.9pt;margin-top:6.3pt;width:63.5pt;height:58.5pt;z-index:1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WKKgIAAIIEAAAOAAAAZHJzL2Uyb0RvYy54bWysVMFuEzEQvSPxD5bvZDebNkSrbipEVS6o&#10;VLSIs+O1s5Zsj2W7yeZn+AbElZ/IJzH2bjaFShwQOTj2eObNezPjvbrujSY74YMC29D5rKREWA6t&#10;stuGfnm8fbOiJERmW6bBioYeRKDX69evrvauFhV0oFvhCYLYUO9dQ7sYXV0UgXfCsDADJyxeSvCG&#10;RTz6bdF6tkd0o4uqLJfFHnzrPHARAlpvhku6zvhSCh4/SRlEJLqhyC3m1ed1k9ZifcXqrWeuU3yk&#10;wf6BhWHKYtIJ6oZFRp68egFlFPcQQMYZB1OAlIqLrAHVzMs/1Dx0zImsBYsT3FSm8P9g+d3u3hPV&#10;NnSxpMQygz06fjv+OH4//iTVMtVn70KNbg/u3o+ngNsktpfepH+UQfpc08NUU9FHwtG4Ki+XK6w8&#10;x6u3F9WiyjUvzsHOh/hBgCFp01ChtXIhqWY1230MEXOi98krmQNo1d4qrfPBbzfvtSc7hh1eVIvF&#10;8iKRxpDf3LRNzhZS2HCdLEXSNqjJu3jQIvlp+1lIrAryrzKTPI9iysM4FzbOh6uOtWJIf1ni75Q9&#10;TXCKyFwyYEKWmH/CHgFOngPICXtgOfqnUJHHeQou/0ZsCJ4icmawcQo2yoLPTJ/pTtvYb/o8DvMs&#10;JJk20B5wRpjlHeDL4dHnzKkjj/1X5t3YuYgtv4PTzL7o3uCbmFh49xRBqtzac4axHTjouWTjo0wv&#10;6fk5e50/HetfAAAA//8DAFBLAwQUAAYACAAAACEAUQcNL98AAAAKAQAADwAAAGRycy9kb3ducmV2&#10;LnhtbEyPzU7DMBCE70i8g7VIXBB1+kNoQ5yqQkLKpUiUHji68RIH4rUVu214e7YnOO7MaPabcj26&#10;XpxwiJ0nBdNJBgKp8aajVsH+/eV+CSImTUb3nlDBD0ZYV9dXpS6MP9MbnnapFVxCsdAKbEqhkDI2&#10;Fp2OEx+Q2Pv0g9OJz6GVZtBnLne9nGVZLp3uiD9YHfDZYvO9OzoF2bTerF7vtvWW5bC3j/XiK3wo&#10;dXszbp5AJBzTXxgu+IwOFTMd/JFMFL2C+cOc0RMbsxwEBxbLjIXDRVjlIKtS/p9Q/QIAAP//AwBQ&#10;SwECLQAUAAYACAAAACEAtoM4kv4AAADhAQAAEwAAAAAAAAAAAAAAAAAAAAAAW0NvbnRlbnRfVHlw&#10;ZXNdLnhtbFBLAQItABQABgAIAAAAIQA4/SH/1gAAAJQBAAALAAAAAAAAAAAAAAAAAC8BAABfcmVs&#10;cy8ucmVsc1BLAQItABQABgAIAAAAIQDC0UWKKgIAAIIEAAAOAAAAAAAAAAAAAAAAAC4CAABkcnMv&#10;ZTJvRG9jLnhtbFBLAQItABQABgAIAAAAIQBRBw0v3wAAAAoBAAAPAAAAAAAAAAAAAAAAAIQEAABk&#10;cnMvZG93bnJldi54bWxQSwUGAAAAAAQABADzAAAAkAUAAAAA&#10;" o:allowincell="f" fillcolor="#323364" stroked="f" strokeweight="1pt">
                <v:stroke joinstyle="miter"/>
                <v:textbox>
                  <w:txbxContent>
                    <w:p w14:paraId="6DB4252A" w14:textId="77777777" w:rsidR="00B153DC" w:rsidRDefault="00FF2428">
                      <w:pPr>
                        <w:pStyle w:val="af2"/>
                        <w:jc w:val="center"/>
                        <w:rPr>
                          <w:b/>
                        </w:rPr>
                      </w:pPr>
                      <w:r>
                        <w:rPr>
                          <w:b/>
                          <w:color w:val="FFFFFF"/>
                        </w:rPr>
                        <w:t>5,05</w:t>
                      </w:r>
                    </w:p>
                  </w:txbxContent>
                </v:textbox>
              </v:oval>
            </w:pict>
          </mc:Fallback>
        </mc:AlternateContent>
      </w:r>
    </w:p>
    <w:p w14:paraId="0CD6EAA6" w14:textId="156DB337" w:rsidR="00B153DC" w:rsidRPr="00356F5B" w:rsidRDefault="00B153DC">
      <w:pPr>
        <w:jc w:val="both"/>
        <w:rPr>
          <w:sz w:val="28"/>
          <w:szCs w:val="28"/>
          <w:shd w:val="clear" w:color="auto" w:fill="FFFFFF"/>
        </w:rPr>
      </w:pPr>
    </w:p>
    <w:p w14:paraId="2BF48825" w14:textId="77777777" w:rsidR="00B153DC" w:rsidRPr="00356F5B" w:rsidRDefault="00FF2428">
      <w:pPr>
        <w:jc w:val="both"/>
        <w:rPr>
          <w:rFonts w:ascii="Arial" w:hAnsi="Arial" w:cs="Arial"/>
          <w:color w:val="202124"/>
          <w:sz w:val="30"/>
          <w:szCs w:val="30"/>
          <w:shd w:val="clear" w:color="auto" w:fill="FFFFFF"/>
        </w:rPr>
      </w:pPr>
      <w:r w:rsidRPr="00356F5B">
        <w:rPr>
          <w:rFonts w:ascii="Arial" w:hAnsi="Arial" w:cs="Arial"/>
          <w:noProof/>
          <w:color w:val="202124"/>
          <w:sz w:val="30"/>
          <w:szCs w:val="30"/>
          <w:shd w:val="clear" w:color="auto" w:fill="FFFFFF"/>
          <w:lang w:eastAsia="uk-UA"/>
        </w:rPr>
        <mc:AlternateContent>
          <mc:Choice Requires="wps">
            <w:drawing>
              <wp:anchor distT="0" distB="0" distL="0" distR="0" simplePos="0" relativeHeight="18" behindDoc="0" locked="0" layoutInCell="0" allowOverlap="1" wp14:anchorId="7741C68E" wp14:editId="316B3D6F">
                <wp:simplePos x="0" y="0"/>
                <wp:positionH relativeFrom="margin">
                  <wp:align>right</wp:align>
                </wp:positionH>
                <wp:positionV relativeFrom="paragraph">
                  <wp:posOffset>13970</wp:posOffset>
                </wp:positionV>
                <wp:extent cx="6014720" cy="66040"/>
                <wp:effectExtent l="0" t="0" r="7620" b="0"/>
                <wp:wrapNone/>
                <wp:docPr id="38" name="Прямоугольник 27"/>
                <wp:cNvGraphicFramePr/>
                <a:graphic xmlns:a="http://schemas.openxmlformats.org/drawingml/2006/main">
                  <a:graphicData uri="http://schemas.microsoft.com/office/word/2010/wordprocessingShape">
                    <wps:wsp>
                      <wps:cNvSpPr/>
                      <wps:spPr>
                        <a:xfrm>
                          <a:off x="0" y="0"/>
                          <a:ext cx="6014160" cy="65520"/>
                        </a:xfrm>
                        <a:prstGeom prst="rect">
                          <a:avLst/>
                        </a:prstGeom>
                        <a:solidFill>
                          <a:srgbClr val="323364"/>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id="shape_0" ID="Прямокутник 57" path="m0,0l-2147483645,0l-2147483645,-2147483646l0,-2147483646xe" fillcolor="#323364" stroked="f" style="position:absolute;margin-left:-6.2pt;margin-top:1.1pt;width:473.5pt;height:5.1pt;mso-wrap-style:none;v-text-anchor:middle;mso-position-horizontal:right;mso-position-horizontal-relative:margin" wp14:anchorId="082EAB5E">
                <v:fill o:detectmouseclick="t" type="solid" color2="#cdcc9b"/>
                <v:stroke color="#3465a4" weight="12600" joinstyle="miter" endcap="flat"/>
                <w10:wrap type="none"/>
              </v:rect>
            </w:pict>
          </mc:Fallback>
        </mc:AlternateContent>
      </w:r>
    </w:p>
    <w:p w14:paraId="5F17C2DD" w14:textId="77777777" w:rsidR="00B153DC" w:rsidRPr="00356F5B" w:rsidRDefault="00B153DC">
      <w:pPr>
        <w:jc w:val="both"/>
        <w:rPr>
          <w:rFonts w:ascii="Arial" w:hAnsi="Arial" w:cs="Arial"/>
          <w:color w:val="202124"/>
          <w:sz w:val="30"/>
          <w:szCs w:val="30"/>
          <w:shd w:val="clear" w:color="auto" w:fill="FFFFFF"/>
        </w:rPr>
      </w:pPr>
    </w:p>
    <w:p w14:paraId="2D9B86CE" w14:textId="77777777" w:rsidR="00B153DC" w:rsidRPr="00356F5B" w:rsidRDefault="00B153DC">
      <w:pPr>
        <w:jc w:val="both"/>
        <w:rPr>
          <w:rFonts w:ascii="Arial" w:hAnsi="Arial" w:cs="Arial"/>
          <w:color w:val="202124"/>
          <w:sz w:val="30"/>
          <w:szCs w:val="30"/>
          <w:shd w:val="clear" w:color="auto" w:fill="FFFFFF"/>
        </w:rPr>
      </w:pPr>
    </w:p>
    <w:p w14:paraId="11ECF1D3" w14:textId="77777777" w:rsidR="00B153DC" w:rsidRPr="00356F5B" w:rsidRDefault="00FF2428">
      <w:pPr>
        <w:jc w:val="both"/>
        <w:rPr>
          <w:rFonts w:ascii="Arial" w:hAnsi="Arial" w:cs="Arial"/>
          <w:color w:val="202124"/>
          <w:sz w:val="30"/>
          <w:szCs w:val="30"/>
          <w:shd w:val="clear" w:color="auto" w:fill="FFFFFF"/>
        </w:rPr>
      </w:pPr>
      <w:r w:rsidRPr="00356F5B">
        <w:rPr>
          <w:rFonts w:ascii="Arial" w:hAnsi="Arial" w:cs="Arial"/>
          <w:noProof/>
          <w:color w:val="202124"/>
          <w:sz w:val="30"/>
          <w:szCs w:val="30"/>
          <w:shd w:val="clear" w:color="auto" w:fill="FFFFFF"/>
          <w:lang w:eastAsia="uk-UA"/>
        </w:rPr>
        <mc:AlternateContent>
          <mc:Choice Requires="wps">
            <w:drawing>
              <wp:anchor distT="0" distB="0" distL="0" distR="0" simplePos="0" relativeHeight="23" behindDoc="0" locked="0" layoutInCell="0" allowOverlap="1" wp14:anchorId="7A208AEF" wp14:editId="4D7EFB31">
                <wp:simplePos x="0" y="0"/>
                <wp:positionH relativeFrom="column">
                  <wp:posOffset>301625</wp:posOffset>
                </wp:positionH>
                <wp:positionV relativeFrom="paragraph">
                  <wp:posOffset>5080</wp:posOffset>
                </wp:positionV>
                <wp:extent cx="476885" cy="262890"/>
                <wp:effectExtent l="0" t="0" r="1905" b="6350"/>
                <wp:wrapNone/>
                <wp:docPr id="39" name="Прямоугольник 28"/>
                <wp:cNvGraphicFramePr/>
                <a:graphic xmlns:a="http://schemas.openxmlformats.org/drawingml/2006/main">
                  <a:graphicData uri="http://schemas.microsoft.com/office/word/2010/wordprocessingShape">
                    <wps:wsp>
                      <wps:cNvSpPr/>
                      <wps:spPr>
                        <a:xfrm>
                          <a:off x="0" y="0"/>
                          <a:ext cx="476280" cy="2620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0AEDCDA7" w14:textId="77777777" w:rsidR="00B153DC" w:rsidRDefault="00FF2428">
                            <w:pPr>
                              <w:pStyle w:val="af2"/>
                              <w:rPr>
                                <w:b/>
                                <w:sz w:val="20"/>
                                <w:szCs w:val="20"/>
                              </w:rPr>
                            </w:pPr>
                            <w:r>
                              <w:rPr>
                                <w:b/>
                                <w:color w:val="000000"/>
                                <w:sz w:val="20"/>
                                <w:szCs w:val="20"/>
                              </w:rPr>
                              <w:t>2019</w:t>
                            </w:r>
                          </w:p>
                        </w:txbxContent>
                      </wps:txbx>
                      <wps:bodyPr>
                        <a:prstTxWarp prst="textNoShape">
                          <a:avLst/>
                        </a:prstTxWarp>
                        <a:noAutofit/>
                      </wps:bodyPr>
                    </wps:wsp>
                  </a:graphicData>
                </a:graphic>
              </wp:anchor>
            </w:drawing>
          </mc:Choice>
          <mc:Fallback>
            <w:pict>
              <v:rect w14:anchorId="7A208AEF" id="Прямоугольник 28" o:spid="_x0000_s1037" style="position:absolute;left:0;text-align:left;margin-left:23.75pt;margin-top:.4pt;width:37.55pt;height:20.7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wkFwIAAGkEAAAOAAAAZHJzL2Uyb0RvYy54bWysVMtuEzEU3SPxD5b3ZCZTCGGUSYWoygaV&#10;ihaxdjx2Yskv2W5mskNii8Qn8BFsEI9+w+SPuPZMp6GwKWLjXNv3nutzzp0sjlsl0ZY5L4yu8HSS&#10;Y8Q0NbXQ6wq/vTx9NMfIB6JrIo1mFd4xj4+XDx8sGluywmyMrJlDAKJ92dgKb0KwZZZ5umGK+Imx&#10;TMMlN06RAFu3zmpHGkBXMivyfJY1xtXWGcq8h9OT/hIvEz7njIbXnHsWkKwwvC2k1aV1FddsuSDl&#10;2hG7EXR4BvmHVygiNDQdoU5IIOjKiT+glKDOeMPDhBqVGc4FZYkDsJnmd9hcbIhliQuI4+0ok/9/&#10;sPRse+6QqCt89AwjTRR41H3ev99/6n501/sP3Zfuuvu+/9j97L5231Axj4o11pdQeGHP3bDzEEb6&#10;LXcq/gIx1CaVd6PKrA2IwuHjp7NiDl5QuCpmRQ4xoGS3xdb58JIZhWJQYQcmJm3J9pUPfepNSuzl&#10;jRT1qZAybeLgsBfSoS0By2WYDuC/ZUmNmgrPjp7kCVibWN4jSw1viQR7SikKO8kiuNRvGAexErO/&#10;dCOUMj12TNkxiwP4fQqH/FjK0gjfp3isSJ2NDmOxEtq4pMYBqRiGdtWmEZgmseLRytS73tGo9GX7&#10;jjg72BHAxzNzM5qkvONKnxuba/P8KhgukmWHoElemOdk+vDtxQ/mcJ9MuP2HWP4CAAD//wMAUEsD&#10;BBQABgAIAAAAIQANbf462gAAAAYBAAAPAAAAZHJzL2Rvd25yZXYueG1sTI7LTsMwEEX3SPyDNUjs&#10;qFOLPkjjVFUldrCgpWLrxkMcNR5HsZsGvp7pii7vQ/eeYj36VgzYxyaQhukkA4FUBdtQreFz//q0&#10;BBGTIWvaQKjhByOsy/u7wuQ2XOgDh12qBY9QzI0Gl1KXSxkrh97ESeiQOPsOvTeJZV9L25sLj/tW&#10;qiybS28a4gdnOtw6rE67s9eA+0PavC+2y7eZ+x2+/HR8CQen9ePDuFmBSDim/zJc8RkdSmY6hjPZ&#10;KFoNz4sZNzUw/zVVag7iyLZSIMtC3uKXfwAAAP//AwBQSwECLQAUAAYACAAAACEAtoM4kv4AAADh&#10;AQAAEwAAAAAAAAAAAAAAAAAAAAAAW0NvbnRlbnRfVHlwZXNdLnhtbFBLAQItABQABgAIAAAAIQA4&#10;/SH/1gAAAJQBAAALAAAAAAAAAAAAAAAAAC8BAABfcmVscy8ucmVsc1BLAQItABQABgAIAAAAIQDl&#10;FHwkFwIAAGkEAAAOAAAAAAAAAAAAAAAAAC4CAABkcnMvZTJvRG9jLnhtbFBLAQItABQABgAIAAAA&#10;IQANbf462gAAAAYBAAAPAAAAAAAAAAAAAAAAAHEEAABkcnMvZG93bnJldi54bWxQSwUGAAAAAAQA&#10;BADzAAAAeAUAAAAA&#10;" o:allowincell="f" fillcolor="white [3201]" stroked="f" strokeweight=".5pt">
                <v:textbox>
                  <w:txbxContent>
                    <w:p w14:paraId="0AEDCDA7" w14:textId="77777777" w:rsidR="00B153DC" w:rsidRDefault="00FF2428">
                      <w:pPr>
                        <w:pStyle w:val="af2"/>
                        <w:rPr>
                          <w:b/>
                          <w:sz w:val="20"/>
                          <w:szCs w:val="20"/>
                        </w:rPr>
                      </w:pPr>
                      <w:r>
                        <w:rPr>
                          <w:b/>
                          <w:color w:val="000000"/>
                          <w:sz w:val="20"/>
                          <w:szCs w:val="20"/>
                        </w:rPr>
                        <w:t>2019</w:t>
                      </w:r>
                    </w:p>
                  </w:txbxContent>
                </v:textbox>
              </v:rect>
            </w:pict>
          </mc:Fallback>
        </mc:AlternateContent>
      </w:r>
      <w:r w:rsidRPr="00356F5B">
        <w:rPr>
          <w:rFonts w:ascii="Arial" w:hAnsi="Arial" w:cs="Arial"/>
          <w:noProof/>
          <w:color w:val="202124"/>
          <w:sz w:val="30"/>
          <w:szCs w:val="30"/>
          <w:shd w:val="clear" w:color="auto" w:fill="FFFFFF"/>
          <w:lang w:eastAsia="uk-UA"/>
        </w:rPr>
        <mc:AlternateContent>
          <mc:Choice Requires="wps">
            <w:drawing>
              <wp:anchor distT="0" distB="0" distL="0" distR="0" simplePos="0" relativeHeight="25" behindDoc="0" locked="0" layoutInCell="0" allowOverlap="1" wp14:anchorId="1B77771F" wp14:editId="51219E74">
                <wp:simplePos x="0" y="0"/>
                <wp:positionH relativeFrom="column">
                  <wp:posOffset>1445895</wp:posOffset>
                </wp:positionH>
                <wp:positionV relativeFrom="paragraph">
                  <wp:posOffset>4445</wp:posOffset>
                </wp:positionV>
                <wp:extent cx="476885" cy="262890"/>
                <wp:effectExtent l="0" t="0" r="1905" b="6350"/>
                <wp:wrapNone/>
                <wp:docPr id="41" name="Прямоугольник 29"/>
                <wp:cNvGraphicFramePr/>
                <a:graphic xmlns:a="http://schemas.openxmlformats.org/drawingml/2006/main">
                  <a:graphicData uri="http://schemas.microsoft.com/office/word/2010/wordprocessingShape">
                    <wps:wsp>
                      <wps:cNvSpPr/>
                      <wps:spPr>
                        <a:xfrm>
                          <a:off x="0" y="0"/>
                          <a:ext cx="476280" cy="2620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299D022D" w14:textId="77777777" w:rsidR="00B153DC" w:rsidRDefault="00FF2428">
                            <w:pPr>
                              <w:pStyle w:val="af2"/>
                              <w:rPr>
                                <w:b/>
                                <w:sz w:val="20"/>
                                <w:szCs w:val="20"/>
                              </w:rPr>
                            </w:pPr>
                            <w:r>
                              <w:rPr>
                                <w:b/>
                                <w:color w:val="000000"/>
                                <w:sz w:val="20"/>
                                <w:szCs w:val="20"/>
                              </w:rPr>
                              <w:t>2020</w:t>
                            </w:r>
                          </w:p>
                        </w:txbxContent>
                      </wps:txbx>
                      <wps:bodyPr>
                        <a:prstTxWarp prst="textNoShape">
                          <a:avLst/>
                        </a:prstTxWarp>
                        <a:noAutofit/>
                      </wps:bodyPr>
                    </wps:wsp>
                  </a:graphicData>
                </a:graphic>
              </wp:anchor>
            </w:drawing>
          </mc:Choice>
          <mc:Fallback>
            <w:pict>
              <v:rect w14:anchorId="1B77771F" id="Прямоугольник 29" o:spid="_x0000_s1038" style="position:absolute;left:0;text-align:left;margin-left:113.85pt;margin-top:.35pt;width:37.55pt;height:20.7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UDGAIAAGkEAAAOAAAAZHJzL2Uyb0RvYy54bWysVM1uEzEQviPxDpbvZDdLCWWVTYWoygWV&#10;irbi7HjtxJL/ZLvZzQ2JKxKPwENwQUD7DJs3YuzdbkPhUsTFGdsz3/j7vtnMj1ol0YY5L4yu8HSS&#10;Y8Q0NbXQqwpfXpw8OcTIB6JrIo1mFd4yj48Wjx/NG1uywqyNrJlDAKJ92dgKr0OwZZZ5umaK+Imx&#10;TMMlN06RAFu3ympHGkBXMivyfJY1xtXWGcq8h9Pj/hIvEj7njIa3nHsWkKwwvC2k1aV1GddsMSfl&#10;yhG7FnR4BvmHVygiNDQdoY5JIOjKiT+glKDOeMPDhBqVGc4FZYkDsJnm99icr4lliQuI4+0ok/9/&#10;sPR0c+aQqCt8MMVIEwUedV92H3afu5/dze5j97W76X7sPnXX3bfuOypeRMUa60soPLdnbth5CCP9&#10;ljsVf4EYapPK21Fl1gZE4fDg+aw4BC8oXBWzIocYULK7Yut8eM2MQjGosAMTk7Zk88aHPvU2Jfby&#10;Ror6REiZNnFw2Cvp0IaA5TJMB/DfsqRGTYVnT5/lCVibWN4jSw1viQR7SikKW8kiuNTvGAexErO/&#10;dCOUMj12TNkxiwP4QwqH/FjK0gg/pHisSJ2NDmOxEtq4pMYeqRiGdtmmEZgW8ToeLU297R2NSl+0&#10;74mzgx0BfDw1t6NJynuu9LmxuTYvr4LhIlm2D5rkhXlOpg/fXvxg9vfJhLt/iMUvAAAA//8DAFBL&#10;AwQUAAYACAAAACEAYy25Ld0AAAAHAQAADwAAAGRycy9kb3ducmV2LnhtbEyPzU7DMBCE70i8g7VI&#10;3KgT85MS4lRVJW5woKXi6sZLHBGvo9hNA0/PcqKXkVYzmvm2Ws2+FxOOsQukIV9kIJCaYDtqNbzv&#10;nm+WIGIyZE0fCDV8Y4RVfXlRmdKGE73htE2t4BKKpdHgUhpKKWPj0Ju4CAMSe59h9CbxObbSjubE&#10;5b6XKssepDcd8YIzA24cNl/bo9eAu31avxab5cu9+5k+fD4/hr3T+vpqXj+BSDin/zD84TM61Mx0&#10;CEeyUfQalCoKjmpgZfs2U/zJQcOdykHWlTznr38BAAD//wMAUEsBAi0AFAAGAAgAAAAhALaDOJL+&#10;AAAA4QEAABMAAAAAAAAAAAAAAAAAAAAAAFtDb250ZW50X1R5cGVzXS54bWxQSwECLQAUAAYACAAA&#10;ACEAOP0h/9YAAACUAQAACwAAAAAAAAAAAAAAAAAvAQAAX3JlbHMvLnJlbHNQSwECLQAUAAYACAAA&#10;ACEAMNSVAxgCAABpBAAADgAAAAAAAAAAAAAAAAAuAgAAZHJzL2Uyb0RvYy54bWxQSwECLQAUAAYA&#10;CAAAACEAYy25Ld0AAAAHAQAADwAAAAAAAAAAAAAAAAByBAAAZHJzL2Rvd25yZXYueG1sUEsFBgAA&#10;AAAEAAQA8wAAAHwFAAAAAA==&#10;" o:allowincell="f" fillcolor="white [3201]" stroked="f" strokeweight=".5pt">
                <v:textbox>
                  <w:txbxContent>
                    <w:p w14:paraId="299D022D" w14:textId="77777777" w:rsidR="00B153DC" w:rsidRDefault="00FF2428">
                      <w:pPr>
                        <w:pStyle w:val="af2"/>
                        <w:rPr>
                          <w:b/>
                          <w:sz w:val="20"/>
                          <w:szCs w:val="20"/>
                        </w:rPr>
                      </w:pPr>
                      <w:r>
                        <w:rPr>
                          <w:b/>
                          <w:color w:val="000000"/>
                          <w:sz w:val="20"/>
                          <w:szCs w:val="20"/>
                        </w:rPr>
                        <w:t>2020</w:t>
                      </w:r>
                    </w:p>
                  </w:txbxContent>
                </v:textbox>
              </v:rect>
            </w:pict>
          </mc:Fallback>
        </mc:AlternateContent>
      </w:r>
      <w:r w:rsidRPr="00356F5B">
        <w:rPr>
          <w:rFonts w:ascii="Arial" w:hAnsi="Arial" w:cs="Arial"/>
          <w:noProof/>
          <w:color w:val="202124"/>
          <w:sz w:val="30"/>
          <w:szCs w:val="30"/>
          <w:shd w:val="clear" w:color="auto" w:fill="FFFFFF"/>
          <w:lang w:eastAsia="uk-UA"/>
        </w:rPr>
        <mc:AlternateContent>
          <mc:Choice Requires="wps">
            <w:drawing>
              <wp:anchor distT="0" distB="0" distL="0" distR="0" simplePos="0" relativeHeight="26" behindDoc="0" locked="0" layoutInCell="0" allowOverlap="1" wp14:anchorId="11C898D7" wp14:editId="579C3BA2">
                <wp:simplePos x="0" y="0"/>
                <wp:positionH relativeFrom="column">
                  <wp:posOffset>2447925</wp:posOffset>
                </wp:positionH>
                <wp:positionV relativeFrom="paragraph">
                  <wp:posOffset>4445</wp:posOffset>
                </wp:positionV>
                <wp:extent cx="476885" cy="262890"/>
                <wp:effectExtent l="0" t="0" r="1905" b="6350"/>
                <wp:wrapNone/>
                <wp:docPr id="43" name="Прямоугольник 30"/>
                <wp:cNvGraphicFramePr/>
                <a:graphic xmlns:a="http://schemas.openxmlformats.org/drawingml/2006/main">
                  <a:graphicData uri="http://schemas.microsoft.com/office/word/2010/wordprocessingShape">
                    <wps:wsp>
                      <wps:cNvSpPr/>
                      <wps:spPr>
                        <a:xfrm>
                          <a:off x="0" y="0"/>
                          <a:ext cx="476280" cy="2620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6AEDD65D" w14:textId="77777777" w:rsidR="00B153DC" w:rsidRDefault="00FF2428">
                            <w:pPr>
                              <w:pStyle w:val="af2"/>
                              <w:rPr>
                                <w:b/>
                                <w:sz w:val="20"/>
                                <w:szCs w:val="20"/>
                              </w:rPr>
                            </w:pPr>
                            <w:r>
                              <w:rPr>
                                <w:b/>
                                <w:color w:val="000000"/>
                                <w:sz w:val="20"/>
                                <w:szCs w:val="20"/>
                              </w:rPr>
                              <w:t>2021</w:t>
                            </w:r>
                          </w:p>
                        </w:txbxContent>
                      </wps:txbx>
                      <wps:bodyPr>
                        <a:prstTxWarp prst="textNoShape">
                          <a:avLst/>
                        </a:prstTxWarp>
                        <a:noAutofit/>
                      </wps:bodyPr>
                    </wps:wsp>
                  </a:graphicData>
                </a:graphic>
              </wp:anchor>
            </w:drawing>
          </mc:Choice>
          <mc:Fallback>
            <w:pict>
              <v:rect w14:anchorId="11C898D7" id="Прямоугольник 30" o:spid="_x0000_s1039" style="position:absolute;left:0;text-align:left;margin-left:192.75pt;margin-top:.35pt;width:37.55pt;height:20.7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0GAIAAGkEAAAOAAAAZHJzL2Uyb0RvYy54bWysVM1uEzEQviPxDpbvZDdJCdUqmwpRlQsq&#10;FS3q2fHaiSWvx7Ld7OaGxBWJR+AhuCB++gybN+rYSTehcCni4oztmW/8fd9spidtrclKOK/AlHQ4&#10;yCkRhkOlzKKk76/Onh1T4gMzFdNgREnXwtOT2dMn08YWYgRL0JVwBEGMLxpb0mUItsgyz5eiZn4A&#10;Vhi8lOBqFnDrFlnlWIPotc5GeT7JGnCVdcCF93h6ur2ks4QvpeDhrZReBKJLim8LaXVpncc1m01Z&#10;sXDMLhXfPYP9wytqpgw27aFOWWDkxqk/oGrFHXiQYcChzkBKxUXigGyG+QM2l0tmReKC4njby+T/&#10;Hyw/X104oqqSHo0pMaxGj7ovmw+bz93P7nbzsfva3XY/Np+6X9237jsZJ8Ua6wssvLQXDvWLO49h&#10;pN9KV8dfJEbapPK6V1m0gXA8PHoxGR2jFxyvRpNRjjGiZPti63x4LaAmMSipQxOTtmz1xodt6n1K&#10;7OVBq+pMaZ02cXDEK+3IiqHlOgx34L9laUOakk7Gz/MEbCCWb5G1wbfsKaUorLWI4Nq8ExLFSsz+&#10;0o1xLkzfMWXHLIngjync5cdSkUb4McV9ReoMJvTFtTLgkhoHpGIY2nmbRmA4jtfxaA7VeutoVPqq&#10;vWbO7uwI6OM53I8mKx64ss2NzQ28vAkgVbLsEDTJi/OcTN99e/GDOdwnE/b/ELM7AAAA//8DAFBL&#10;AwQUAAYACAAAACEAB1qZHtwAAAAHAQAADwAAAGRycy9kb3ducmV2LnhtbEyOwU7DMBBE70j8g7VI&#10;3KiTQtIQ4lRVJW5woKXi6sZLHBGvo9hNA1/Pciq3Gc1o5lXr2fViwjF0nhSkiwQEUuNNR62C9/3z&#10;XQEiRE1G955QwTcGWNfXV5UujT/TG0672AoeoVBqBTbGoZQyNBadDgs/IHH26UenI9uxlWbUZx53&#10;vVwmSS6d7ogfrB5wa7H52p2cAtwf4uZ1tS1eMvszfbh0fvQHq9Ttzbx5AhFxjpcy/OEzOtTMdPQn&#10;MkH0Cu6LLOOqghUIjh/yJAdxZLFMQdaV/M9f/wIAAP//AwBQSwECLQAUAAYACAAAACEAtoM4kv4A&#10;AADhAQAAEwAAAAAAAAAAAAAAAAAAAAAAW0NvbnRlbnRfVHlwZXNdLnhtbFBLAQItABQABgAIAAAA&#10;IQA4/SH/1gAAAJQBAAALAAAAAAAAAAAAAAAAAC8BAABfcmVscy8ucmVsc1BLAQItABQABgAIAAAA&#10;IQAs0E/0GAIAAGkEAAAOAAAAAAAAAAAAAAAAAC4CAABkcnMvZTJvRG9jLnhtbFBLAQItABQABgAI&#10;AAAAIQAHWpke3AAAAAcBAAAPAAAAAAAAAAAAAAAAAHIEAABkcnMvZG93bnJldi54bWxQSwUGAAAA&#10;AAQABADzAAAAewUAAAAA&#10;" o:allowincell="f" fillcolor="white [3201]" stroked="f" strokeweight=".5pt">
                <v:textbox>
                  <w:txbxContent>
                    <w:p w14:paraId="6AEDD65D" w14:textId="77777777" w:rsidR="00B153DC" w:rsidRDefault="00FF2428">
                      <w:pPr>
                        <w:pStyle w:val="af2"/>
                        <w:rPr>
                          <w:b/>
                          <w:sz w:val="20"/>
                          <w:szCs w:val="20"/>
                        </w:rPr>
                      </w:pPr>
                      <w:r>
                        <w:rPr>
                          <w:b/>
                          <w:color w:val="000000"/>
                          <w:sz w:val="20"/>
                          <w:szCs w:val="20"/>
                        </w:rPr>
                        <w:t>2021</w:t>
                      </w:r>
                    </w:p>
                  </w:txbxContent>
                </v:textbox>
              </v:rect>
            </w:pict>
          </mc:Fallback>
        </mc:AlternateContent>
      </w:r>
      <w:r w:rsidRPr="00356F5B">
        <w:rPr>
          <w:rFonts w:ascii="Arial" w:hAnsi="Arial" w:cs="Arial"/>
          <w:noProof/>
          <w:color w:val="202124"/>
          <w:sz w:val="30"/>
          <w:szCs w:val="30"/>
          <w:shd w:val="clear" w:color="auto" w:fill="FFFFFF"/>
          <w:lang w:eastAsia="uk-UA"/>
        </w:rPr>
        <mc:AlternateContent>
          <mc:Choice Requires="wps">
            <w:drawing>
              <wp:anchor distT="0" distB="0" distL="0" distR="0" simplePos="0" relativeHeight="31" behindDoc="0" locked="0" layoutInCell="0" allowOverlap="1" wp14:anchorId="1FA8934A" wp14:editId="212744C4">
                <wp:simplePos x="0" y="0"/>
                <wp:positionH relativeFrom="column">
                  <wp:posOffset>3824605</wp:posOffset>
                </wp:positionH>
                <wp:positionV relativeFrom="paragraph">
                  <wp:posOffset>3810</wp:posOffset>
                </wp:positionV>
                <wp:extent cx="476885" cy="262890"/>
                <wp:effectExtent l="0" t="0" r="1905" b="6350"/>
                <wp:wrapNone/>
                <wp:docPr id="45" name="Прямоугольник 31"/>
                <wp:cNvGraphicFramePr/>
                <a:graphic xmlns:a="http://schemas.openxmlformats.org/drawingml/2006/main">
                  <a:graphicData uri="http://schemas.microsoft.com/office/word/2010/wordprocessingShape">
                    <wps:wsp>
                      <wps:cNvSpPr/>
                      <wps:spPr>
                        <a:xfrm>
                          <a:off x="0" y="0"/>
                          <a:ext cx="476280" cy="2620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24E96602" w14:textId="77777777" w:rsidR="00B153DC" w:rsidRDefault="00FF2428">
                            <w:pPr>
                              <w:pStyle w:val="af2"/>
                              <w:rPr>
                                <w:b/>
                                <w:sz w:val="20"/>
                                <w:szCs w:val="20"/>
                              </w:rPr>
                            </w:pPr>
                            <w:r>
                              <w:rPr>
                                <w:b/>
                                <w:color w:val="000000"/>
                                <w:sz w:val="20"/>
                                <w:szCs w:val="20"/>
                              </w:rPr>
                              <w:t>2022</w:t>
                            </w:r>
                          </w:p>
                        </w:txbxContent>
                      </wps:txbx>
                      <wps:bodyPr>
                        <a:prstTxWarp prst="textNoShape">
                          <a:avLst/>
                        </a:prstTxWarp>
                        <a:noAutofit/>
                      </wps:bodyPr>
                    </wps:wsp>
                  </a:graphicData>
                </a:graphic>
              </wp:anchor>
            </w:drawing>
          </mc:Choice>
          <mc:Fallback>
            <w:pict>
              <v:rect w14:anchorId="1FA8934A" id="Прямоугольник 31" o:spid="_x0000_s1040" style="position:absolute;left:0;text-align:left;margin-left:301.15pt;margin-top:.3pt;width:37.55pt;height:20.7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KGgIAAGkEAAAOAAAAZHJzL2Uyb0RvYy54bWysVM1u1DAQviPxDpbvbLLb7VJFm60QVbmg&#10;UtEizl7H7lpyPJbtbrI3JK5IPAIPwaXip8+QfSPGzm5aCpciLs44nvlmvu9zMj9ua03WwnkFpqTj&#10;UU6JMBwqZa5K+u7y9NkRJT4wUzENRpR0Izw9Xjx9Mm9sISawAl0JRxDE+KKxJV2FYIss83wlauZH&#10;YIXBQwmuZgG37iqrHGsQvdbZJM9nWQOusg648B7fnvSHdJHwpRQ8vJHSi0B0SXG2kFaX1mVcs8Wc&#10;FVeO2ZXiuzHYP0xRM2Ww6QB1wgIj1079AVUr7sCDDCMOdQZSKi4SB2Qzzh+wuVgxKxIXFMfbQSb/&#10;/2D52frcEVWVdHpIiWE1etR92X7Yfu5+dLfbj93X7rb7vv3U/exuum/kYBwVa6wvsPDCnrvdzmMY&#10;6bfS1fGJxEibVN4MKos2EI4vp89nkyP0guPRZDbJMUaU7K7YOh9eCahJDErq0MSkLVu/9qFP3afE&#10;Xh60qk6V1mkTL454qR1ZM7RchzQwgv+WpQ1pSjo7OMwTsIFY3iNrg7NEgj2lFIWNFhFcm7dColiJ&#10;2V+6Mc6FGTqm7JglEfwxhbv8WCrSFX5M8VCROoMJQ3GtDLgk9T1SMQztsk1XYDzdu7uEatM7GpW+&#10;bN8zZ3d2BPTxDPZXkxUPXOlzY3MDL64DSJUsi332oElevM/J9N23Fz+Y+/tkwt0fYvELAAD//wMA&#10;UEsDBBQABgAIAAAAIQCHQswq3AAAAAcBAAAPAAAAZHJzL2Rvd25yZXYueG1sTI7BTsMwEETvSPyD&#10;tUjcqNNQkpLGqapK3OBAS8XVjbdxRLyOYjcNfD3LqdxmNKOZV64n14kRh9B6UjCfJSCQam9aahR8&#10;7F8eliBC1GR05wkVfGOAdXV7U+rC+Au947iLjeARCoVWYGPsCylDbdHpMPM9EmcnPzgd2Q6NNIO+&#10;8LjrZJokmXS6JX6wusetxfprd3YKcH+Im7d8u3x9sj/jp5tPz/5glbq/mzYrEBGneC3DHz6jQ8VM&#10;R38mE0SnIEvSR66yAMFxlucLEEcFizQBWZXyP3/1CwAA//8DAFBLAQItABQABgAIAAAAIQC2gziS&#10;/gAAAOEBAAATAAAAAAAAAAAAAAAAAAAAAABbQ29udGVudF9UeXBlc10ueG1sUEsBAi0AFAAGAAgA&#10;AAAhADj9If/WAAAAlAEAAAsAAAAAAAAAAAAAAAAALwEAAF9yZWxzLy5yZWxzUEsBAi0AFAAGAAgA&#10;AAAhAFWc98oaAgAAaQQAAA4AAAAAAAAAAAAAAAAALgIAAGRycy9lMm9Eb2MueG1sUEsBAi0AFAAG&#10;AAgAAAAhAIdCzCrcAAAABwEAAA8AAAAAAAAAAAAAAAAAdAQAAGRycy9kb3ducmV2LnhtbFBLBQYA&#10;AAAABAAEAPMAAAB9BQAAAAA=&#10;" o:allowincell="f" fillcolor="white [3201]" stroked="f" strokeweight=".5pt">
                <v:textbox>
                  <w:txbxContent>
                    <w:p w14:paraId="24E96602" w14:textId="77777777" w:rsidR="00B153DC" w:rsidRDefault="00FF2428">
                      <w:pPr>
                        <w:pStyle w:val="af2"/>
                        <w:rPr>
                          <w:b/>
                          <w:sz w:val="20"/>
                          <w:szCs w:val="20"/>
                        </w:rPr>
                      </w:pPr>
                      <w:r>
                        <w:rPr>
                          <w:b/>
                          <w:color w:val="000000"/>
                          <w:sz w:val="20"/>
                          <w:szCs w:val="20"/>
                        </w:rPr>
                        <w:t>2022</w:t>
                      </w:r>
                    </w:p>
                  </w:txbxContent>
                </v:textbox>
              </v:rect>
            </w:pict>
          </mc:Fallback>
        </mc:AlternateContent>
      </w:r>
      <w:r w:rsidRPr="00356F5B">
        <w:rPr>
          <w:rFonts w:ascii="Arial" w:hAnsi="Arial" w:cs="Arial"/>
          <w:noProof/>
          <w:color w:val="202124"/>
          <w:sz w:val="30"/>
          <w:szCs w:val="30"/>
          <w:shd w:val="clear" w:color="auto" w:fill="FFFFFF"/>
          <w:lang w:eastAsia="uk-UA"/>
        </w:rPr>
        <mc:AlternateContent>
          <mc:Choice Requires="wps">
            <w:drawing>
              <wp:anchor distT="0" distB="0" distL="0" distR="0" simplePos="0" relativeHeight="32" behindDoc="0" locked="0" layoutInCell="0" allowOverlap="1" wp14:anchorId="7A85E698" wp14:editId="7DEC5BC9">
                <wp:simplePos x="0" y="0"/>
                <wp:positionH relativeFrom="margin">
                  <wp:posOffset>5112385</wp:posOffset>
                </wp:positionH>
                <wp:positionV relativeFrom="paragraph">
                  <wp:posOffset>5715</wp:posOffset>
                </wp:positionV>
                <wp:extent cx="771525" cy="262890"/>
                <wp:effectExtent l="0" t="0" r="0" b="6350"/>
                <wp:wrapNone/>
                <wp:docPr id="47" name="Прямоугольник 32"/>
                <wp:cNvGraphicFramePr/>
                <a:graphic xmlns:a="http://schemas.openxmlformats.org/drawingml/2006/main">
                  <a:graphicData uri="http://schemas.microsoft.com/office/word/2010/wordprocessingShape">
                    <wps:wsp>
                      <wps:cNvSpPr/>
                      <wps:spPr>
                        <a:xfrm>
                          <a:off x="0" y="0"/>
                          <a:ext cx="770760" cy="26208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43F7C012" w14:textId="77777777" w:rsidR="00B153DC" w:rsidRDefault="00FF2428">
                            <w:pPr>
                              <w:pStyle w:val="af2"/>
                              <w:rPr>
                                <w:b/>
                                <w:sz w:val="20"/>
                                <w:szCs w:val="20"/>
                              </w:rPr>
                            </w:pPr>
                            <w:r>
                              <w:rPr>
                                <w:b/>
                                <w:color w:val="000000"/>
                                <w:sz w:val="20"/>
                                <w:szCs w:val="20"/>
                              </w:rPr>
                              <w:t xml:space="preserve">І </w:t>
                            </w:r>
                            <w:proofErr w:type="spellStart"/>
                            <w:r>
                              <w:rPr>
                                <w:b/>
                                <w:color w:val="000000"/>
                                <w:sz w:val="20"/>
                                <w:szCs w:val="20"/>
                              </w:rPr>
                              <w:t>кв</w:t>
                            </w:r>
                            <w:proofErr w:type="spellEnd"/>
                            <w:r>
                              <w:rPr>
                                <w:b/>
                                <w:color w:val="000000"/>
                                <w:sz w:val="20"/>
                                <w:szCs w:val="20"/>
                              </w:rPr>
                              <w:t>. 2023</w:t>
                            </w:r>
                          </w:p>
                        </w:txbxContent>
                      </wps:txbx>
                      <wps:bodyPr>
                        <a:prstTxWarp prst="textNoShape">
                          <a:avLst/>
                        </a:prstTxWarp>
                        <a:noAutofit/>
                      </wps:bodyPr>
                    </wps:wsp>
                  </a:graphicData>
                </a:graphic>
              </wp:anchor>
            </w:drawing>
          </mc:Choice>
          <mc:Fallback>
            <w:pict>
              <v:rect w14:anchorId="7A85E698" id="Прямоугольник 32" o:spid="_x0000_s1041" style="position:absolute;left:0;text-align:left;margin-left:402.55pt;margin-top:.45pt;width:60.75pt;height:20.7pt;z-index:3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JHAIAAGkEAAAOAAAAZHJzL2Uyb0RvYy54bWysVEtu2zAQ3RfoHQjua8lOYweC5aBokG6K&#10;NGgSZE1TpE2A4hAkY8m7At0W6BF6iG6CfnIG+UYd0raSpt2k6IbiZ+YN33tDTY/bWpOVcF6BKelw&#10;kFMiDIdKmUVJry5PXxxR4gMzFdNgREnXwtPj2fNn08YWYgRL0JVwBEGMLxpb0mUItsgyz5eiZn4A&#10;Vhg8lOBqFnDpFlnlWIPotc5GeT7OGnCVdcCF97h7sj2ks4QvpeDhnZReBKJLincLaXRpnMcxm01Z&#10;sXDMLhXfXYP9wy1qpgwW7aFOWGDkxqk/oGrFHXiQYcChzkBKxUXigGyG+SM2F0tmReKC4njby+T/&#10;Hyw/W507oqqSvpxQYliNHnVfNh82n7sf3d3mY/e1u+u+bz51P7vb7hs5GEXFGusLTLyw52638jiN&#10;9Fvp6vhFYqRNKq97lUUbCMfNySSfjNELjkej8Sg/Si5k98nW+fBGQE3ipKQOTUzastVbH7Aghu5D&#10;Yi0PWlWnSuu0iI0jXmtHVgwt12EYL4wZv0VpQ5qSjg8O8wRsIKZv47TB8EhwSynNwlqLCK7NeyFR&#10;rMTsL9UY58L0FVN0jJII/pTEXXxMFamFn5LcZ6TKYEKfXCsDLqnxgFSchnbephYYHu7dnUO13joa&#10;lb5sr5mzOzsC+ngG+9ZkxSNXtrGxuIFXNwGkSpbFOnvQJC/2c/Jl9/big3m4Tibc/yFmvwAAAP//&#10;AwBQSwMEFAAGAAgAAAAhAIr0YjTcAAAABwEAAA8AAABkcnMvZG93bnJldi54bWxMjsFOg0AURfcm&#10;/sPkmbizA2gRKI+maeJOF7Y2bqfwyhCZN4SZUvTrHVd1eXNvzj3leja9mGh0nWWEeBGBIK5t03GL&#10;8LF/echAOK+4Ub1lQvgmB+vq9qZURWMv/E7TzrciQNgVCkF7PxRSulqTUW5hB+LQnexolA9xbGUz&#10;qkuAm14mUZRKozoOD1oNtNVUf+3OBoH2B795e95mr0v9M32aeM7tQSPe382bFQhPs7+O4U8/qEMV&#10;nI72zI0TPUIWLeMwRchBhDpP0hTEEeEpeQRZlfK/f/ULAAD//wMAUEsBAi0AFAAGAAgAAAAhALaD&#10;OJL+AAAA4QEAABMAAAAAAAAAAAAAAAAAAAAAAFtDb250ZW50X1R5cGVzXS54bWxQSwECLQAUAAYA&#10;CAAAACEAOP0h/9YAAACUAQAACwAAAAAAAAAAAAAAAAAvAQAAX3JlbHMvLnJlbHNQSwECLQAUAAYA&#10;CAAAACEAaavnCRwCAABpBAAADgAAAAAAAAAAAAAAAAAuAgAAZHJzL2Uyb0RvYy54bWxQSwECLQAU&#10;AAYACAAAACEAivRiNNwAAAAHAQAADwAAAAAAAAAAAAAAAAB2BAAAZHJzL2Rvd25yZXYueG1sUEsF&#10;BgAAAAAEAAQA8wAAAH8FAAAAAA==&#10;" o:allowincell="f" fillcolor="white [3201]" stroked="f" strokeweight=".5pt">
                <v:textbox>
                  <w:txbxContent>
                    <w:p w14:paraId="43F7C012" w14:textId="77777777" w:rsidR="00B153DC" w:rsidRDefault="00FF2428">
                      <w:pPr>
                        <w:pStyle w:val="af2"/>
                        <w:rPr>
                          <w:b/>
                          <w:sz w:val="20"/>
                          <w:szCs w:val="20"/>
                        </w:rPr>
                      </w:pPr>
                      <w:r>
                        <w:rPr>
                          <w:b/>
                          <w:color w:val="000000"/>
                          <w:sz w:val="20"/>
                          <w:szCs w:val="20"/>
                        </w:rPr>
                        <w:t xml:space="preserve">І </w:t>
                      </w:r>
                      <w:proofErr w:type="spellStart"/>
                      <w:r>
                        <w:rPr>
                          <w:b/>
                          <w:color w:val="000000"/>
                          <w:sz w:val="20"/>
                          <w:szCs w:val="20"/>
                        </w:rPr>
                        <w:t>кв</w:t>
                      </w:r>
                      <w:proofErr w:type="spellEnd"/>
                      <w:r>
                        <w:rPr>
                          <w:b/>
                          <w:color w:val="000000"/>
                          <w:sz w:val="20"/>
                          <w:szCs w:val="20"/>
                        </w:rPr>
                        <w:t>. 2023</w:t>
                      </w:r>
                    </w:p>
                  </w:txbxContent>
                </v:textbox>
                <w10:wrap anchorx="margin"/>
              </v:rect>
            </w:pict>
          </mc:Fallback>
        </mc:AlternateContent>
      </w:r>
    </w:p>
    <w:p w14:paraId="4A05EE30" w14:textId="77777777" w:rsidR="00B153DC" w:rsidRPr="00356F5B" w:rsidRDefault="00B153DC">
      <w:pPr>
        <w:ind w:firstLine="567"/>
        <w:jc w:val="both"/>
        <w:rPr>
          <w:color w:val="202124"/>
          <w:sz w:val="28"/>
          <w:szCs w:val="28"/>
          <w:shd w:val="clear" w:color="auto" w:fill="FFFFFF"/>
        </w:rPr>
      </w:pPr>
    </w:p>
    <w:p w14:paraId="608F8CAA" w14:textId="4074DD27" w:rsidR="00B153DC" w:rsidRPr="00356F5B" w:rsidRDefault="00FF2428" w:rsidP="00631C20">
      <w:pPr>
        <w:ind w:firstLine="709"/>
        <w:jc w:val="both"/>
        <w:rPr>
          <w:rFonts w:ascii="Times New Roman" w:hAnsi="Times New Roman" w:cs="Times New Roman"/>
          <w:color w:val="202124"/>
          <w:sz w:val="28"/>
          <w:szCs w:val="28"/>
          <w:shd w:val="clear" w:color="auto" w:fill="FFFFFF"/>
        </w:rPr>
      </w:pPr>
      <w:r w:rsidRPr="00356F5B">
        <w:rPr>
          <w:rFonts w:ascii="Times New Roman" w:hAnsi="Times New Roman" w:cs="Times New Roman"/>
          <w:color w:val="202124"/>
          <w:sz w:val="28"/>
          <w:szCs w:val="28"/>
          <w:shd w:val="clear" w:color="auto" w:fill="FFFFFF"/>
        </w:rPr>
        <w:t>За 2020-2022 роки та І квартал 2023 року обсяг продажів Компанії становив 11,49 млрд грн, з яких 10,43 млрд грн – продаж 7 212 квартир площею 422,26</w:t>
      </w:r>
      <w:r w:rsidR="00631C20" w:rsidRPr="00356F5B">
        <w:rPr>
          <w:rFonts w:ascii="Times New Roman" w:hAnsi="Times New Roman" w:cs="Times New Roman"/>
          <w:color w:val="202124"/>
          <w:sz w:val="28"/>
          <w:szCs w:val="28"/>
          <w:shd w:val="clear" w:color="auto" w:fill="FFFFFF"/>
        </w:rPr>
        <w:t> </w:t>
      </w:r>
      <w:r w:rsidRPr="00356F5B">
        <w:rPr>
          <w:rFonts w:ascii="Times New Roman" w:hAnsi="Times New Roman" w:cs="Times New Roman"/>
          <w:color w:val="202124"/>
          <w:sz w:val="28"/>
          <w:szCs w:val="28"/>
          <w:shd w:val="clear" w:color="auto" w:fill="FFFFFF"/>
        </w:rPr>
        <w:t xml:space="preserve"> тис.</w:t>
      </w:r>
      <w:r w:rsidR="00631C20" w:rsidRPr="00356F5B">
        <w:rPr>
          <w:rFonts w:ascii="Times New Roman" w:hAnsi="Times New Roman" w:cs="Times New Roman"/>
          <w:color w:val="202124"/>
          <w:sz w:val="28"/>
          <w:szCs w:val="28"/>
          <w:shd w:val="clear" w:color="auto" w:fill="FFFFFF"/>
        </w:rPr>
        <w:t> </w:t>
      </w:r>
      <w:proofErr w:type="spellStart"/>
      <w:r w:rsidRPr="00356F5B">
        <w:rPr>
          <w:rFonts w:ascii="Times New Roman" w:hAnsi="Times New Roman" w:cs="Times New Roman"/>
          <w:color w:val="202124"/>
          <w:sz w:val="28"/>
          <w:szCs w:val="28"/>
          <w:shd w:val="clear" w:color="auto" w:fill="FFFFFF"/>
        </w:rPr>
        <w:t>кв</w:t>
      </w:r>
      <w:proofErr w:type="spellEnd"/>
      <w:r w:rsidRPr="00356F5B">
        <w:rPr>
          <w:rFonts w:ascii="Times New Roman" w:hAnsi="Times New Roman" w:cs="Times New Roman"/>
          <w:color w:val="202124"/>
          <w:sz w:val="28"/>
          <w:szCs w:val="28"/>
          <w:shd w:val="clear" w:color="auto" w:fill="FFFFFF"/>
        </w:rPr>
        <w:t>.</w:t>
      </w:r>
      <w:r w:rsidR="00631C20" w:rsidRPr="00356F5B">
        <w:rPr>
          <w:rFonts w:ascii="Times New Roman" w:hAnsi="Times New Roman" w:cs="Times New Roman"/>
          <w:color w:val="202124"/>
          <w:sz w:val="28"/>
          <w:szCs w:val="28"/>
          <w:shd w:val="clear" w:color="auto" w:fill="FFFFFF"/>
        </w:rPr>
        <w:t xml:space="preserve"> м</w:t>
      </w:r>
      <w:r w:rsidRPr="00356F5B">
        <w:rPr>
          <w:rFonts w:ascii="Times New Roman" w:hAnsi="Times New Roman" w:cs="Times New Roman"/>
          <w:color w:val="202124"/>
          <w:sz w:val="28"/>
          <w:szCs w:val="28"/>
          <w:shd w:val="clear" w:color="auto" w:fill="FFFFFF"/>
        </w:rPr>
        <w:t xml:space="preserve">,  546,25 млн грн – 1373 </w:t>
      </w:r>
      <w:proofErr w:type="spellStart"/>
      <w:r w:rsidRPr="00356F5B">
        <w:rPr>
          <w:rFonts w:ascii="Times New Roman" w:hAnsi="Times New Roman" w:cs="Times New Roman"/>
          <w:color w:val="202124"/>
          <w:sz w:val="28"/>
          <w:szCs w:val="28"/>
          <w:shd w:val="clear" w:color="auto" w:fill="FFFFFF"/>
        </w:rPr>
        <w:t>паркомісць</w:t>
      </w:r>
      <w:proofErr w:type="spellEnd"/>
      <w:r w:rsidRPr="00356F5B">
        <w:rPr>
          <w:rFonts w:ascii="Times New Roman" w:hAnsi="Times New Roman" w:cs="Times New Roman"/>
          <w:color w:val="202124"/>
          <w:sz w:val="28"/>
          <w:szCs w:val="28"/>
          <w:shd w:val="clear" w:color="auto" w:fill="FFFFFF"/>
        </w:rPr>
        <w:t xml:space="preserve"> площею 21,27 тис.</w:t>
      </w:r>
      <w:r w:rsidR="00DA552D" w:rsidRPr="00356F5B">
        <w:rPr>
          <w:rFonts w:ascii="Times New Roman" w:hAnsi="Times New Roman" w:cs="Times New Roman"/>
          <w:color w:val="202124"/>
          <w:sz w:val="28"/>
          <w:szCs w:val="28"/>
          <w:shd w:val="clear" w:color="auto" w:fill="FFFFFF"/>
        </w:rPr>
        <w:t xml:space="preserve"> </w:t>
      </w:r>
      <w:proofErr w:type="spellStart"/>
      <w:r w:rsidRPr="00356F5B">
        <w:rPr>
          <w:rFonts w:ascii="Times New Roman" w:hAnsi="Times New Roman" w:cs="Times New Roman"/>
          <w:color w:val="202124"/>
          <w:sz w:val="28"/>
          <w:szCs w:val="28"/>
          <w:shd w:val="clear" w:color="auto" w:fill="FFFFFF"/>
        </w:rPr>
        <w:t>кв</w:t>
      </w:r>
      <w:proofErr w:type="spellEnd"/>
      <w:r w:rsidRPr="00356F5B">
        <w:rPr>
          <w:rFonts w:ascii="Times New Roman" w:hAnsi="Times New Roman" w:cs="Times New Roman"/>
          <w:color w:val="202124"/>
          <w:sz w:val="28"/>
          <w:szCs w:val="28"/>
          <w:shd w:val="clear" w:color="auto" w:fill="FFFFFF"/>
        </w:rPr>
        <w:t>.</w:t>
      </w:r>
      <w:r w:rsidR="00DA552D" w:rsidRPr="00356F5B">
        <w:rPr>
          <w:rFonts w:ascii="Times New Roman" w:hAnsi="Times New Roman" w:cs="Times New Roman"/>
          <w:color w:val="202124"/>
          <w:sz w:val="28"/>
          <w:szCs w:val="28"/>
          <w:shd w:val="clear" w:color="auto" w:fill="FFFFFF"/>
        </w:rPr>
        <w:t xml:space="preserve"> </w:t>
      </w:r>
      <w:r w:rsidRPr="00356F5B">
        <w:rPr>
          <w:rFonts w:ascii="Times New Roman" w:hAnsi="Times New Roman" w:cs="Times New Roman"/>
          <w:color w:val="202124"/>
          <w:sz w:val="28"/>
          <w:szCs w:val="28"/>
          <w:shd w:val="clear" w:color="auto" w:fill="FFFFFF"/>
        </w:rPr>
        <w:t>м,  509,86 млн грн – 715 об’єктів нежитлової (комерційної нерухомості) площею 18,09 тис.</w:t>
      </w:r>
      <w:r w:rsidR="00631C20" w:rsidRPr="00356F5B">
        <w:rPr>
          <w:rFonts w:ascii="Times New Roman" w:hAnsi="Times New Roman" w:cs="Times New Roman"/>
          <w:color w:val="202124"/>
          <w:sz w:val="28"/>
          <w:szCs w:val="28"/>
          <w:shd w:val="clear" w:color="auto" w:fill="FFFFFF"/>
        </w:rPr>
        <w:t xml:space="preserve"> </w:t>
      </w:r>
      <w:proofErr w:type="spellStart"/>
      <w:r w:rsidRPr="00356F5B">
        <w:rPr>
          <w:rFonts w:ascii="Times New Roman" w:hAnsi="Times New Roman" w:cs="Times New Roman"/>
          <w:color w:val="202124"/>
          <w:sz w:val="28"/>
          <w:szCs w:val="28"/>
          <w:shd w:val="clear" w:color="auto" w:fill="FFFFFF"/>
        </w:rPr>
        <w:t>кв</w:t>
      </w:r>
      <w:proofErr w:type="spellEnd"/>
      <w:r w:rsidRPr="00356F5B">
        <w:rPr>
          <w:rFonts w:ascii="Times New Roman" w:hAnsi="Times New Roman" w:cs="Times New Roman"/>
          <w:color w:val="202124"/>
          <w:sz w:val="28"/>
          <w:szCs w:val="28"/>
          <w:shd w:val="clear" w:color="auto" w:fill="FFFFFF"/>
        </w:rPr>
        <w:t>.</w:t>
      </w:r>
      <w:r w:rsidR="00631C20" w:rsidRPr="00356F5B">
        <w:rPr>
          <w:rFonts w:ascii="Times New Roman" w:hAnsi="Times New Roman" w:cs="Times New Roman"/>
          <w:color w:val="202124"/>
          <w:sz w:val="28"/>
          <w:szCs w:val="28"/>
          <w:shd w:val="clear" w:color="auto" w:fill="FFFFFF"/>
        </w:rPr>
        <w:t xml:space="preserve"> </w:t>
      </w:r>
      <w:r w:rsidRPr="00356F5B">
        <w:rPr>
          <w:rFonts w:ascii="Times New Roman" w:hAnsi="Times New Roman" w:cs="Times New Roman"/>
          <w:color w:val="202124"/>
          <w:sz w:val="28"/>
          <w:szCs w:val="28"/>
          <w:shd w:val="clear" w:color="auto" w:fill="FFFFFF"/>
        </w:rPr>
        <w:t>м.</w:t>
      </w:r>
    </w:p>
    <w:p w14:paraId="6E1C4983" w14:textId="77777777" w:rsidR="00631C20" w:rsidRPr="00356F5B" w:rsidRDefault="00631C20" w:rsidP="00631C20">
      <w:pPr>
        <w:ind w:firstLine="709"/>
        <w:jc w:val="both"/>
      </w:pPr>
    </w:p>
    <w:p w14:paraId="7E143ECE" w14:textId="77777777" w:rsidR="00B153DC" w:rsidRPr="00356F5B" w:rsidRDefault="00FF2428">
      <w:pPr>
        <w:jc w:val="both"/>
        <w:rPr>
          <w:rFonts w:ascii="Times New Roman" w:hAnsi="Times New Roman" w:cs="Times New Roman"/>
          <w:sz w:val="28"/>
          <w:szCs w:val="28"/>
        </w:rPr>
      </w:pPr>
      <w:r w:rsidRPr="00356F5B">
        <w:rPr>
          <w:rFonts w:ascii="Times New Roman" w:hAnsi="Times New Roman" w:cs="Times New Roman"/>
          <w:noProof/>
          <w:sz w:val="28"/>
          <w:szCs w:val="28"/>
          <w:lang w:eastAsia="uk-UA"/>
        </w:rPr>
        <w:drawing>
          <wp:inline distT="0" distB="0" distL="0" distR="0" wp14:anchorId="6F8A36E9" wp14:editId="24698374">
            <wp:extent cx="6031230" cy="919480"/>
            <wp:effectExtent l="0" t="0" r="0" b="0"/>
            <wp:docPr id="4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65"/>
                    <pic:cNvPicPr>
                      <a:picLocks noChangeAspect="1" noChangeArrowheads="1"/>
                    </pic:cNvPicPr>
                  </pic:nvPicPr>
                  <pic:blipFill>
                    <a:blip r:embed="rId14"/>
                    <a:stretch>
                      <a:fillRect/>
                    </a:stretch>
                  </pic:blipFill>
                  <pic:spPr bwMode="auto">
                    <a:xfrm>
                      <a:off x="0" y="0"/>
                      <a:ext cx="6031230" cy="919480"/>
                    </a:xfrm>
                    <a:prstGeom prst="rect">
                      <a:avLst/>
                    </a:prstGeom>
                  </pic:spPr>
                </pic:pic>
              </a:graphicData>
            </a:graphic>
          </wp:inline>
        </w:drawing>
      </w:r>
    </w:p>
    <w:p w14:paraId="69BA5800" w14:textId="77777777" w:rsidR="00B153DC" w:rsidRPr="00356F5B" w:rsidRDefault="00B153DC">
      <w:pPr>
        <w:ind w:firstLine="567"/>
        <w:jc w:val="both"/>
        <w:rPr>
          <w:color w:val="202124"/>
          <w:sz w:val="28"/>
          <w:szCs w:val="28"/>
          <w:shd w:val="clear" w:color="auto" w:fill="FFFFFF"/>
        </w:rPr>
      </w:pPr>
    </w:p>
    <w:p w14:paraId="2CCED8E2" w14:textId="77777777" w:rsidR="00B153DC" w:rsidRPr="00356F5B" w:rsidRDefault="00FF2428" w:rsidP="00631C20">
      <w:pPr>
        <w:ind w:firstLine="709"/>
        <w:jc w:val="both"/>
      </w:pPr>
      <w:r w:rsidRPr="00356F5B">
        <w:rPr>
          <w:rFonts w:ascii="Times New Roman" w:hAnsi="Times New Roman" w:cs="Times New Roman"/>
          <w:color w:val="202124"/>
          <w:sz w:val="28"/>
          <w:szCs w:val="28"/>
          <w:shd w:val="clear" w:color="auto" w:fill="FFFFFF"/>
        </w:rPr>
        <w:t>Залишок коштів Компанії на початок 2019 року становив 140,76 млн грн.</w:t>
      </w:r>
    </w:p>
    <w:p w14:paraId="16632AA0" w14:textId="60845111" w:rsidR="00B153DC" w:rsidRPr="00356F5B" w:rsidRDefault="00FF2428" w:rsidP="00631C20">
      <w:pPr>
        <w:ind w:firstLine="709"/>
        <w:jc w:val="both"/>
      </w:pPr>
      <w:r w:rsidRPr="00356F5B">
        <w:rPr>
          <w:rFonts w:ascii="Times New Roman" w:hAnsi="Times New Roman" w:cs="Times New Roman"/>
          <w:color w:val="202124"/>
          <w:sz w:val="28"/>
          <w:szCs w:val="28"/>
          <w:shd w:val="clear" w:color="auto" w:fill="FFFFFF"/>
        </w:rPr>
        <w:t>За даними звіту про рух грошових коштів за 2019-2022 роки та І квартал 2023 року надходження грошових коштів становило 19,35 млрд грн, витрачання</w:t>
      </w:r>
      <w:r w:rsidR="00631C20" w:rsidRPr="00356F5B">
        <w:rPr>
          <w:rFonts w:ascii="Times New Roman" w:hAnsi="Times New Roman" w:cs="Times New Roman"/>
          <w:color w:val="202124"/>
          <w:sz w:val="28"/>
          <w:szCs w:val="28"/>
          <w:shd w:val="clear" w:color="auto" w:fill="FFFFFF"/>
        </w:rPr>
        <w:t> </w:t>
      </w:r>
      <w:r w:rsidRPr="00356F5B">
        <w:rPr>
          <w:rFonts w:ascii="Times New Roman" w:hAnsi="Times New Roman" w:cs="Times New Roman"/>
          <w:color w:val="202124"/>
          <w:sz w:val="28"/>
          <w:szCs w:val="28"/>
          <w:shd w:val="clear" w:color="auto" w:fill="FFFFFF"/>
        </w:rPr>
        <w:t xml:space="preserve"> – 19,48 млрд грн і станом на 31.03.2023 залишок коштів становив 15,44 млн грн.</w:t>
      </w:r>
    </w:p>
    <w:p w14:paraId="7566EB67" w14:textId="3F32F4A4" w:rsidR="00B153DC" w:rsidRPr="00356F5B" w:rsidRDefault="00FF2428" w:rsidP="00631C20">
      <w:pPr>
        <w:shd w:val="clear" w:color="auto" w:fill="FCFCFC"/>
        <w:ind w:firstLine="709"/>
        <w:jc w:val="both"/>
      </w:pPr>
      <w:r w:rsidRPr="00356F5B">
        <w:rPr>
          <w:rFonts w:ascii="Times New Roman" w:hAnsi="Times New Roman" w:cs="Times New Roman"/>
          <w:color w:val="181716"/>
          <w:sz w:val="28"/>
          <w:szCs w:val="28"/>
        </w:rPr>
        <w:t xml:space="preserve">Компанією здійснювалася реалізація 35 будівельних проєктів, з яких 18 – прийняті об’єкти </w:t>
      </w:r>
      <w:r w:rsidRPr="00356F5B">
        <w:rPr>
          <w:rFonts w:ascii="Times New Roman" w:hAnsi="Times New Roman" w:cs="Times New Roman"/>
          <w:color w:val="000000"/>
          <w:sz w:val="28"/>
          <w:szCs w:val="28"/>
          <w:shd w:val="clear" w:color="auto" w:fill="FFFFFF"/>
        </w:rPr>
        <w:t>УДБК «</w:t>
      </w:r>
      <w:proofErr w:type="spellStart"/>
      <w:r w:rsidRPr="00356F5B">
        <w:rPr>
          <w:rFonts w:ascii="Times New Roman" w:hAnsi="Times New Roman" w:cs="Times New Roman"/>
          <w:color w:val="000000"/>
          <w:sz w:val="28"/>
          <w:szCs w:val="28"/>
          <w:shd w:val="clear" w:color="auto" w:fill="FFFFFF"/>
        </w:rPr>
        <w:t>Укрбуд</w:t>
      </w:r>
      <w:proofErr w:type="spellEnd"/>
      <w:r w:rsidRPr="00356F5B">
        <w:rPr>
          <w:rFonts w:ascii="Times New Roman" w:hAnsi="Times New Roman" w:cs="Times New Roman"/>
          <w:color w:val="000000"/>
          <w:sz w:val="28"/>
          <w:szCs w:val="28"/>
          <w:shd w:val="clear" w:color="auto" w:fill="FFFFFF"/>
        </w:rPr>
        <w:t xml:space="preserve">» </w:t>
      </w:r>
    </w:p>
    <w:p w14:paraId="0861BFDD" w14:textId="77777777" w:rsidR="00B153DC" w:rsidRPr="00356F5B" w:rsidRDefault="00FF2428" w:rsidP="00631C20">
      <w:pPr>
        <w:shd w:val="clear" w:color="auto" w:fill="FCFCFC"/>
        <w:ind w:firstLine="709"/>
        <w:jc w:val="both"/>
      </w:pPr>
      <w:r w:rsidRPr="00356F5B">
        <w:rPr>
          <w:rFonts w:ascii="Times New Roman" w:hAnsi="Times New Roman" w:cs="Times New Roman"/>
          <w:color w:val="000000"/>
          <w:sz w:val="28"/>
          <w:szCs w:val="28"/>
          <w:shd w:val="clear" w:color="auto" w:fill="FFFFFF"/>
        </w:rPr>
        <w:t xml:space="preserve">Із загальної кількості будівельних проєктів станом на 31.05.2023 Компанією добудовано та введено в експлуатацію 13 об’єктів (1 об’єкт введено в </w:t>
      </w:r>
      <w:r w:rsidRPr="00356F5B">
        <w:rPr>
          <w:rFonts w:ascii="Times New Roman" w:hAnsi="Times New Roman" w:cs="Times New Roman"/>
          <w:color w:val="000000"/>
          <w:sz w:val="28"/>
          <w:szCs w:val="28"/>
          <w:shd w:val="clear" w:color="auto" w:fill="FFFFFF"/>
        </w:rPr>
        <w:lastRenderedPageBreak/>
        <w:t xml:space="preserve">експлуатацію із ступенем готовності 97%) та будівництво 22 об’єктів </w:t>
      </w:r>
      <w:proofErr w:type="spellStart"/>
      <w:r w:rsidRPr="00356F5B">
        <w:rPr>
          <w:rFonts w:ascii="Times New Roman" w:hAnsi="Times New Roman" w:cs="Times New Roman"/>
          <w:color w:val="000000"/>
          <w:sz w:val="28"/>
          <w:szCs w:val="28"/>
          <w:shd w:val="clear" w:color="auto" w:fill="FFFFFF"/>
        </w:rPr>
        <w:t>зупинено</w:t>
      </w:r>
      <w:proofErr w:type="spellEnd"/>
      <w:r w:rsidRPr="00356F5B">
        <w:rPr>
          <w:rFonts w:ascii="Times New Roman" w:hAnsi="Times New Roman" w:cs="Times New Roman"/>
          <w:color w:val="000000"/>
          <w:sz w:val="28"/>
          <w:szCs w:val="28"/>
          <w:shd w:val="clear" w:color="auto" w:fill="FFFFFF"/>
        </w:rPr>
        <w:t>, з яких 7 об’єктів із ступенем готовності більше 80% (ЖК «Урлівський-2», ЖК «Абрикосовий», ЖК «Кирилівський гай», ЖК «</w:t>
      </w:r>
      <w:proofErr w:type="spellStart"/>
      <w:r w:rsidRPr="00356F5B">
        <w:rPr>
          <w:rFonts w:ascii="Times New Roman" w:hAnsi="Times New Roman" w:cs="Times New Roman"/>
          <w:color w:val="000000"/>
          <w:sz w:val="28"/>
          <w:szCs w:val="28"/>
          <w:shd w:val="clear" w:color="auto" w:fill="FFFFFF"/>
        </w:rPr>
        <w:t>Twin</w:t>
      </w:r>
      <w:proofErr w:type="spellEnd"/>
      <w:r w:rsidRPr="00356F5B">
        <w:rPr>
          <w:rFonts w:ascii="Times New Roman" w:hAnsi="Times New Roman" w:cs="Times New Roman"/>
          <w:color w:val="000000"/>
          <w:sz w:val="28"/>
          <w:szCs w:val="28"/>
          <w:shd w:val="clear" w:color="auto" w:fill="FFFFFF"/>
        </w:rPr>
        <w:t xml:space="preserve"> </w:t>
      </w:r>
      <w:proofErr w:type="spellStart"/>
      <w:r w:rsidRPr="00356F5B">
        <w:rPr>
          <w:rFonts w:ascii="Times New Roman" w:hAnsi="Times New Roman" w:cs="Times New Roman"/>
          <w:color w:val="000000"/>
          <w:sz w:val="28"/>
          <w:szCs w:val="28"/>
          <w:shd w:val="clear" w:color="auto" w:fill="FFFFFF"/>
        </w:rPr>
        <w:t>House</w:t>
      </w:r>
      <w:proofErr w:type="spellEnd"/>
      <w:r w:rsidRPr="00356F5B">
        <w:rPr>
          <w:rFonts w:ascii="Times New Roman" w:hAnsi="Times New Roman" w:cs="Times New Roman"/>
          <w:color w:val="000000"/>
          <w:sz w:val="28"/>
          <w:szCs w:val="28"/>
          <w:shd w:val="clear" w:color="auto" w:fill="FFFFFF"/>
        </w:rPr>
        <w:t>», ЖК «</w:t>
      </w:r>
      <w:proofErr w:type="spellStart"/>
      <w:r w:rsidRPr="00356F5B">
        <w:rPr>
          <w:rFonts w:ascii="Times New Roman" w:hAnsi="Times New Roman" w:cs="Times New Roman"/>
          <w:color w:val="000000"/>
          <w:sz w:val="28"/>
          <w:szCs w:val="28"/>
          <w:shd w:val="clear" w:color="auto" w:fill="FFFFFF"/>
        </w:rPr>
        <w:t>Freedom</w:t>
      </w:r>
      <w:proofErr w:type="spellEnd"/>
      <w:r w:rsidRPr="00356F5B">
        <w:rPr>
          <w:rFonts w:ascii="Times New Roman" w:hAnsi="Times New Roman" w:cs="Times New Roman"/>
          <w:color w:val="000000"/>
          <w:sz w:val="28"/>
          <w:szCs w:val="28"/>
          <w:shd w:val="clear" w:color="auto" w:fill="FFFFFF"/>
        </w:rPr>
        <w:t>», ЖК «Гвардійський» та ЖК «</w:t>
      </w:r>
      <w:proofErr w:type="spellStart"/>
      <w:r w:rsidRPr="00356F5B">
        <w:rPr>
          <w:rFonts w:ascii="Times New Roman" w:hAnsi="Times New Roman" w:cs="Times New Roman"/>
          <w:color w:val="000000"/>
          <w:sz w:val="28"/>
          <w:szCs w:val="28"/>
          <w:shd w:val="clear" w:color="auto" w:fill="FFFFFF"/>
        </w:rPr>
        <w:t>Подол</w:t>
      </w:r>
      <w:proofErr w:type="spellEnd"/>
      <w:r w:rsidRPr="00356F5B">
        <w:rPr>
          <w:rFonts w:ascii="Times New Roman" w:hAnsi="Times New Roman" w:cs="Times New Roman"/>
          <w:color w:val="000000"/>
          <w:sz w:val="28"/>
          <w:szCs w:val="28"/>
          <w:shd w:val="clear" w:color="auto" w:fill="FFFFFF"/>
        </w:rPr>
        <w:t xml:space="preserve"> Град») та 5 об’єктів </w:t>
      </w:r>
      <w:r w:rsidRPr="00356F5B">
        <w:rPr>
          <w:rFonts w:ascii="Times New Roman" w:hAnsi="Times New Roman" w:cs="Times New Roman"/>
          <w:color w:val="181716"/>
          <w:sz w:val="28"/>
          <w:szCs w:val="28"/>
        </w:rPr>
        <w:t>із ступенем готовності менше 30% (ЖК «</w:t>
      </w:r>
      <w:proofErr w:type="spellStart"/>
      <w:r w:rsidRPr="00356F5B">
        <w:rPr>
          <w:rFonts w:ascii="Times New Roman" w:hAnsi="Times New Roman" w:cs="Times New Roman"/>
          <w:color w:val="181716"/>
          <w:sz w:val="28"/>
          <w:szCs w:val="28"/>
        </w:rPr>
        <w:t>Курнатовського</w:t>
      </w:r>
      <w:proofErr w:type="spellEnd"/>
      <w:r w:rsidRPr="00356F5B">
        <w:rPr>
          <w:rFonts w:ascii="Times New Roman" w:hAnsi="Times New Roman" w:cs="Times New Roman"/>
          <w:color w:val="181716"/>
          <w:sz w:val="28"/>
          <w:szCs w:val="28"/>
        </w:rPr>
        <w:t>», ЖК «</w:t>
      </w:r>
      <w:proofErr w:type="spellStart"/>
      <w:r w:rsidRPr="00356F5B">
        <w:rPr>
          <w:rFonts w:ascii="Times New Roman" w:hAnsi="Times New Roman" w:cs="Times New Roman"/>
          <w:color w:val="181716"/>
          <w:sz w:val="28"/>
          <w:szCs w:val="28"/>
        </w:rPr>
        <w:t>Мілос</w:t>
      </w:r>
      <w:proofErr w:type="spellEnd"/>
      <w:r w:rsidRPr="00356F5B">
        <w:rPr>
          <w:rFonts w:ascii="Times New Roman" w:hAnsi="Times New Roman" w:cs="Times New Roman"/>
          <w:color w:val="181716"/>
          <w:sz w:val="28"/>
          <w:szCs w:val="28"/>
        </w:rPr>
        <w:t>», ЖК «Італійський квартал-2», ЖК «Чарівне місто», ЖК «</w:t>
      </w:r>
      <w:proofErr w:type="spellStart"/>
      <w:r w:rsidRPr="00356F5B">
        <w:rPr>
          <w:rFonts w:ascii="Times New Roman" w:hAnsi="Times New Roman" w:cs="Times New Roman"/>
          <w:color w:val="181716"/>
          <w:sz w:val="28"/>
          <w:szCs w:val="28"/>
        </w:rPr>
        <w:t>Urban</w:t>
      </w:r>
      <w:proofErr w:type="spellEnd"/>
      <w:r w:rsidRPr="00356F5B">
        <w:rPr>
          <w:rFonts w:ascii="Times New Roman" w:hAnsi="Times New Roman" w:cs="Times New Roman"/>
          <w:color w:val="181716"/>
          <w:sz w:val="28"/>
          <w:szCs w:val="28"/>
        </w:rPr>
        <w:t xml:space="preserve"> </w:t>
      </w:r>
      <w:proofErr w:type="spellStart"/>
      <w:r w:rsidRPr="00356F5B">
        <w:rPr>
          <w:rFonts w:ascii="Times New Roman" w:hAnsi="Times New Roman" w:cs="Times New Roman"/>
          <w:color w:val="181716"/>
          <w:sz w:val="28"/>
          <w:szCs w:val="28"/>
        </w:rPr>
        <w:t>Park</w:t>
      </w:r>
      <w:proofErr w:type="spellEnd"/>
      <w:r w:rsidRPr="00356F5B">
        <w:rPr>
          <w:rFonts w:ascii="Times New Roman" w:hAnsi="Times New Roman" w:cs="Times New Roman"/>
          <w:color w:val="181716"/>
          <w:sz w:val="28"/>
          <w:szCs w:val="28"/>
        </w:rPr>
        <w:t>»).</w:t>
      </w:r>
    </w:p>
    <w:p w14:paraId="290A3510" w14:textId="073DBD27" w:rsidR="00B153DC" w:rsidRPr="00356F5B" w:rsidRDefault="00FF2428" w:rsidP="00631C20">
      <w:pPr>
        <w:shd w:val="clear" w:color="auto" w:fill="FCFCFC"/>
        <w:ind w:firstLine="709"/>
        <w:jc w:val="both"/>
      </w:pPr>
      <w:r w:rsidRPr="00356F5B">
        <w:rPr>
          <w:rFonts w:ascii="Times New Roman" w:hAnsi="Times New Roman" w:cs="Times New Roman"/>
          <w:color w:val="181716"/>
          <w:sz w:val="28"/>
          <w:szCs w:val="28"/>
        </w:rPr>
        <w:t>Станом на 31.05.2023 із 18 прийнятих від УДБК «</w:t>
      </w:r>
      <w:proofErr w:type="spellStart"/>
      <w:r w:rsidRPr="00356F5B">
        <w:rPr>
          <w:rFonts w:ascii="Times New Roman" w:hAnsi="Times New Roman" w:cs="Times New Roman"/>
          <w:color w:val="181716"/>
          <w:sz w:val="28"/>
          <w:szCs w:val="28"/>
        </w:rPr>
        <w:t>Укрбуд</w:t>
      </w:r>
      <w:proofErr w:type="spellEnd"/>
      <w:r w:rsidRPr="00356F5B">
        <w:rPr>
          <w:rFonts w:ascii="Times New Roman" w:hAnsi="Times New Roman" w:cs="Times New Roman"/>
          <w:color w:val="181716"/>
          <w:sz w:val="28"/>
          <w:szCs w:val="28"/>
        </w:rPr>
        <w:t>» на добудову житлових комплексів 7 об’єктів Компанією введено в експлуатацію та 5 об’єктів</w:t>
      </w:r>
      <w:r w:rsidR="00631C20" w:rsidRPr="00356F5B">
        <w:rPr>
          <w:rFonts w:ascii="Times New Roman" w:hAnsi="Times New Roman" w:cs="Times New Roman"/>
          <w:color w:val="181716"/>
          <w:sz w:val="28"/>
          <w:szCs w:val="28"/>
        </w:rPr>
        <w:t> </w:t>
      </w:r>
      <w:r w:rsidRPr="00356F5B">
        <w:rPr>
          <w:rFonts w:ascii="Times New Roman" w:hAnsi="Times New Roman" w:cs="Times New Roman"/>
          <w:color w:val="181716"/>
          <w:sz w:val="28"/>
          <w:szCs w:val="28"/>
        </w:rPr>
        <w:t xml:space="preserve"> – частково введено.</w:t>
      </w:r>
    </w:p>
    <w:p w14:paraId="07A26E00" w14:textId="2ABAFB7F" w:rsidR="00B153DC" w:rsidRPr="00356F5B" w:rsidRDefault="00FF2428" w:rsidP="00631C20">
      <w:pPr>
        <w:shd w:val="clear" w:color="auto" w:fill="FCFCFC"/>
        <w:ind w:firstLine="709"/>
        <w:jc w:val="both"/>
      </w:pPr>
      <w:r w:rsidRPr="00356F5B">
        <w:rPr>
          <w:rFonts w:ascii="Times New Roman" w:hAnsi="Times New Roman" w:cs="Times New Roman"/>
          <w:color w:val="181716"/>
          <w:sz w:val="28"/>
          <w:szCs w:val="28"/>
        </w:rPr>
        <w:t xml:space="preserve">За інформацією Компанії станом на 31.05.2023 виконання робіт з добудови прийнятих від </w:t>
      </w:r>
      <w:r w:rsidRPr="00356F5B">
        <w:rPr>
          <w:rFonts w:ascii="Times New Roman" w:hAnsi="Times New Roman" w:cs="Times New Roman"/>
          <w:color w:val="000000"/>
          <w:sz w:val="28"/>
          <w:szCs w:val="28"/>
          <w:shd w:val="clear" w:color="auto" w:fill="FFFFFF"/>
        </w:rPr>
        <w:t>УДБК «</w:t>
      </w:r>
      <w:proofErr w:type="spellStart"/>
      <w:r w:rsidRPr="00356F5B">
        <w:rPr>
          <w:rFonts w:ascii="Times New Roman" w:hAnsi="Times New Roman" w:cs="Times New Roman"/>
          <w:color w:val="000000"/>
          <w:sz w:val="28"/>
          <w:szCs w:val="28"/>
          <w:shd w:val="clear" w:color="auto" w:fill="FFFFFF"/>
        </w:rPr>
        <w:t>Укрбуд</w:t>
      </w:r>
      <w:proofErr w:type="spellEnd"/>
      <w:r w:rsidRPr="00356F5B">
        <w:rPr>
          <w:rFonts w:ascii="Times New Roman" w:hAnsi="Times New Roman" w:cs="Times New Roman"/>
          <w:color w:val="000000"/>
          <w:sz w:val="28"/>
          <w:szCs w:val="28"/>
          <w:shd w:val="clear" w:color="auto" w:fill="FFFFFF"/>
        </w:rPr>
        <w:t>» об’єктів становить 3 594,96 млн грн, сплачено підрядним організаціям 3 616,82 млн грн, а фактичні надходження по зазначених об’єктах становлять 2</w:t>
      </w:r>
      <w:r w:rsidRPr="00356F5B">
        <w:rPr>
          <w:rFonts w:ascii="Times New Roman" w:hAnsi="Times New Roman" w:cs="Times New Roman"/>
          <w:color w:val="181716"/>
          <w:sz w:val="28"/>
          <w:szCs w:val="28"/>
        </w:rPr>
        <w:t xml:space="preserve"> 780,3 млн грн. Тобто, за даними Компанії касовий розрив по зазначених будівельних </w:t>
      </w:r>
      <w:proofErr w:type="spellStart"/>
      <w:r w:rsidRPr="00356F5B">
        <w:rPr>
          <w:rFonts w:ascii="Times New Roman" w:hAnsi="Times New Roman" w:cs="Times New Roman"/>
          <w:color w:val="181716"/>
          <w:sz w:val="28"/>
          <w:szCs w:val="28"/>
        </w:rPr>
        <w:t>проєктах</w:t>
      </w:r>
      <w:proofErr w:type="spellEnd"/>
      <w:r w:rsidRPr="00356F5B">
        <w:rPr>
          <w:rFonts w:ascii="Times New Roman" w:hAnsi="Times New Roman" w:cs="Times New Roman"/>
          <w:color w:val="181716"/>
          <w:sz w:val="28"/>
          <w:szCs w:val="28"/>
        </w:rPr>
        <w:t xml:space="preserve"> у сумі 836,52 млн грн ймовірно сплачено за рахунок обігових коштів Компанії.</w:t>
      </w:r>
    </w:p>
    <w:p w14:paraId="7D62988A" w14:textId="77777777" w:rsidR="00B153DC" w:rsidRPr="00356F5B" w:rsidRDefault="00FF2428" w:rsidP="00281164">
      <w:pPr>
        <w:shd w:val="clear" w:color="auto" w:fill="FCFCFC"/>
        <w:ind w:firstLine="709"/>
        <w:jc w:val="both"/>
      </w:pPr>
      <w:r w:rsidRPr="00356F5B">
        <w:rPr>
          <w:rFonts w:ascii="Times New Roman" w:hAnsi="Times New Roman" w:cs="Times New Roman"/>
          <w:color w:val="181716"/>
          <w:sz w:val="28"/>
          <w:szCs w:val="28"/>
        </w:rPr>
        <w:t>Введення в експлуатацію практично всіх зупинених об’єктів будівництва заплановано на 2023 рік, а 3 об’єкти (ЖК «</w:t>
      </w:r>
      <w:proofErr w:type="spellStart"/>
      <w:r w:rsidRPr="00356F5B">
        <w:rPr>
          <w:rFonts w:ascii="Times New Roman" w:hAnsi="Times New Roman" w:cs="Times New Roman"/>
          <w:color w:val="181716"/>
          <w:sz w:val="28"/>
          <w:szCs w:val="28"/>
        </w:rPr>
        <w:t>Мілос</w:t>
      </w:r>
      <w:proofErr w:type="spellEnd"/>
      <w:r w:rsidRPr="00356F5B">
        <w:rPr>
          <w:rFonts w:ascii="Times New Roman" w:hAnsi="Times New Roman" w:cs="Times New Roman"/>
          <w:color w:val="181716"/>
          <w:sz w:val="28"/>
          <w:szCs w:val="28"/>
        </w:rPr>
        <w:t>», ЖК «Італійський квартал-2» та ЖК «Чарівне місто») – на 2024 рік.</w:t>
      </w:r>
    </w:p>
    <w:p w14:paraId="4A82DC38" w14:textId="6A26A6DD" w:rsidR="00B153DC" w:rsidRPr="00356F5B" w:rsidRDefault="00FF2428" w:rsidP="00281164">
      <w:pPr>
        <w:shd w:val="clear" w:color="auto" w:fill="FCFCFC"/>
        <w:ind w:firstLine="709"/>
        <w:jc w:val="both"/>
      </w:pPr>
      <w:r w:rsidRPr="00356F5B">
        <w:rPr>
          <w:rFonts w:ascii="Times New Roman" w:hAnsi="Times New Roman" w:cs="Times New Roman"/>
          <w:color w:val="181716"/>
          <w:sz w:val="28"/>
          <w:szCs w:val="28"/>
        </w:rPr>
        <w:t>Відповідно до звітних даних станом на 31.03.2023 на балансі Компанії обліковувалася незавершене виробництво вартістю 12,12 млрд грн, готова продукція – 1,64 млрд грн, товари (нерухоме майно) –795,06 млн грн, виробничі запаси – 22,17 млн грн. Кошторисна вартість добудови частини незавершених об’єктів, по яки</w:t>
      </w:r>
      <w:r w:rsidR="00DA552D" w:rsidRPr="00356F5B">
        <w:rPr>
          <w:rFonts w:ascii="Times New Roman" w:hAnsi="Times New Roman" w:cs="Times New Roman"/>
          <w:color w:val="181716"/>
          <w:sz w:val="28"/>
          <w:szCs w:val="28"/>
        </w:rPr>
        <w:t>х</w:t>
      </w:r>
      <w:r w:rsidRPr="00356F5B">
        <w:rPr>
          <w:rFonts w:ascii="Times New Roman" w:hAnsi="Times New Roman" w:cs="Times New Roman"/>
          <w:color w:val="181716"/>
          <w:sz w:val="28"/>
          <w:szCs w:val="28"/>
        </w:rPr>
        <w:t xml:space="preserve"> надана така інформація, становить </w:t>
      </w:r>
      <w:r w:rsidRPr="00356F5B">
        <w:rPr>
          <w:rFonts w:ascii="Times New Roman" w:hAnsi="Times New Roman" w:cs="Times New Roman"/>
          <w:b/>
          <w:color w:val="181716"/>
          <w:sz w:val="28"/>
          <w:szCs w:val="28"/>
        </w:rPr>
        <w:t>6,5 млрд грн.</w:t>
      </w:r>
    </w:p>
    <w:p w14:paraId="19473460" w14:textId="5420EBD4" w:rsidR="00B153DC" w:rsidRPr="00356F5B" w:rsidRDefault="00FF2428" w:rsidP="00281164">
      <w:pPr>
        <w:shd w:val="clear" w:color="auto" w:fill="FCFCFC"/>
        <w:ind w:firstLine="709"/>
        <w:jc w:val="both"/>
      </w:pPr>
      <w:r w:rsidRPr="00356F5B">
        <w:rPr>
          <w:rFonts w:ascii="Times New Roman" w:hAnsi="Times New Roman" w:cs="Times New Roman"/>
          <w:color w:val="181716"/>
          <w:sz w:val="28"/>
          <w:szCs w:val="28"/>
        </w:rPr>
        <w:t xml:space="preserve">Відповідно до наданої інформації станом на 31.03.2023 на балансі Компанії в 30 об’єктах обліковувалися вільних для продажу 1782 одиниць нерухомості площею 26,91 тис. </w:t>
      </w:r>
      <w:proofErr w:type="spellStart"/>
      <w:r w:rsidRPr="00356F5B">
        <w:rPr>
          <w:rFonts w:ascii="Times New Roman" w:hAnsi="Times New Roman" w:cs="Times New Roman"/>
          <w:color w:val="181716"/>
          <w:sz w:val="28"/>
          <w:szCs w:val="28"/>
        </w:rPr>
        <w:t>кв</w:t>
      </w:r>
      <w:proofErr w:type="spellEnd"/>
      <w:r w:rsidRPr="00356F5B">
        <w:rPr>
          <w:rFonts w:ascii="Times New Roman" w:hAnsi="Times New Roman" w:cs="Times New Roman"/>
          <w:color w:val="181716"/>
          <w:sz w:val="28"/>
          <w:szCs w:val="28"/>
        </w:rPr>
        <w:t>.</w:t>
      </w:r>
      <w:r w:rsidR="00281164" w:rsidRPr="00356F5B">
        <w:rPr>
          <w:rFonts w:ascii="Times New Roman" w:hAnsi="Times New Roman" w:cs="Times New Roman"/>
          <w:color w:val="181716"/>
          <w:sz w:val="28"/>
          <w:szCs w:val="28"/>
        </w:rPr>
        <w:t xml:space="preserve"> </w:t>
      </w:r>
      <w:r w:rsidRPr="00356F5B">
        <w:rPr>
          <w:rFonts w:ascii="Times New Roman" w:hAnsi="Times New Roman" w:cs="Times New Roman"/>
          <w:color w:val="181716"/>
          <w:sz w:val="28"/>
          <w:szCs w:val="28"/>
        </w:rPr>
        <w:t xml:space="preserve">м вартістю за цінами продажу 584,13 млн грн та в 21 будівельному об’єкті –7257 одиниць майнових прав площею 319,5 тис. </w:t>
      </w:r>
      <w:proofErr w:type="spellStart"/>
      <w:r w:rsidRPr="00356F5B">
        <w:rPr>
          <w:rFonts w:ascii="Times New Roman" w:hAnsi="Times New Roman" w:cs="Times New Roman"/>
          <w:color w:val="181716"/>
          <w:sz w:val="28"/>
          <w:szCs w:val="28"/>
        </w:rPr>
        <w:t>кв</w:t>
      </w:r>
      <w:proofErr w:type="spellEnd"/>
      <w:r w:rsidRPr="00356F5B">
        <w:rPr>
          <w:rFonts w:ascii="Times New Roman" w:hAnsi="Times New Roman" w:cs="Times New Roman"/>
          <w:color w:val="181716"/>
          <w:sz w:val="28"/>
          <w:szCs w:val="28"/>
        </w:rPr>
        <w:t>.</w:t>
      </w:r>
      <w:r w:rsidR="00281164" w:rsidRPr="00356F5B">
        <w:rPr>
          <w:rFonts w:ascii="Times New Roman" w:hAnsi="Times New Roman" w:cs="Times New Roman"/>
          <w:color w:val="181716"/>
          <w:sz w:val="28"/>
          <w:szCs w:val="28"/>
        </w:rPr>
        <w:t xml:space="preserve"> </w:t>
      </w:r>
      <w:r w:rsidRPr="00356F5B">
        <w:rPr>
          <w:rFonts w:ascii="Times New Roman" w:hAnsi="Times New Roman" w:cs="Times New Roman"/>
          <w:color w:val="181716"/>
          <w:sz w:val="28"/>
          <w:szCs w:val="28"/>
        </w:rPr>
        <w:t>м вартістю за цінами продажу 12,85 млрд грн</w:t>
      </w:r>
      <w:r w:rsidR="00281164" w:rsidRPr="00356F5B">
        <w:rPr>
          <w:rFonts w:ascii="Times New Roman" w:hAnsi="Times New Roman" w:cs="Times New Roman"/>
          <w:color w:val="181716"/>
          <w:sz w:val="28"/>
          <w:szCs w:val="28"/>
        </w:rPr>
        <w:t>.</w:t>
      </w:r>
    </w:p>
    <w:p w14:paraId="5BB10D28" w14:textId="442D835F" w:rsidR="00B153DC" w:rsidRPr="00356F5B" w:rsidRDefault="00FF2428" w:rsidP="00281164">
      <w:pPr>
        <w:ind w:firstLine="709"/>
        <w:jc w:val="both"/>
      </w:pPr>
      <w:r w:rsidRPr="00356F5B">
        <w:rPr>
          <w:rFonts w:ascii="Times New Roman" w:hAnsi="Times New Roman" w:cs="Times New Roman"/>
          <w:color w:val="202124"/>
          <w:sz w:val="28"/>
          <w:szCs w:val="28"/>
          <w:shd w:val="clear" w:color="auto" w:fill="FFFFFF"/>
        </w:rPr>
        <w:t xml:space="preserve">З метою проведення незалежної перевірки фінансово-господарської діяльності Компанії суб’єктами аудиторської діяльності </w:t>
      </w:r>
      <w:proofErr w:type="spellStart"/>
      <w:r w:rsidRPr="00356F5B">
        <w:rPr>
          <w:rFonts w:ascii="Times New Roman" w:hAnsi="Times New Roman" w:cs="Times New Roman"/>
          <w:color w:val="202124"/>
          <w:sz w:val="28"/>
          <w:szCs w:val="28"/>
          <w:shd w:val="clear" w:color="auto" w:fill="FFFFFF"/>
        </w:rPr>
        <w:t>Baker</w:t>
      </w:r>
      <w:proofErr w:type="spellEnd"/>
      <w:r w:rsidRPr="00356F5B">
        <w:rPr>
          <w:rFonts w:ascii="Times New Roman" w:hAnsi="Times New Roman" w:cs="Times New Roman"/>
          <w:color w:val="202124"/>
          <w:sz w:val="28"/>
          <w:szCs w:val="28"/>
          <w:shd w:val="clear" w:color="auto" w:fill="FFFFFF"/>
        </w:rPr>
        <w:t xml:space="preserve"> </w:t>
      </w:r>
      <w:proofErr w:type="spellStart"/>
      <w:r w:rsidRPr="00356F5B">
        <w:rPr>
          <w:rFonts w:ascii="Times New Roman" w:hAnsi="Times New Roman" w:cs="Times New Roman"/>
          <w:color w:val="202124"/>
          <w:sz w:val="28"/>
          <w:szCs w:val="28"/>
          <w:shd w:val="clear" w:color="auto" w:fill="FFFFFF"/>
        </w:rPr>
        <w:t>Tilly</w:t>
      </w:r>
      <w:proofErr w:type="spellEnd"/>
      <w:r w:rsidRPr="00356F5B">
        <w:rPr>
          <w:rFonts w:ascii="Times New Roman" w:hAnsi="Times New Roman" w:cs="Times New Roman"/>
          <w:color w:val="202124"/>
          <w:sz w:val="28"/>
          <w:szCs w:val="28"/>
          <w:shd w:val="clear" w:color="auto" w:fill="FFFFFF"/>
        </w:rPr>
        <w:t xml:space="preserve"> та НХД-Аудит, було проведено аудит діяльності </w:t>
      </w:r>
      <w:r w:rsidR="00DA552D" w:rsidRPr="00356F5B">
        <w:rPr>
          <w:rFonts w:ascii="Times New Roman" w:hAnsi="Times New Roman" w:cs="Times New Roman"/>
          <w:color w:val="202124"/>
          <w:sz w:val="28"/>
          <w:szCs w:val="28"/>
          <w:shd w:val="clear" w:color="auto" w:fill="FFFFFF"/>
        </w:rPr>
        <w:t>К</w:t>
      </w:r>
      <w:r w:rsidRPr="00356F5B">
        <w:rPr>
          <w:rFonts w:ascii="Times New Roman" w:hAnsi="Times New Roman" w:cs="Times New Roman"/>
          <w:color w:val="202124"/>
          <w:sz w:val="28"/>
          <w:szCs w:val="28"/>
          <w:shd w:val="clear" w:color="auto" w:fill="FFFFFF"/>
        </w:rPr>
        <w:t>омпанії</w:t>
      </w:r>
      <w:r w:rsidR="00DA552D" w:rsidRPr="00356F5B">
        <w:rPr>
          <w:rFonts w:ascii="Times New Roman" w:hAnsi="Times New Roman" w:cs="Times New Roman"/>
          <w:color w:val="202124"/>
          <w:sz w:val="28"/>
          <w:szCs w:val="28"/>
          <w:shd w:val="clear" w:color="auto" w:fill="FFFFFF"/>
        </w:rPr>
        <w:t>,</w:t>
      </w:r>
      <w:r w:rsidRPr="00356F5B">
        <w:rPr>
          <w:rFonts w:ascii="Times New Roman" w:hAnsi="Times New Roman" w:cs="Times New Roman"/>
          <w:color w:val="202124"/>
          <w:sz w:val="28"/>
          <w:szCs w:val="28"/>
          <w:shd w:val="clear" w:color="auto" w:fill="FFFFFF"/>
        </w:rPr>
        <w:t xml:space="preserve"> за результатами яких </w:t>
      </w:r>
      <w:r w:rsidR="00DA552D" w:rsidRPr="00356F5B">
        <w:rPr>
          <w:rFonts w:ascii="Times New Roman" w:hAnsi="Times New Roman" w:cs="Times New Roman"/>
          <w:color w:val="202124"/>
          <w:sz w:val="28"/>
          <w:szCs w:val="28"/>
          <w:shd w:val="clear" w:color="auto" w:fill="FFFFFF"/>
        </w:rPr>
        <w:t>зроблено</w:t>
      </w:r>
      <w:r w:rsidRPr="00356F5B">
        <w:rPr>
          <w:rFonts w:ascii="Times New Roman" w:hAnsi="Times New Roman" w:cs="Times New Roman"/>
          <w:color w:val="202124"/>
          <w:sz w:val="28"/>
          <w:szCs w:val="28"/>
          <w:shd w:val="clear" w:color="auto" w:fill="FFFFFF"/>
        </w:rPr>
        <w:t xml:space="preserve"> наступні висновки.  </w:t>
      </w:r>
    </w:p>
    <w:tbl>
      <w:tblPr>
        <w:tblStyle w:val="af3"/>
        <w:tblW w:w="9634" w:type="dxa"/>
        <w:tblLayout w:type="fixed"/>
        <w:tblLook w:val="04A0" w:firstRow="1" w:lastRow="0" w:firstColumn="1" w:lastColumn="0" w:noHBand="0" w:noVBand="1"/>
      </w:tblPr>
      <w:tblGrid>
        <w:gridCol w:w="2895"/>
        <w:gridCol w:w="6739"/>
      </w:tblGrid>
      <w:tr w:rsidR="00B153DC" w:rsidRPr="00356F5B" w14:paraId="30391241" w14:textId="77777777" w:rsidTr="00191F58">
        <w:tc>
          <w:tcPr>
            <w:tcW w:w="2895" w:type="dxa"/>
          </w:tcPr>
          <w:p w14:paraId="32529FE8"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Основа обліку</w:t>
            </w:r>
          </w:p>
        </w:tc>
        <w:tc>
          <w:tcPr>
            <w:tcW w:w="6739" w:type="dxa"/>
          </w:tcPr>
          <w:p w14:paraId="26CD6219"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color w:val="000000"/>
                <w:sz w:val="28"/>
                <w:szCs w:val="28"/>
                <w:shd w:val="clear" w:color="auto" w:fill="FFFFFF"/>
              </w:rPr>
              <w:t>Бухгалтерський облік ведеться за стандартами ПСБУ, по методу нарахування. Відмінностей між підходами до управлінського обліку та бухгалтерського не виявлено. Звітність складається з урахуванням положень МСФЗ.</w:t>
            </w:r>
          </w:p>
        </w:tc>
      </w:tr>
      <w:tr w:rsidR="00B153DC" w:rsidRPr="00356F5B" w14:paraId="2C15087D" w14:textId="77777777" w:rsidTr="00191F58">
        <w:tc>
          <w:tcPr>
            <w:tcW w:w="2895" w:type="dxa"/>
          </w:tcPr>
          <w:p w14:paraId="187E11CC"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Фінансова звітність</w:t>
            </w:r>
          </w:p>
        </w:tc>
        <w:tc>
          <w:tcPr>
            <w:tcW w:w="6739" w:type="dxa"/>
          </w:tcPr>
          <w:p w14:paraId="377D6BD8"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Компанія складає стандартний пакет фінансової звітності. Відмінностей між фінансовою звітністю та даними з бухгалтерської</w:t>
            </w:r>
          </w:p>
          <w:p w14:paraId="619F01CD"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бази не виявлено.</w:t>
            </w:r>
          </w:p>
        </w:tc>
      </w:tr>
      <w:tr w:rsidR="00B153DC" w:rsidRPr="00356F5B" w14:paraId="0B1412A3" w14:textId="77777777" w:rsidTr="00191F58">
        <w:tc>
          <w:tcPr>
            <w:tcW w:w="2895" w:type="dxa"/>
          </w:tcPr>
          <w:p w14:paraId="3DF37648"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 xml:space="preserve">Маркетингова стратегія </w:t>
            </w:r>
          </w:p>
        </w:tc>
        <w:tc>
          <w:tcPr>
            <w:tcW w:w="6739" w:type="dxa"/>
          </w:tcPr>
          <w:p w14:paraId="400D7DF3" w14:textId="2D76AA80"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В основному Компанія будує</w:t>
            </w:r>
            <w:r w:rsidR="00281164" w:rsidRPr="00356F5B">
              <w:rPr>
                <w:color w:val="000000"/>
                <w:sz w:val="28"/>
                <w:szCs w:val="28"/>
              </w:rPr>
              <w:t xml:space="preserve"> </w:t>
            </w:r>
            <w:r w:rsidR="00281164" w:rsidRPr="00356F5B">
              <w:rPr>
                <w:sz w:val="28"/>
                <w:szCs w:val="28"/>
              </w:rPr>
              <w:t>об’єкти</w:t>
            </w:r>
            <w:r w:rsidRPr="00356F5B">
              <w:rPr>
                <w:color w:val="000000"/>
                <w:sz w:val="28"/>
                <w:szCs w:val="28"/>
              </w:rPr>
              <w:t xml:space="preserve"> економ</w:t>
            </w:r>
            <w:r w:rsidR="00DA552D" w:rsidRPr="00356F5B">
              <w:rPr>
                <w:color w:val="000000"/>
                <w:sz w:val="28"/>
                <w:szCs w:val="28"/>
              </w:rPr>
              <w:t>-</w:t>
            </w:r>
            <w:r w:rsidRPr="00356F5B">
              <w:rPr>
                <w:color w:val="000000"/>
                <w:sz w:val="28"/>
                <w:szCs w:val="28"/>
              </w:rPr>
              <w:t xml:space="preserve"> та </w:t>
            </w:r>
            <w:proofErr w:type="spellStart"/>
            <w:r w:rsidRPr="00356F5B">
              <w:rPr>
                <w:color w:val="000000"/>
                <w:sz w:val="28"/>
                <w:szCs w:val="28"/>
              </w:rPr>
              <w:t>комфортклас</w:t>
            </w:r>
            <w:r w:rsidR="00281164" w:rsidRPr="00356F5B">
              <w:rPr>
                <w:color w:val="000000"/>
                <w:sz w:val="28"/>
                <w:szCs w:val="28"/>
              </w:rPr>
              <w:t>у</w:t>
            </w:r>
            <w:proofErr w:type="spellEnd"/>
            <w:r w:rsidRPr="00356F5B">
              <w:rPr>
                <w:color w:val="000000"/>
                <w:sz w:val="28"/>
                <w:szCs w:val="28"/>
              </w:rPr>
              <w:t xml:space="preserve">, що характеризуються низькою </w:t>
            </w:r>
            <w:proofErr w:type="spellStart"/>
            <w:r w:rsidRPr="00356F5B">
              <w:rPr>
                <w:color w:val="000000"/>
                <w:sz w:val="28"/>
                <w:szCs w:val="28"/>
              </w:rPr>
              <w:t>маржинальністю</w:t>
            </w:r>
            <w:proofErr w:type="spellEnd"/>
            <w:r w:rsidRPr="00356F5B">
              <w:rPr>
                <w:color w:val="000000"/>
                <w:sz w:val="28"/>
                <w:szCs w:val="28"/>
              </w:rPr>
              <w:t>.</w:t>
            </w:r>
          </w:p>
          <w:p w14:paraId="60A5AC4A" w14:textId="696CA75D" w:rsidR="00B153DC" w:rsidRPr="00356F5B" w:rsidRDefault="00281164">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Виходячи з </w:t>
            </w:r>
            <w:r w:rsidR="00FF2428" w:rsidRPr="00356F5B">
              <w:rPr>
                <w:color w:val="000000"/>
                <w:sz w:val="28"/>
                <w:szCs w:val="28"/>
              </w:rPr>
              <w:t xml:space="preserve">аналізу продажів Компанії, договорів та </w:t>
            </w:r>
            <w:r w:rsidR="00FF2428" w:rsidRPr="00356F5B">
              <w:rPr>
                <w:color w:val="000000"/>
                <w:sz w:val="28"/>
                <w:szCs w:val="28"/>
              </w:rPr>
              <w:lastRenderedPageBreak/>
              <w:t xml:space="preserve">коментарів менеджменту Компанія здійснює реалізацію нерухомості за </w:t>
            </w:r>
            <w:proofErr w:type="spellStart"/>
            <w:r w:rsidR="00FF2428" w:rsidRPr="00356F5B">
              <w:rPr>
                <w:color w:val="000000"/>
                <w:sz w:val="28"/>
                <w:szCs w:val="28"/>
              </w:rPr>
              <w:t>середньоринковими</w:t>
            </w:r>
            <w:proofErr w:type="spellEnd"/>
            <w:r w:rsidR="00FF2428" w:rsidRPr="00356F5B">
              <w:rPr>
                <w:color w:val="000000"/>
                <w:sz w:val="28"/>
                <w:szCs w:val="28"/>
              </w:rPr>
              <w:t xml:space="preserve"> цінами. Втім</w:t>
            </w:r>
            <w:r w:rsidR="00DA552D" w:rsidRPr="00356F5B">
              <w:rPr>
                <w:color w:val="000000"/>
                <w:sz w:val="28"/>
                <w:szCs w:val="28"/>
              </w:rPr>
              <w:t>,</w:t>
            </w:r>
            <w:r w:rsidR="00FF2428" w:rsidRPr="00356F5B">
              <w:rPr>
                <w:color w:val="000000"/>
                <w:sz w:val="28"/>
                <w:szCs w:val="28"/>
              </w:rPr>
              <w:t xml:space="preserve"> у деяких випадках у продажах застосовується певна система дисконтів від стандартного внутрішнього </w:t>
            </w:r>
            <w:proofErr w:type="spellStart"/>
            <w:r w:rsidR="00FF2428" w:rsidRPr="00356F5B">
              <w:rPr>
                <w:color w:val="000000"/>
                <w:sz w:val="28"/>
                <w:szCs w:val="28"/>
              </w:rPr>
              <w:t>прайслиста</w:t>
            </w:r>
            <w:proofErr w:type="spellEnd"/>
            <w:r w:rsidR="00FF2428" w:rsidRPr="00356F5B">
              <w:rPr>
                <w:color w:val="000000"/>
                <w:sz w:val="28"/>
                <w:szCs w:val="28"/>
              </w:rPr>
              <w:t>, в залежності від конкретної ситуації та складають 2-5%. Індивідуальні умови можливі, але вони не мають масового характеру.</w:t>
            </w:r>
          </w:p>
          <w:p w14:paraId="4ECF8AFE" w14:textId="570E71AE" w:rsidR="00B153DC" w:rsidRPr="00356F5B" w:rsidRDefault="00FF2428" w:rsidP="00281164">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Відповідно до проведеного дослідження цінових показників по тридцяти </w:t>
            </w:r>
            <w:r w:rsidR="00281164" w:rsidRPr="00356F5B">
              <w:rPr>
                <w:color w:val="000000"/>
                <w:sz w:val="28"/>
                <w:szCs w:val="28"/>
              </w:rPr>
              <w:t>об’єктах</w:t>
            </w:r>
            <w:r w:rsidRPr="00356F5B">
              <w:rPr>
                <w:color w:val="000000"/>
                <w:sz w:val="28"/>
                <w:szCs w:val="28"/>
              </w:rPr>
              <w:t xml:space="preserve"> забудови </w:t>
            </w:r>
            <w:r w:rsidR="00281164" w:rsidRPr="00356F5B">
              <w:rPr>
                <w:color w:val="000000"/>
                <w:sz w:val="28"/>
                <w:szCs w:val="28"/>
              </w:rPr>
              <w:t>Компанії</w:t>
            </w:r>
            <w:r w:rsidRPr="00356F5B">
              <w:rPr>
                <w:color w:val="000000"/>
                <w:sz w:val="28"/>
                <w:szCs w:val="28"/>
              </w:rPr>
              <w:t xml:space="preserve"> відповідають діапазону середньо - ринкових цін, а по 2 </w:t>
            </w:r>
            <w:r w:rsidR="00281164" w:rsidRPr="00356F5B">
              <w:rPr>
                <w:color w:val="000000"/>
                <w:sz w:val="28"/>
                <w:szCs w:val="28"/>
              </w:rPr>
              <w:t>об’єктах</w:t>
            </w:r>
            <w:r w:rsidRPr="00356F5B">
              <w:rPr>
                <w:color w:val="000000"/>
                <w:sz w:val="28"/>
                <w:szCs w:val="28"/>
              </w:rPr>
              <w:t xml:space="preserve"> цінові показники перевищують їх рівень.</w:t>
            </w:r>
          </w:p>
        </w:tc>
      </w:tr>
      <w:tr w:rsidR="00B153DC" w:rsidRPr="00356F5B" w14:paraId="2DDE61CF" w14:textId="77777777" w:rsidTr="00191F58">
        <w:tc>
          <w:tcPr>
            <w:tcW w:w="2895" w:type="dxa"/>
          </w:tcPr>
          <w:p w14:paraId="1C1B9AF5"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lastRenderedPageBreak/>
              <w:t>Інша операційна діяльність</w:t>
            </w:r>
          </w:p>
        </w:tc>
        <w:tc>
          <w:tcPr>
            <w:tcW w:w="6739" w:type="dxa"/>
          </w:tcPr>
          <w:p w14:paraId="6A147521" w14:textId="6B4C9FFA" w:rsidR="00B153DC" w:rsidRPr="00356F5B" w:rsidRDefault="00FF2428" w:rsidP="00486D16">
            <w:pPr>
              <w:pStyle w:val="ad"/>
              <w:widowControl w:val="0"/>
              <w:shd w:val="clear" w:color="auto" w:fill="FFFFFF"/>
              <w:spacing w:beforeAutospacing="0" w:afterAutospacing="0"/>
              <w:jc w:val="both"/>
              <w:rPr>
                <w:color w:val="000000"/>
                <w:sz w:val="28"/>
                <w:szCs w:val="28"/>
              </w:rPr>
            </w:pPr>
            <w:r w:rsidRPr="00356F5B">
              <w:rPr>
                <w:color w:val="000000"/>
                <w:sz w:val="28"/>
                <w:szCs w:val="28"/>
              </w:rPr>
              <w:t>Компанія взяла на себе додаткові зобов’язання з добудови про</w:t>
            </w:r>
            <w:r w:rsidR="00281164" w:rsidRPr="00356F5B">
              <w:rPr>
                <w:color w:val="000000"/>
                <w:sz w:val="28"/>
                <w:szCs w:val="28"/>
              </w:rPr>
              <w:t>є</w:t>
            </w:r>
            <w:r w:rsidRPr="00356F5B">
              <w:rPr>
                <w:color w:val="000000"/>
                <w:sz w:val="28"/>
                <w:szCs w:val="28"/>
              </w:rPr>
              <w:t>ктів, які первинний забудовник не зміг побудувати. Понесені витрати формують</w:t>
            </w:r>
            <w:r w:rsidR="00486D16" w:rsidRPr="00356F5B">
              <w:rPr>
                <w:color w:val="000000"/>
                <w:sz w:val="28"/>
                <w:szCs w:val="28"/>
              </w:rPr>
              <w:t>, у</w:t>
            </w:r>
            <w:r w:rsidRPr="00356F5B">
              <w:rPr>
                <w:color w:val="000000"/>
                <w:sz w:val="28"/>
                <w:szCs w:val="28"/>
              </w:rPr>
              <w:t xml:space="preserve"> тому числі і інші операційні витрати, а виручка від реалізації додатково отриманих площ формує операційні доходи. Діяльність має значний вплив на кінцевий фінансовий результат Компанії, що прослідковується в 2022 ро</w:t>
            </w:r>
            <w:r w:rsidR="00486D16" w:rsidRPr="00356F5B">
              <w:rPr>
                <w:color w:val="000000"/>
                <w:sz w:val="28"/>
                <w:szCs w:val="28"/>
              </w:rPr>
              <w:t>ці</w:t>
            </w:r>
            <w:r w:rsidRPr="00356F5B">
              <w:rPr>
                <w:color w:val="000000"/>
                <w:sz w:val="28"/>
                <w:szCs w:val="28"/>
              </w:rPr>
              <w:t>. Збиток у 54 млн грн у 2022 році також зумовлений недоотриманням інших операційних доходів в порівняні з 2021 роком через поточну ситуацію на ринку нерухомості та значним зниженням рівня продажу в 2022 році. Проте інші витрати залишились відносно сталими: у 2021 році – 225</w:t>
            </w:r>
            <w:r w:rsidR="00281164" w:rsidRPr="00356F5B">
              <w:rPr>
                <w:color w:val="000000"/>
                <w:sz w:val="28"/>
                <w:szCs w:val="28"/>
              </w:rPr>
              <w:t> </w:t>
            </w:r>
            <w:r w:rsidRPr="00356F5B">
              <w:rPr>
                <w:color w:val="000000"/>
                <w:sz w:val="28"/>
                <w:szCs w:val="28"/>
              </w:rPr>
              <w:t xml:space="preserve"> млн</w:t>
            </w:r>
            <w:r w:rsidR="00281164" w:rsidRPr="00356F5B">
              <w:rPr>
                <w:color w:val="000000"/>
                <w:sz w:val="28"/>
                <w:szCs w:val="28"/>
              </w:rPr>
              <w:t> </w:t>
            </w:r>
            <w:r w:rsidRPr="00356F5B">
              <w:rPr>
                <w:color w:val="000000"/>
                <w:sz w:val="28"/>
                <w:szCs w:val="28"/>
              </w:rPr>
              <w:t xml:space="preserve"> грн, у 2022 році – 201 млн грн. Оскільки Компанія продовжила виконувати свої зобов’язання щодо будівництва об’єктів</w:t>
            </w:r>
            <w:r w:rsidR="00486D16" w:rsidRPr="00356F5B">
              <w:rPr>
                <w:color w:val="000000"/>
                <w:sz w:val="28"/>
                <w:szCs w:val="28"/>
              </w:rPr>
              <w:t>.</w:t>
            </w:r>
            <w:r w:rsidRPr="00356F5B">
              <w:rPr>
                <w:color w:val="000000"/>
                <w:sz w:val="28"/>
                <w:szCs w:val="28"/>
              </w:rPr>
              <w:t xml:space="preserve"> </w:t>
            </w:r>
          </w:p>
        </w:tc>
      </w:tr>
      <w:tr w:rsidR="00B153DC" w:rsidRPr="00356F5B" w14:paraId="45BE1484" w14:textId="77777777" w:rsidTr="00191F58">
        <w:tc>
          <w:tcPr>
            <w:tcW w:w="2895" w:type="dxa"/>
          </w:tcPr>
          <w:p w14:paraId="475B0E7A"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 xml:space="preserve">Нетипові операції </w:t>
            </w:r>
          </w:p>
        </w:tc>
        <w:tc>
          <w:tcPr>
            <w:tcW w:w="6739" w:type="dxa"/>
          </w:tcPr>
          <w:p w14:paraId="0B4734B7" w14:textId="6690F215" w:rsidR="00B153DC" w:rsidRPr="00356F5B" w:rsidRDefault="00FF2428" w:rsidP="00DE4056">
            <w:pPr>
              <w:pStyle w:val="ad"/>
              <w:widowControl w:val="0"/>
              <w:shd w:val="clear" w:color="auto" w:fill="FFFFFF"/>
              <w:spacing w:beforeAutospacing="0" w:afterAutospacing="0"/>
              <w:jc w:val="both"/>
              <w:rPr>
                <w:color w:val="000000"/>
                <w:sz w:val="28"/>
                <w:szCs w:val="28"/>
              </w:rPr>
            </w:pPr>
            <w:r w:rsidRPr="00356F5B">
              <w:rPr>
                <w:color w:val="000000"/>
                <w:sz w:val="28"/>
                <w:szCs w:val="28"/>
                <w:shd w:val="clear" w:color="auto" w:fill="FFFFFF"/>
              </w:rPr>
              <w:t xml:space="preserve">До нетипових операцій за суттєвістю у 2021-2022 році відносяться операції про списанню необоротних активів на 103,8 млн грн за результатами проведеної інвентаризації внаслідок визнання витратами операційного періоду суми капіталовкладень в будівництво та підключення зданих </w:t>
            </w:r>
            <w:r w:rsidR="00DE4056" w:rsidRPr="00356F5B">
              <w:rPr>
                <w:color w:val="000000"/>
                <w:sz w:val="28"/>
                <w:szCs w:val="28"/>
                <w:shd w:val="clear" w:color="auto" w:fill="FFFFFF"/>
              </w:rPr>
              <w:t>об’єктів</w:t>
            </w:r>
            <w:r w:rsidRPr="00356F5B">
              <w:rPr>
                <w:color w:val="000000"/>
                <w:sz w:val="28"/>
                <w:szCs w:val="28"/>
                <w:shd w:val="clear" w:color="auto" w:fill="FFFFFF"/>
              </w:rPr>
              <w:t xml:space="preserve"> до існуючих або споруджених мереж, а також перерахування грошових коштів у розмірі 15 млн грн на підтримку ЗСУ.</w:t>
            </w:r>
          </w:p>
        </w:tc>
      </w:tr>
      <w:tr w:rsidR="00B153DC" w:rsidRPr="00356F5B" w14:paraId="3DCAF432" w14:textId="77777777" w:rsidTr="00191F58">
        <w:tc>
          <w:tcPr>
            <w:tcW w:w="2895" w:type="dxa"/>
          </w:tcPr>
          <w:p w14:paraId="2825E319" w14:textId="4FB5519A" w:rsidR="00B153DC" w:rsidRPr="00356F5B" w:rsidRDefault="00FF2428">
            <w:pPr>
              <w:widowControl w:val="0"/>
              <w:jc w:val="both"/>
              <w:rPr>
                <w:rFonts w:ascii="Times New Roman" w:hAnsi="Times New Roman" w:cs="Times New Roman"/>
                <w:sz w:val="28"/>
                <w:szCs w:val="28"/>
                <w:shd w:val="clear" w:color="auto" w:fill="FFFFFF"/>
              </w:rPr>
            </w:pPr>
            <w:proofErr w:type="spellStart"/>
            <w:r w:rsidRPr="00356F5B">
              <w:rPr>
                <w:rFonts w:ascii="Times New Roman" w:eastAsia="Calibri" w:hAnsi="Times New Roman" w:cs="Times New Roman"/>
                <w:sz w:val="28"/>
                <w:szCs w:val="28"/>
                <w:shd w:val="clear" w:color="auto" w:fill="FFFFFF"/>
              </w:rPr>
              <w:t>Проєкти</w:t>
            </w:r>
            <w:proofErr w:type="spellEnd"/>
            <w:r w:rsidRPr="00356F5B">
              <w:rPr>
                <w:rFonts w:ascii="Times New Roman" w:eastAsia="Calibri" w:hAnsi="Times New Roman" w:cs="Times New Roman"/>
                <w:sz w:val="28"/>
                <w:szCs w:val="28"/>
                <w:shd w:val="clear" w:color="auto" w:fill="FFFFFF"/>
              </w:rPr>
              <w:t xml:space="preserve"> </w:t>
            </w:r>
            <w:r w:rsidR="00DE4056" w:rsidRPr="00356F5B">
              <w:rPr>
                <w:rFonts w:ascii="Times New Roman" w:hAnsi="Times New Roman" w:cs="Times New Roman"/>
                <w:color w:val="000000"/>
                <w:sz w:val="28"/>
                <w:szCs w:val="28"/>
                <w:shd w:val="clear" w:color="auto" w:fill="FFFFFF"/>
              </w:rPr>
              <w:t>УДБК </w:t>
            </w:r>
            <w:r w:rsidR="00DE4056" w:rsidRPr="00356F5B">
              <w:rPr>
                <w:rFonts w:ascii="Times New Roman" w:eastAsia="Calibri" w:hAnsi="Times New Roman" w:cs="Times New Roman"/>
                <w:sz w:val="28"/>
                <w:szCs w:val="28"/>
                <w:shd w:val="clear" w:color="auto" w:fill="FFFFFF"/>
              </w:rPr>
              <w:t xml:space="preserve"> </w:t>
            </w:r>
            <w:r w:rsidRPr="00356F5B">
              <w:rPr>
                <w:rFonts w:ascii="Times New Roman" w:eastAsia="Calibri" w:hAnsi="Times New Roman" w:cs="Times New Roman"/>
                <w:sz w:val="28"/>
                <w:szCs w:val="28"/>
                <w:shd w:val="clear" w:color="auto" w:fill="FFFFFF"/>
              </w:rPr>
              <w:t>«</w:t>
            </w:r>
            <w:proofErr w:type="spellStart"/>
            <w:r w:rsidRPr="00356F5B">
              <w:rPr>
                <w:rFonts w:ascii="Times New Roman" w:eastAsia="Calibri" w:hAnsi="Times New Roman" w:cs="Times New Roman"/>
                <w:sz w:val="28"/>
                <w:szCs w:val="28"/>
                <w:shd w:val="clear" w:color="auto" w:fill="FFFFFF"/>
              </w:rPr>
              <w:t>Укрбуд</w:t>
            </w:r>
            <w:proofErr w:type="spellEnd"/>
            <w:r w:rsidRPr="00356F5B">
              <w:rPr>
                <w:rFonts w:ascii="Times New Roman" w:eastAsia="Calibri" w:hAnsi="Times New Roman" w:cs="Times New Roman"/>
                <w:sz w:val="28"/>
                <w:szCs w:val="28"/>
                <w:shd w:val="clear" w:color="auto" w:fill="FFFFFF"/>
              </w:rPr>
              <w:t>»</w:t>
            </w:r>
          </w:p>
        </w:tc>
        <w:tc>
          <w:tcPr>
            <w:tcW w:w="6739" w:type="dxa"/>
          </w:tcPr>
          <w:p w14:paraId="5085F313" w14:textId="0C9809C0" w:rsidR="00B153DC" w:rsidRPr="00356F5B" w:rsidRDefault="00FF2428" w:rsidP="00486D16">
            <w:pPr>
              <w:pStyle w:val="ad"/>
              <w:widowControl w:val="0"/>
              <w:shd w:val="clear" w:color="auto" w:fill="FFFFFF"/>
              <w:spacing w:beforeAutospacing="0" w:afterAutospacing="0"/>
              <w:jc w:val="both"/>
              <w:rPr>
                <w:color w:val="000000"/>
                <w:sz w:val="28"/>
                <w:szCs w:val="28"/>
                <w:shd w:val="clear" w:color="auto" w:fill="FFFFFF"/>
              </w:rPr>
            </w:pPr>
            <w:r w:rsidRPr="00356F5B">
              <w:rPr>
                <w:color w:val="000000"/>
                <w:sz w:val="28"/>
                <w:szCs w:val="28"/>
                <w:shd w:val="clear" w:color="auto" w:fill="FFFFFF"/>
              </w:rPr>
              <w:t xml:space="preserve">У 2020 році Компанія взяла на себе </w:t>
            </w:r>
            <w:r w:rsidR="00DE4056" w:rsidRPr="00356F5B">
              <w:rPr>
                <w:color w:val="000000"/>
                <w:sz w:val="28"/>
                <w:szCs w:val="28"/>
                <w:shd w:val="clear" w:color="auto" w:fill="FFFFFF"/>
              </w:rPr>
              <w:t>зобов’язання</w:t>
            </w:r>
            <w:r w:rsidRPr="00356F5B">
              <w:rPr>
                <w:color w:val="000000"/>
                <w:sz w:val="28"/>
                <w:szCs w:val="28"/>
                <w:shd w:val="clear" w:color="auto" w:fill="FFFFFF"/>
              </w:rPr>
              <w:t xml:space="preserve"> з добудови </w:t>
            </w:r>
            <w:r w:rsidR="00DE4056" w:rsidRPr="00356F5B">
              <w:rPr>
                <w:color w:val="000000"/>
                <w:sz w:val="28"/>
                <w:szCs w:val="28"/>
                <w:shd w:val="clear" w:color="auto" w:fill="FFFFFF"/>
              </w:rPr>
              <w:t>об’єктів</w:t>
            </w:r>
            <w:r w:rsidRPr="00356F5B">
              <w:rPr>
                <w:color w:val="000000"/>
                <w:sz w:val="28"/>
                <w:szCs w:val="28"/>
                <w:shd w:val="clear" w:color="auto" w:fill="FFFFFF"/>
              </w:rPr>
              <w:t xml:space="preserve"> </w:t>
            </w:r>
            <w:r w:rsidR="00DE4056" w:rsidRPr="00356F5B">
              <w:rPr>
                <w:color w:val="000000"/>
                <w:sz w:val="28"/>
                <w:szCs w:val="28"/>
                <w:shd w:val="clear" w:color="auto" w:fill="FFFFFF"/>
              </w:rPr>
              <w:t xml:space="preserve">УДБК </w:t>
            </w:r>
            <w:r w:rsidRPr="00356F5B">
              <w:rPr>
                <w:color w:val="000000"/>
                <w:sz w:val="28"/>
                <w:szCs w:val="28"/>
                <w:shd w:val="clear" w:color="auto" w:fill="FFFFFF"/>
              </w:rPr>
              <w:t>«</w:t>
            </w:r>
            <w:proofErr w:type="spellStart"/>
            <w:r w:rsidRPr="00356F5B">
              <w:rPr>
                <w:color w:val="000000"/>
                <w:sz w:val="28"/>
                <w:szCs w:val="28"/>
                <w:shd w:val="clear" w:color="auto" w:fill="FFFFFF"/>
              </w:rPr>
              <w:t>Укрбуд</w:t>
            </w:r>
            <w:proofErr w:type="spellEnd"/>
            <w:r w:rsidRPr="00356F5B">
              <w:rPr>
                <w:color w:val="000000"/>
                <w:sz w:val="28"/>
                <w:szCs w:val="28"/>
                <w:shd w:val="clear" w:color="auto" w:fill="FFFFFF"/>
              </w:rPr>
              <w:t>». Про</w:t>
            </w:r>
            <w:r w:rsidR="00DE4056" w:rsidRPr="00356F5B">
              <w:rPr>
                <w:color w:val="000000"/>
                <w:sz w:val="28"/>
                <w:szCs w:val="28"/>
                <w:shd w:val="clear" w:color="auto" w:fill="FFFFFF"/>
              </w:rPr>
              <w:t>є</w:t>
            </w:r>
            <w:r w:rsidRPr="00356F5B">
              <w:rPr>
                <w:color w:val="000000"/>
                <w:sz w:val="28"/>
                <w:szCs w:val="28"/>
                <w:shd w:val="clear" w:color="auto" w:fill="FFFFFF"/>
              </w:rPr>
              <w:t xml:space="preserve">кт добудови розглядається Компанією не як окремо взяті </w:t>
            </w:r>
            <w:proofErr w:type="spellStart"/>
            <w:r w:rsidRPr="00356F5B">
              <w:rPr>
                <w:color w:val="000000"/>
                <w:sz w:val="28"/>
                <w:szCs w:val="28"/>
                <w:shd w:val="clear" w:color="auto" w:fill="FFFFFF"/>
              </w:rPr>
              <w:t>про</w:t>
            </w:r>
            <w:r w:rsidR="00DE4056" w:rsidRPr="00356F5B">
              <w:rPr>
                <w:color w:val="000000"/>
                <w:sz w:val="28"/>
                <w:szCs w:val="28"/>
                <w:shd w:val="clear" w:color="auto" w:fill="FFFFFF"/>
              </w:rPr>
              <w:t>є</w:t>
            </w:r>
            <w:r w:rsidRPr="00356F5B">
              <w:rPr>
                <w:color w:val="000000"/>
                <w:sz w:val="28"/>
                <w:szCs w:val="28"/>
                <w:shd w:val="clear" w:color="auto" w:fill="FFFFFF"/>
              </w:rPr>
              <w:t>кти</w:t>
            </w:r>
            <w:proofErr w:type="spellEnd"/>
            <w:r w:rsidRPr="00356F5B">
              <w:rPr>
                <w:color w:val="000000"/>
                <w:sz w:val="28"/>
                <w:szCs w:val="28"/>
                <w:shd w:val="clear" w:color="auto" w:fill="FFFFFF"/>
              </w:rPr>
              <w:t>, а будівельний про</w:t>
            </w:r>
            <w:r w:rsidR="00DE4056" w:rsidRPr="00356F5B">
              <w:rPr>
                <w:color w:val="000000"/>
                <w:sz w:val="28"/>
                <w:szCs w:val="28"/>
                <w:shd w:val="clear" w:color="auto" w:fill="FFFFFF"/>
              </w:rPr>
              <w:t>є</w:t>
            </w:r>
            <w:r w:rsidRPr="00356F5B">
              <w:rPr>
                <w:color w:val="000000"/>
                <w:sz w:val="28"/>
                <w:szCs w:val="28"/>
                <w:shd w:val="clear" w:color="auto" w:fill="FFFFFF"/>
              </w:rPr>
              <w:t xml:space="preserve">кт в цілому, що складається із 18 </w:t>
            </w:r>
            <w:r w:rsidR="00DE4056" w:rsidRPr="00356F5B">
              <w:rPr>
                <w:color w:val="000000"/>
                <w:sz w:val="28"/>
                <w:szCs w:val="28"/>
                <w:shd w:val="clear" w:color="auto" w:fill="FFFFFF"/>
              </w:rPr>
              <w:t>об’єктів</w:t>
            </w:r>
            <w:r w:rsidRPr="00356F5B">
              <w:rPr>
                <w:color w:val="000000"/>
                <w:sz w:val="28"/>
                <w:szCs w:val="28"/>
                <w:shd w:val="clear" w:color="auto" w:fill="FFFFFF"/>
              </w:rPr>
              <w:t xml:space="preserve"> будівництва. Про</w:t>
            </w:r>
            <w:r w:rsidR="00DE4056" w:rsidRPr="00356F5B">
              <w:rPr>
                <w:color w:val="000000"/>
                <w:sz w:val="28"/>
                <w:szCs w:val="28"/>
                <w:shd w:val="clear" w:color="auto" w:fill="FFFFFF"/>
              </w:rPr>
              <w:t>є</w:t>
            </w:r>
            <w:r w:rsidRPr="00356F5B">
              <w:rPr>
                <w:color w:val="000000"/>
                <w:sz w:val="28"/>
                <w:szCs w:val="28"/>
                <w:shd w:val="clear" w:color="auto" w:fill="FFFFFF"/>
              </w:rPr>
              <w:t xml:space="preserve">кт передбачав отримання доходу за рахунок отримання додаткових площ. Прибуток та збиток від окремо реалізованих </w:t>
            </w:r>
            <w:r w:rsidR="00DE4056" w:rsidRPr="00356F5B">
              <w:rPr>
                <w:color w:val="000000"/>
                <w:sz w:val="28"/>
                <w:szCs w:val="28"/>
                <w:shd w:val="clear" w:color="auto" w:fill="FFFFFF"/>
              </w:rPr>
              <w:t>об’єктів</w:t>
            </w:r>
            <w:r w:rsidRPr="00356F5B">
              <w:rPr>
                <w:color w:val="000000"/>
                <w:sz w:val="28"/>
                <w:szCs w:val="28"/>
                <w:shd w:val="clear" w:color="auto" w:fill="FFFFFF"/>
              </w:rPr>
              <w:t xml:space="preserve"> також Компанією розглядається як результат реалізації про</w:t>
            </w:r>
            <w:r w:rsidR="00DE4056" w:rsidRPr="00356F5B">
              <w:rPr>
                <w:color w:val="000000"/>
                <w:sz w:val="28"/>
                <w:szCs w:val="28"/>
                <w:shd w:val="clear" w:color="auto" w:fill="FFFFFF"/>
              </w:rPr>
              <w:t>є</w:t>
            </w:r>
            <w:r w:rsidRPr="00356F5B">
              <w:rPr>
                <w:color w:val="000000"/>
                <w:sz w:val="28"/>
                <w:szCs w:val="28"/>
                <w:shd w:val="clear" w:color="auto" w:fill="FFFFFF"/>
              </w:rPr>
              <w:t xml:space="preserve">кту в цілому. Залишок нереалізованих </w:t>
            </w:r>
            <w:r w:rsidRPr="00356F5B">
              <w:rPr>
                <w:color w:val="000000"/>
                <w:sz w:val="28"/>
                <w:szCs w:val="28"/>
                <w:shd w:val="clear" w:color="auto" w:fill="FFFFFF"/>
              </w:rPr>
              <w:lastRenderedPageBreak/>
              <w:t xml:space="preserve">площ станом на 30.06.2023 року складає 42 777 </w:t>
            </w:r>
            <w:proofErr w:type="spellStart"/>
            <w:r w:rsidRPr="00356F5B">
              <w:rPr>
                <w:color w:val="000000"/>
                <w:sz w:val="28"/>
                <w:szCs w:val="28"/>
                <w:shd w:val="clear" w:color="auto" w:fill="FFFFFF"/>
              </w:rPr>
              <w:t>кв.м</w:t>
            </w:r>
            <w:proofErr w:type="spellEnd"/>
            <w:r w:rsidRPr="00356F5B">
              <w:rPr>
                <w:color w:val="000000"/>
                <w:sz w:val="28"/>
                <w:szCs w:val="28"/>
                <w:shd w:val="clear" w:color="auto" w:fill="FFFFFF"/>
              </w:rPr>
              <w:t xml:space="preserve"> житлової і комерційної площі та 395 </w:t>
            </w:r>
            <w:proofErr w:type="spellStart"/>
            <w:r w:rsidRPr="00356F5B">
              <w:rPr>
                <w:color w:val="000000"/>
                <w:sz w:val="28"/>
                <w:szCs w:val="28"/>
                <w:shd w:val="clear" w:color="auto" w:fill="FFFFFF"/>
              </w:rPr>
              <w:t>машиномісць</w:t>
            </w:r>
            <w:proofErr w:type="spellEnd"/>
            <w:r w:rsidRPr="00356F5B">
              <w:rPr>
                <w:color w:val="000000"/>
                <w:sz w:val="28"/>
                <w:szCs w:val="28"/>
                <w:shd w:val="clear" w:color="auto" w:fill="FFFFFF"/>
              </w:rPr>
              <w:t xml:space="preserve">. Сумарний запланований збиток з урахуванням поточних ринкових цін по </w:t>
            </w:r>
            <w:proofErr w:type="spellStart"/>
            <w:r w:rsidRPr="00356F5B">
              <w:rPr>
                <w:color w:val="000000"/>
                <w:sz w:val="28"/>
                <w:szCs w:val="28"/>
                <w:shd w:val="clear" w:color="auto" w:fill="FFFFFF"/>
              </w:rPr>
              <w:t>проєктам</w:t>
            </w:r>
            <w:proofErr w:type="spellEnd"/>
            <w:r w:rsidR="00DE4056" w:rsidRPr="00356F5B">
              <w:rPr>
                <w:color w:val="000000"/>
                <w:sz w:val="28"/>
                <w:szCs w:val="28"/>
                <w:shd w:val="clear" w:color="auto" w:fill="FFFFFF"/>
              </w:rPr>
              <w:t xml:space="preserve"> УДБК </w:t>
            </w:r>
            <w:r w:rsidRPr="00356F5B">
              <w:rPr>
                <w:color w:val="000000"/>
                <w:sz w:val="28"/>
                <w:szCs w:val="28"/>
                <w:shd w:val="clear" w:color="auto" w:fill="FFFFFF"/>
              </w:rPr>
              <w:t xml:space="preserve"> </w:t>
            </w:r>
            <w:r w:rsidR="00DE4056" w:rsidRPr="00356F5B">
              <w:rPr>
                <w:color w:val="000000"/>
                <w:sz w:val="28"/>
                <w:szCs w:val="28"/>
                <w:shd w:val="clear" w:color="auto" w:fill="FFFFFF"/>
              </w:rPr>
              <w:t>«</w:t>
            </w:r>
            <w:proofErr w:type="spellStart"/>
            <w:r w:rsidRPr="00356F5B">
              <w:rPr>
                <w:color w:val="000000"/>
                <w:sz w:val="28"/>
                <w:szCs w:val="28"/>
                <w:shd w:val="clear" w:color="auto" w:fill="FFFFFF"/>
              </w:rPr>
              <w:t>Укрбуд</w:t>
            </w:r>
            <w:proofErr w:type="spellEnd"/>
            <w:r w:rsidR="00DE4056" w:rsidRPr="00356F5B">
              <w:rPr>
                <w:color w:val="000000"/>
                <w:sz w:val="28"/>
                <w:szCs w:val="28"/>
                <w:shd w:val="clear" w:color="auto" w:fill="FFFFFF"/>
              </w:rPr>
              <w:t>»</w:t>
            </w:r>
            <w:r w:rsidRPr="00356F5B">
              <w:rPr>
                <w:color w:val="000000"/>
                <w:sz w:val="28"/>
                <w:szCs w:val="28"/>
                <w:shd w:val="clear" w:color="auto" w:fill="FFFFFF"/>
              </w:rPr>
              <w:t xml:space="preserve"> складає 2,28 млрд грн.</w:t>
            </w:r>
          </w:p>
        </w:tc>
      </w:tr>
      <w:tr w:rsidR="00B153DC" w:rsidRPr="00356F5B" w14:paraId="69CB5D4E" w14:textId="77777777" w:rsidTr="00191F58">
        <w:tc>
          <w:tcPr>
            <w:tcW w:w="2895" w:type="dxa"/>
          </w:tcPr>
          <w:p w14:paraId="2E070944"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lastRenderedPageBreak/>
              <w:t>Активи</w:t>
            </w:r>
          </w:p>
        </w:tc>
        <w:tc>
          <w:tcPr>
            <w:tcW w:w="6739" w:type="dxa"/>
          </w:tcPr>
          <w:p w14:paraId="5EFB4D25" w14:textId="7A678BBA" w:rsidR="00B153DC" w:rsidRPr="00356F5B" w:rsidRDefault="00FF2428">
            <w:pPr>
              <w:pStyle w:val="ad"/>
              <w:widowControl w:val="0"/>
              <w:shd w:val="clear" w:color="auto" w:fill="FFFFFF"/>
              <w:spacing w:beforeAutospacing="0" w:afterAutospacing="0"/>
              <w:jc w:val="both"/>
              <w:rPr>
                <w:color w:val="000000"/>
                <w:sz w:val="28"/>
                <w:szCs w:val="28"/>
                <w:shd w:val="clear" w:color="auto" w:fill="FFFFFF"/>
              </w:rPr>
            </w:pPr>
            <w:r w:rsidRPr="00356F5B">
              <w:rPr>
                <w:color w:val="000000"/>
                <w:sz w:val="28"/>
                <w:szCs w:val="28"/>
                <w:shd w:val="clear" w:color="auto" w:fill="FFFFFF"/>
              </w:rPr>
              <w:t>При дослідженні регістрів обліку та первинних документів обліку, фактів безпідставного виведення та списання активів не виявлено</w:t>
            </w:r>
            <w:r w:rsidR="00DE4056" w:rsidRPr="00356F5B">
              <w:rPr>
                <w:color w:val="000000"/>
                <w:sz w:val="28"/>
                <w:szCs w:val="28"/>
                <w:shd w:val="clear" w:color="auto" w:fill="FFFFFF"/>
              </w:rPr>
              <w:t>.</w:t>
            </w:r>
            <w:r w:rsidRPr="00356F5B">
              <w:rPr>
                <w:color w:val="000000"/>
                <w:sz w:val="28"/>
                <w:szCs w:val="28"/>
                <w:shd w:val="clear" w:color="auto" w:fill="FFFFFF"/>
              </w:rPr>
              <w:t xml:space="preserve">  </w:t>
            </w:r>
          </w:p>
        </w:tc>
      </w:tr>
      <w:tr w:rsidR="00B153DC" w:rsidRPr="00356F5B" w14:paraId="579DB7E0" w14:textId="77777777" w:rsidTr="00191F58">
        <w:tc>
          <w:tcPr>
            <w:tcW w:w="2895" w:type="dxa"/>
          </w:tcPr>
          <w:p w14:paraId="39C76383"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 xml:space="preserve">Структура доходів </w:t>
            </w:r>
          </w:p>
        </w:tc>
        <w:tc>
          <w:tcPr>
            <w:tcW w:w="6739" w:type="dxa"/>
          </w:tcPr>
          <w:p w14:paraId="31415AD4" w14:textId="6224D818"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У структурі доходів Компанії найбільшу частку становить дохід від реалізації </w:t>
            </w:r>
            <w:r w:rsidR="00DE4056" w:rsidRPr="00356F5B">
              <w:rPr>
                <w:color w:val="000000"/>
                <w:sz w:val="28"/>
                <w:szCs w:val="28"/>
              </w:rPr>
              <w:t>об’єктів</w:t>
            </w:r>
            <w:r w:rsidRPr="00356F5B">
              <w:rPr>
                <w:color w:val="000000"/>
                <w:sz w:val="28"/>
                <w:szCs w:val="28"/>
              </w:rPr>
              <w:t xml:space="preserve"> нерухомості 80,5% у 2021 році, 69,1 2022 році та 95% у першому півріччі 2023 року.</w:t>
            </w:r>
          </w:p>
          <w:p w14:paraId="3346405F" w14:textId="4C197144" w:rsidR="00B153DC" w:rsidRPr="00356F5B" w:rsidRDefault="00DE4056">
            <w:pPr>
              <w:pStyle w:val="ad"/>
              <w:widowControl w:val="0"/>
              <w:shd w:val="clear" w:color="auto" w:fill="FFFFFF"/>
              <w:spacing w:beforeAutospacing="0" w:afterAutospacing="0"/>
              <w:jc w:val="both"/>
              <w:rPr>
                <w:color w:val="000000"/>
                <w:sz w:val="28"/>
                <w:szCs w:val="28"/>
              </w:rPr>
            </w:pPr>
            <w:r w:rsidRPr="00356F5B">
              <w:rPr>
                <w:color w:val="000000"/>
                <w:sz w:val="28"/>
                <w:szCs w:val="28"/>
              </w:rPr>
              <w:t>У</w:t>
            </w:r>
            <w:r w:rsidR="00FF2428" w:rsidRPr="00356F5B">
              <w:rPr>
                <w:color w:val="000000"/>
                <w:sz w:val="28"/>
                <w:szCs w:val="28"/>
              </w:rPr>
              <w:t> 2022 році доходи Компанії знизились на 27,3% переважно за рахунок зменшення виручки на 21,1%, що пояснюється ринковою ситуацією в країні.</w:t>
            </w:r>
          </w:p>
          <w:p w14:paraId="29204FAF" w14:textId="5F89AA4A"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Фактична вартість реалізації майна відповідає середньому значенню ринкового діапазону цін та ситуації, що склалася на</w:t>
            </w:r>
            <w:r w:rsidR="00DE4056" w:rsidRPr="00356F5B">
              <w:rPr>
                <w:color w:val="000000"/>
                <w:sz w:val="28"/>
                <w:szCs w:val="28"/>
              </w:rPr>
              <w:t xml:space="preserve"> </w:t>
            </w:r>
            <w:r w:rsidRPr="00356F5B">
              <w:rPr>
                <w:color w:val="000000"/>
                <w:sz w:val="28"/>
                <w:szCs w:val="28"/>
              </w:rPr>
              <w:t>ринку новобудов станом на дату дослідження.</w:t>
            </w:r>
          </w:p>
        </w:tc>
      </w:tr>
      <w:tr w:rsidR="00B153DC" w:rsidRPr="00356F5B" w14:paraId="32C9EAA2" w14:textId="77777777" w:rsidTr="00191F58">
        <w:tc>
          <w:tcPr>
            <w:tcW w:w="2895" w:type="dxa"/>
          </w:tcPr>
          <w:p w14:paraId="58A3FB45"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Дебіторська заборгованість</w:t>
            </w:r>
          </w:p>
        </w:tc>
        <w:tc>
          <w:tcPr>
            <w:tcW w:w="6739" w:type="dxa"/>
          </w:tcPr>
          <w:p w14:paraId="25EB5950" w14:textId="696E2928"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Найбільшу частку становить дебіторська заборгованість за виданими авансами 63-79% </w:t>
            </w:r>
            <w:r w:rsidR="00DE4056" w:rsidRPr="00356F5B">
              <w:rPr>
                <w:color w:val="000000"/>
                <w:sz w:val="28"/>
                <w:szCs w:val="28"/>
              </w:rPr>
              <w:t>у</w:t>
            </w:r>
            <w:r w:rsidRPr="00356F5B">
              <w:rPr>
                <w:color w:val="000000"/>
                <w:sz w:val="28"/>
                <w:szCs w:val="28"/>
              </w:rPr>
              <w:t xml:space="preserve"> залежності від року.</w:t>
            </w:r>
          </w:p>
          <w:p w14:paraId="50CE2455" w14:textId="00D9BCA3"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Станом на кінець 2021 року період обороту дебіторської заборгованості становить 78 днів, а на 30</w:t>
            </w:r>
            <w:r w:rsidR="00DE4056" w:rsidRPr="00356F5B">
              <w:rPr>
                <w:color w:val="000000"/>
                <w:sz w:val="28"/>
                <w:szCs w:val="28"/>
              </w:rPr>
              <w:t> </w:t>
            </w:r>
            <w:r w:rsidRPr="00356F5B">
              <w:rPr>
                <w:color w:val="000000"/>
                <w:sz w:val="28"/>
                <w:szCs w:val="28"/>
              </w:rPr>
              <w:t xml:space="preserve"> червня 2023 року - 269 днів. </w:t>
            </w:r>
          </w:p>
          <w:p w14:paraId="0F54BBA8"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Прострочена дебіторська заборгованість станом на кінець 2021 року становила понад 12% від загальної суми, а на кінець першого півріччя 2023 - понад 18%.</w:t>
            </w:r>
          </w:p>
          <w:p w14:paraId="40AFC94A"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Що, загалом, є ознакою зниження платоспроможності контрагентів.</w:t>
            </w:r>
          </w:p>
        </w:tc>
      </w:tr>
      <w:tr w:rsidR="00B153DC" w:rsidRPr="00356F5B" w14:paraId="6FB6D71F" w14:textId="77777777" w:rsidTr="00191F58">
        <w:tc>
          <w:tcPr>
            <w:tcW w:w="2895" w:type="dxa"/>
          </w:tcPr>
          <w:p w14:paraId="073B1F06"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Кредитний портфель</w:t>
            </w:r>
          </w:p>
        </w:tc>
        <w:tc>
          <w:tcPr>
            <w:tcW w:w="6739" w:type="dxa"/>
          </w:tcPr>
          <w:p w14:paraId="0221D850"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Станом на 30.06.2023 року сумарний залишок боргів складає 150 822 457,8 грн.</w:t>
            </w:r>
          </w:p>
          <w:p w14:paraId="67743234"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Умови договорів кредитування є типовими, відсотки по кредитному портфелю знаходяться в межах ринкових значень.</w:t>
            </w:r>
          </w:p>
        </w:tc>
      </w:tr>
      <w:tr w:rsidR="00B153DC" w:rsidRPr="00356F5B" w14:paraId="2A708822" w14:textId="77777777" w:rsidTr="00191F58">
        <w:tc>
          <w:tcPr>
            <w:tcW w:w="2895" w:type="dxa"/>
          </w:tcPr>
          <w:p w14:paraId="5467B61F"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Структура витрат</w:t>
            </w:r>
          </w:p>
        </w:tc>
        <w:tc>
          <w:tcPr>
            <w:tcW w:w="6739" w:type="dxa"/>
          </w:tcPr>
          <w:p w14:paraId="29C2B8D3"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Найбільша частка витрат припадає на собівартість і складає близько 85% за результатами 2021-2022 років та 92% за 1 півріччя 2023 року. Собівартість будівництва в основному складається з витрат на матеріали (ТМЦ) - в середньому близько 80% за аналізований період. Система обліку та внутрішнього контролю Компанії відповідає вимогам законодавства, забезпечує оперативне управління та контроль. </w:t>
            </w:r>
          </w:p>
          <w:p w14:paraId="2E395045"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Інші операційні витрати займають 6%-11% за аналізований період та переважно складаються з </w:t>
            </w:r>
            <w:r w:rsidRPr="00356F5B">
              <w:rPr>
                <w:color w:val="000000"/>
                <w:sz w:val="28"/>
                <w:szCs w:val="28"/>
              </w:rPr>
              <w:lastRenderedPageBreak/>
              <w:t>компенсації витрат підрядників, донарахування ПДВ відповідно до облікової політики та інше.</w:t>
            </w:r>
          </w:p>
          <w:p w14:paraId="67C923D5" w14:textId="27BD6858" w:rsidR="00B153DC" w:rsidRPr="00356F5B" w:rsidRDefault="00FF2428" w:rsidP="00486D16">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Третіми </w:t>
            </w:r>
            <w:r w:rsidR="00486D16" w:rsidRPr="00356F5B">
              <w:rPr>
                <w:color w:val="000000"/>
                <w:sz w:val="28"/>
                <w:szCs w:val="28"/>
              </w:rPr>
              <w:t>за питомою</w:t>
            </w:r>
            <w:r w:rsidRPr="00356F5B">
              <w:rPr>
                <w:color w:val="000000"/>
                <w:sz w:val="28"/>
                <w:szCs w:val="28"/>
              </w:rPr>
              <w:t xml:space="preserve"> ва</w:t>
            </w:r>
            <w:r w:rsidR="00486D16" w:rsidRPr="00356F5B">
              <w:rPr>
                <w:color w:val="000000"/>
                <w:sz w:val="28"/>
                <w:szCs w:val="28"/>
              </w:rPr>
              <w:t>гою</w:t>
            </w:r>
            <w:r w:rsidRPr="00356F5B">
              <w:rPr>
                <w:color w:val="000000"/>
                <w:sz w:val="28"/>
                <w:szCs w:val="28"/>
              </w:rPr>
              <w:t xml:space="preserve"> є адміністративні витрати, які складають близько 3%.</w:t>
            </w:r>
          </w:p>
        </w:tc>
      </w:tr>
      <w:tr w:rsidR="00B153DC" w:rsidRPr="00356F5B" w14:paraId="604E82D7" w14:textId="77777777" w:rsidTr="00191F58">
        <w:tc>
          <w:tcPr>
            <w:tcW w:w="2895" w:type="dxa"/>
          </w:tcPr>
          <w:p w14:paraId="3A234D74"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lastRenderedPageBreak/>
              <w:t>Кредиторська заборгованість</w:t>
            </w:r>
          </w:p>
        </w:tc>
        <w:tc>
          <w:tcPr>
            <w:tcW w:w="6739" w:type="dxa"/>
          </w:tcPr>
          <w:p w14:paraId="090A042A" w14:textId="29B21576" w:rsidR="00B153DC" w:rsidRPr="00356F5B" w:rsidRDefault="00FF2428" w:rsidP="000154B7">
            <w:pPr>
              <w:pStyle w:val="ad"/>
              <w:widowControl w:val="0"/>
              <w:shd w:val="clear" w:color="auto" w:fill="FFFFFF"/>
              <w:spacing w:beforeAutospacing="0" w:afterAutospacing="0"/>
              <w:jc w:val="both"/>
              <w:rPr>
                <w:color w:val="000000"/>
                <w:sz w:val="28"/>
                <w:szCs w:val="28"/>
              </w:rPr>
            </w:pPr>
            <w:r w:rsidRPr="00356F5B">
              <w:rPr>
                <w:color w:val="000000"/>
                <w:sz w:val="28"/>
                <w:szCs w:val="28"/>
              </w:rPr>
              <w:t>Найбільшу частку становить кредиторська заборгованість за одержаними авансами - близько 90% на кінець першого півріччя</w:t>
            </w:r>
            <w:r w:rsidR="000154B7" w:rsidRPr="00356F5B">
              <w:rPr>
                <w:color w:val="000000"/>
                <w:sz w:val="28"/>
                <w:szCs w:val="28"/>
              </w:rPr>
              <w:t xml:space="preserve"> </w:t>
            </w:r>
            <w:r w:rsidRPr="00356F5B">
              <w:rPr>
                <w:color w:val="000000"/>
                <w:sz w:val="28"/>
                <w:szCs w:val="28"/>
              </w:rPr>
              <w:t>2023 року. Станом на кінець 2021 року період обороту кредиторської заборгованості становить 541 днів, на 30 червня 2023 року</w:t>
            </w:r>
            <w:r w:rsidR="000154B7" w:rsidRPr="00356F5B">
              <w:rPr>
                <w:color w:val="000000"/>
                <w:sz w:val="28"/>
                <w:szCs w:val="28"/>
              </w:rPr>
              <w:t xml:space="preserve"> </w:t>
            </w:r>
            <w:r w:rsidRPr="00356F5B">
              <w:rPr>
                <w:color w:val="000000"/>
                <w:sz w:val="28"/>
                <w:szCs w:val="28"/>
              </w:rPr>
              <w:t>- 738 днів. Суттєвий період обороту кредиторської заборгованості пов’язаний із відносно довгим періодом будівництва об’єктів, який ще подовжився із змінами на ринку.</w:t>
            </w:r>
          </w:p>
        </w:tc>
      </w:tr>
      <w:tr w:rsidR="00B153DC" w:rsidRPr="00356F5B" w14:paraId="2763B4DE" w14:textId="77777777" w:rsidTr="00191F58">
        <w:tc>
          <w:tcPr>
            <w:tcW w:w="2895" w:type="dxa"/>
          </w:tcPr>
          <w:p w14:paraId="3EFE6C2A"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 xml:space="preserve">Процес </w:t>
            </w:r>
            <w:proofErr w:type="spellStart"/>
            <w:r w:rsidRPr="00356F5B">
              <w:rPr>
                <w:rFonts w:ascii="Times New Roman" w:eastAsia="Calibri" w:hAnsi="Times New Roman" w:cs="Times New Roman"/>
                <w:sz w:val="28"/>
                <w:szCs w:val="28"/>
                <w:shd w:val="clear" w:color="auto" w:fill="FFFFFF"/>
              </w:rPr>
              <w:t>закупівель</w:t>
            </w:r>
            <w:proofErr w:type="spellEnd"/>
          </w:p>
        </w:tc>
        <w:tc>
          <w:tcPr>
            <w:tcW w:w="6739" w:type="dxa"/>
          </w:tcPr>
          <w:p w14:paraId="41885CFA" w14:textId="24F4A8E0"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Процес </w:t>
            </w:r>
            <w:proofErr w:type="spellStart"/>
            <w:r w:rsidRPr="00356F5B">
              <w:rPr>
                <w:color w:val="000000"/>
                <w:sz w:val="28"/>
                <w:szCs w:val="28"/>
              </w:rPr>
              <w:t>закупівель</w:t>
            </w:r>
            <w:proofErr w:type="spellEnd"/>
            <w:r w:rsidRPr="00356F5B">
              <w:rPr>
                <w:color w:val="000000"/>
                <w:sz w:val="28"/>
                <w:szCs w:val="28"/>
              </w:rPr>
              <w:t xml:space="preserve"> будівельних матеріалів та робіт задля виконання завдань з будівництва </w:t>
            </w:r>
            <w:r w:rsidR="000154B7" w:rsidRPr="00356F5B">
              <w:rPr>
                <w:color w:val="000000"/>
                <w:sz w:val="28"/>
                <w:szCs w:val="28"/>
              </w:rPr>
              <w:t>об’єктів</w:t>
            </w:r>
            <w:r w:rsidRPr="00356F5B">
              <w:rPr>
                <w:color w:val="000000"/>
                <w:sz w:val="28"/>
                <w:szCs w:val="28"/>
              </w:rPr>
              <w:t xml:space="preserve"> нерухомості здійснюється з дотриманням Закону України «Про публічні закупівлі», внутрішніх регламентів та положень про організацію та технічне забезпечення будівництва.</w:t>
            </w:r>
          </w:p>
        </w:tc>
      </w:tr>
      <w:tr w:rsidR="00B153DC" w:rsidRPr="00356F5B" w14:paraId="7D3E10D1" w14:textId="77777777" w:rsidTr="00191F58">
        <w:tc>
          <w:tcPr>
            <w:tcW w:w="2895" w:type="dxa"/>
          </w:tcPr>
          <w:p w14:paraId="371E7E84"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eastAsia="Calibri" w:hAnsi="Times New Roman" w:cs="Times New Roman"/>
                <w:sz w:val="28"/>
                <w:szCs w:val="28"/>
                <w:shd w:val="clear" w:color="auto" w:fill="FFFFFF"/>
              </w:rPr>
              <w:t xml:space="preserve">Ефективність діяльності </w:t>
            </w:r>
          </w:p>
        </w:tc>
        <w:tc>
          <w:tcPr>
            <w:tcW w:w="6739" w:type="dxa"/>
          </w:tcPr>
          <w:p w14:paraId="27E86DF0" w14:textId="23CB7854"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shd w:val="clear" w:color="auto" w:fill="FFFFFF"/>
              </w:rPr>
              <w:t>При аналізі планів діяльності Компанії щодо добудови поточних про</w:t>
            </w:r>
            <w:r w:rsidR="00486D16" w:rsidRPr="00356F5B">
              <w:rPr>
                <w:color w:val="000000"/>
                <w:sz w:val="28"/>
                <w:szCs w:val="28"/>
                <w:shd w:val="clear" w:color="auto" w:fill="FFFFFF"/>
              </w:rPr>
              <w:t>є</w:t>
            </w:r>
            <w:r w:rsidRPr="00356F5B">
              <w:rPr>
                <w:color w:val="000000"/>
                <w:sz w:val="28"/>
                <w:szCs w:val="28"/>
                <w:shd w:val="clear" w:color="auto" w:fill="FFFFFF"/>
              </w:rPr>
              <w:t xml:space="preserve">ктів </w:t>
            </w:r>
            <w:r w:rsidR="00486D16" w:rsidRPr="00356F5B">
              <w:rPr>
                <w:color w:val="000000"/>
                <w:sz w:val="28"/>
                <w:szCs w:val="28"/>
                <w:shd w:val="clear" w:color="auto" w:fill="FFFFFF"/>
              </w:rPr>
              <w:t xml:space="preserve"> вбачається</w:t>
            </w:r>
            <w:r w:rsidRPr="00356F5B">
              <w:rPr>
                <w:color w:val="000000"/>
                <w:sz w:val="28"/>
                <w:szCs w:val="28"/>
                <w:shd w:val="clear" w:color="auto" w:fill="FFFFFF"/>
              </w:rPr>
              <w:t xml:space="preserve">, що потенційно Компанія є замовником будівництва 32 </w:t>
            </w:r>
            <w:r w:rsidR="000154B7" w:rsidRPr="00356F5B">
              <w:rPr>
                <w:color w:val="000000"/>
                <w:sz w:val="28"/>
                <w:szCs w:val="28"/>
                <w:shd w:val="clear" w:color="auto" w:fill="FFFFFF"/>
              </w:rPr>
              <w:t>об’єктів</w:t>
            </w:r>
            <w:r w:rsidRPr="00356F5B">
              <w:rPr>
                <w:color w:val="000000"/>
                <w:sz w:val="28"/>
                <w:szCs w:val="28"/>
                <w:shd w:val="clear" w:color="auto" w:fill="FFFFFF"/>
              </w:rPr>
              <w:t xml:space="preserve">  загальною площею 1 915 692 </w:t>
            </w:r>
            <w:proofErr w:type="spellStart"/>
            <w:r w:rsidRPr="00356F5B">
              <w:rPr>
                <w:color w:val="000000"/>
                <w:sz w:val="28"/>
                <w:szCs w:val="28"/>
                <w:shd w:val="clear" w:color="auto" w:fill="FFFFFF"/>
              </w:rPr>
              <w:t>кв.м</w:t>
            </w:r>
            <w:proofErr w:type="spellEnd"/>
            <w:r w:rsidRPr="00356F5B">
              <w:rPr>
                <w:color w:val="000000"/>
                <w:sz w:val="28"/>
                <w:szCs w:val="28"/>
                <w:shd w:val="clear" w:color="auto" w:fill="FFFFFF"/>
              </w:rPr>
              <w:t>. За наданими документами розрахункова вартість добудови станом 30.06.2023  становить 21 млрд грн при прогнозній вартості реалізації 26</w:t>
            </w:r>
            <w:r w:rsidR="000154B7" w:rsidRPr="00356F5B">
              <w:rPr>
                <w:color w:val="000000"/>
                <w:sz w:val="28"/>
                <w:szCs w:val="28"/>
                <w:shd w:val="clear" w:color="auto" w:fill="FFFFFF"/>
              </w:rPr>
              <w:t>,</w:t>
            </w:r>
            <w:r w:rsidRPr="00356F5B">
              <w:rPr>
                <w:color w:val="000000"/>
                <w:sz w:val="28"/>
                <w:szCs w:val="28"/>
                <w:shd w:val="clear" w:color="auto" w:fill="FFFFFF"/>
              </w:rPr>
              <w:t xml:space="preserve">86 млрд грн. На стадії планування Компанія закладає співставну із </w:t>
            </w:r>
            <w:proofErr w:type="spellStart"/>
            <w:r w:rsidRPr="00356F5B">
              <w:rPr>
                <w:color w:val="000000"/>
                <w:sz w:val="28"/>
                <w:szCs w:val="28"/>
                <w:shd w:val="clear" w:color="auto" w:fill="FFFFFF"/>
              </w:rPr>
              <w:t>середньоринковими</w:t>
            </w:r>
            <w:proofErr w:type="spellEnd"/>
            <w:r w:rsidRPr="00356F5B">
              <w:rPr>
                <w:color w:val="000000"/>
                <w:sz w:val="28"/>
                <w:szCs w:val="28"/>
                <w:shd w:val="clear" w:color="auto" w:fill="FFFFFF"/>
              </w:rPr>
              <w:t xml:space="preserve"> показниками рентабельність. </w:t>
            </w:r>
          </w:p>
          <w:p w14:paraId="1ACE5DD1" w14:textId="1CA227D8"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Фактична вартість реалізації майна відповідає середньому значенню ринкового діапазону цін та ситуації, що склалася на ринку новобудов станом на </w:t>
            </w:r>
            <w:r w:rsidR="000154B7" w:rsidRPr="00356F5B">
              <w:rPr>
                <w:color w:val="000000"/>
                <w:sz w:val="28"/>
                <w:szCs w:val="28"/>
              </w:rPr>
              <w:t>д</w:t>
            </w:r>
            <w:r w:rsidRPr="00356F5B">
              <w:rPr>
                <w:color w:val="000000"/>
                <w:sz w:val="28"/>
                <w:szCs w:val="28"/>
              </w:rPr>
              <w:t>ату дослідження.</w:t>
            </w:r>
          </w:p>
          <w:p w14:paraId="79F1D54B"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Валова рентабельність Компанії суттєво залежить від графіків будівництва та реалізації продажу на різних етапах.</w:t>
            </w:r>
          </w:p>
          <w:p w14:paraId="4D908B31" w14:textId="6D4D96D3" w:rsidR="00B153DC" w:rsidRPr="00356F5B" w:rsidRDefault="000154B7">
            <w:pPr>
              <w:pStyle w:val="ad"/>
              <w:widowControl w:val="0"/>
              <w:shd w:val="clear" w:color="auto" w:fill="FFFFFF"/>
              <w:spacing w:beforeAutospacing="0" w:afterAutospacing="0"/>
              <w:jc w:val="both"/>
              <w:rPr>
                <w:color w:val="000000"/>
                <w:sz w:val="28"/>
                <w:szCs w:val="28"/>
              </w:rPr>
            </w:pPr>
            <w:r w:rsidRPr="00356F5B">
              <w:rPr>
                <w:color w:val="000000"/>
                <w:sz w:val="28"/>
                <w:szCs w:val="28"/>
              </w:rPr>
              <w:t>У</w:t>
            </w:r>
            <w:r w:rsidR="00FF2428" w:rsidRPr="00356F5B">
              <w:rPr>
                <w:color w:val="000000"/>
                <w:sz w:val="28"/>
                <w:szCs w:val="28"/>
              </w:rPr>
              <w:t> 2021 році валова рентабельність складала 11%, у 2022 році 6%, станом на 30 червня 2023 року 1%.</w:t>
            </w:r>
          </w:p>
          <w:p w14:paraId="437E4E02" w14:textId="518385D0"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На думку аудиторів</w:t>
            </w:r>
            <w:r w:rsidR="00486D16" w:rsidRPr="00356F5B">
              <w:rPr>
                <w:color w:val="000000"/>
                <w:sz w:val="28"/>
                <w:szCs w:val="28"/>
              </w:rPr>
              <w:t>,</w:t>
            </w:r>
            <w:r w:rsidRPr="00356F5B">
              <w:rPr>
                <w:color w:val="000000"/>
                <w:sz w:val="28"/>
                <w:szCs w:val="28"/>
              </w:rPr>
              <w:t xml:space="preserve"> це </w:t>
            </w:r>
            <w:r w:rsidR="000154B7" w:rsidRPr="00356F5B">
              <w:rPr>
                <w:color w:val="000000"/>
                <w:sz w:val="28"/>
                <w:szCs w:val="28"/>
              </w:rPr>
              <w:t>пов’язано</w:t>
            </w:r>
            <w:r w:rsidRPr="00356F5B">
              <w:rPr>
                <w:color w:val="000000"/>
                <w:sz w:val="28"/>
                <w:szCs w:val="28"/>
              </w:rPr>
              <w:t xml:space="preserve"> із зниженням купівельної спроможності потенційних інвесторів на початкових етапах будівництва, а також тенденцією очікування готового </w:t>
            </w:r>
            <w:r w:rsidR="000154B7" w:rsidRPr="00356F5B">
              <w:rPr>
                <w:color w:val="000000"/>
                <w:sz w:val="28"/>
                <w:szCs w:val="28"/>
              </w:rPr>
              <w:t>об’єкта</w:t>
            </w:r>
            <w:r w:rsidRPr="00356F5B">
              <w:rPr>
                <w:color w:val="000000"/>
                <w:sz w:val="28"/>
                <w:szCs w:val="28"/>
              </w:rPr>
              <w:t xml:space="preserve"> нерухомості (зареєстрованого в Державному реєстрі) для убезпечення ризику. </w:t>
            </w:r>
            <w:r w:rsidR="00486D16" w:rsidRPr="00356F5B">
              <w:rPr>
                <w:color w:val="000000"/>
                <w:sz w:val="28"/>
                <w:szCs w:val="28"/>
              </w:rPr>
              <w:t>С</w:t>
            </w:r>
            <w:r w:rsidRPr="00356F5B">
              <w:rPr>
                <w:color w:val="000000"/>
                <w:sz w:val="28"/>
                <w:szCs w:val="28"/>
              </w:rPr>
              <w:t xml:space="preserve">уттєве падіння дохідності Компанії може бути </w:t>
            </w:r>
            <w:r w:rsidR="000154B7" w:rsidRPr="00356F5B">
              <w:rPr>
                <w:color w:val="000000"/>
                <w:sz w:val="28"/>
                <w:szCs w:val="28"/>
              </w:rPr>
              <w:t>пов’язано</w:t>
            </w:r>
            <w:r w:rsidRPr="00356F5B">
              <w:rPr>
                <w:color w:val="000000"/>
                <w:sz w:val="28"/>
                <w:szCs w:val="28"/>
              </w:rPr>
              <w:t xml:space="preserve"> саме із диспропорцією у графіках будівництва та надходження доходів від </w:t>
            </w:r>
            <w:r w:rsidRPr="00356F5B">
              <w:rPr>
                <w:color w:val="000000"/>
                <w:sz w:val="28"/>
                <w:szCs w:val="28"/>
              </w:rPr>
              <w:lastRenderedPageBreak/>
              <w:t>продажу. Так</w:t>
            </w:r>
            <w:r w:rsidR="000154B7" w:rsidRPr="00356F5B">
              <w:rPr>
                <w:color w:val="000000"/>
                <w:sz w:val="28"/>
                <w:szCs w:val="28"/>
              </w:rPr>
              <w:t>,</w:t>
            </w:r>
            <w:r w:rsidRPr="00356F5B">
              <w:rPr>
                <w:color w:val="000000"/>
                <w:sz w:val="28"/>
                <w:szCs w:val="28"/>
              </w:rPr>
              <w:t xml:space="preserve"> у 2023 році </w:t>
            </w:r>
            <w:r w:rsidR="00486D16" w:rsidRPr="00356F5B">
              <w:rPr>
                <w:color w:val="000000"/>
                <w:sz w:val="28"/>
                <w:szCs w:val="28"/>
              </w:rPr>
              <w:t xml:space="preserve">спостерігається, що  </w:t>
            </w:r>
            <w:r w:rsidRPr="00356F5B">
              <w:rPr>
                <w:color w:val="000000"/>
                <w:sz w:val="28"/>
                <w:szCs w:val="28"/>
              </w:rPr>
              <w:t>визнані доходи від продажу нерухомості після заключення основних договорів купівлі-продажу у поточному періоді, грошові кошти за якими попередньо отримані в</w:t>
            </w:r>
            <w:r w:rsidR="000154B7" w:rsidRPr="00356F5B">
              <w:rPr>
                <w:color w:val="000000"/>
                <w:sz w:val="28"/>
                <w:szCs w:val="28"/>
              </w:rPr>
              <w:t xml:space="preserve"> </w:t>
            </w:r>
            <w:r w:rsidRPr="00356F5B">
              <w:rPr>
                <w:color w:val="000000"/>
                <w:sz w:val="28"/>
                <w:szCs w:val="28"/>
              </w:rPr>
              <w:t>2018-2019 роках, а витрати</w:t>
            </w:r>
            <w:r w:rsidR="00486D16" w:rsidRPr="00356F5B">
              <w:rPr>
                <w:color w:val="000000"/>
                <w:sz w:val="28"/>
                <w:szCs w:val="28"/>
              </w:rPr>
              <w:t>,</w:t>
            </w:r>
            <w:r w:rsidRPr="00356F5B">
              <w:rPr>
                <w:color w:val="000000"/>
                <w:sz w:val="28"/>
                <w:szCs w:val="28"/>
              </w:rPr>
              <w:t xml:space="preserve"> понесені Компанією в 2022-2023 роках</w:t>
            </w:r>
            <w:r w:rsidR="00486D16" w:rsidRPr="00356F5B">
              <w:rPr>
                <w:color w:val="000000"/>
                <w:sz w:val="28"/>
                <w:szCs w:val="28"/>
              </w:rPr>
              <w:t>,</w:t>
            </w:r>
            <w:r w:rsidRPr="00356F5B">
              <w:rPr>
                <w:color w:val="000000"/>
                <w:sz w:val="28"/>
                <w:szCs w:val="28"/>
              </w:rPr>
              <w:t xml:space="preserve"> не перекриваються з огляду на початковий стан </w:t>
            </w:r>
            <w:r w:rsidR="000154B7" w:rsidRPr="00356F5B">
              <w:rPr>
                <w:color w:val="000000"/>
                <w:sz w:val="28"/>
                <w:szCs w:val="28"/>
              </w:rPr>
              <w:t>об’єктів</w:t>
            </w:r>
            <w:r w:rsidRPr="00356F5B">
              <w:rPr>
                <w:color w:val="000000"/>
                <w:sz w:val="28"/>
                <w:szCs w:val="28"/>
              </w:rPr>
              <w:t>.</w:t>
            </w:r>
          </w:p>
          <w:p w14:paraId="5F837B84" w14:textId="75C502A9"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Отримане в результаті аналізу значення </w:t>
            </w:r>
            <w:r w:rsidR="008C034C" w:rsidRPr="00356F5B">
              <w:rPr>
                <w:color w:val="000000"/>
                <w:sz w:val="28"/>
                <w:szCs w:val="28"/>
              </w:rPr>
              <w:t>К</w:t>
            </w:r>
            <w:r w:rsidRPr="00356F5B">
              <w:rPr>
                <w:color w:val="000000"/>
                <w:sz w:val="28"/>
                <w:szCs w:val="28"/>
              </w:rPr>
              <w:t>оефіцієнта автономії свідчить про високий рівень фінансових ризиків. Компанія значно залежить від позикових коштів і станом на кінець 2022 року здатна фінансувати лише 8,7% активів за рахунок власних коштів, на кінець першого півріччя 2023 року - 9%.</w:t>
            </w:r>
          </w:p>
          <w:p w14:paraId="52265A28"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Проаналізовані значення Коефіцієнту маневреності свідчать про достатність власних фінансових ресурсів для фінансування необоротних активів і частини оборотних.</w:t>
            </w:r>
          </w:p>
          <w:p w14:paraId="245D9D41" w14:textId="0E7155A9"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Отримані значення Коефіцієнту покриття свідчать про здатність Компанії виконувати свої короткострокові </w:t>
            </w:r>
            <w:r w:rsidR="008C034C" w:rsidRPr="00356F5B">
              <w:rPr>
                <w:color w:val="000000"/>
                <w:sz w:val="28"/>
                <w:szCs w:val="28"/>
              </w:rPr>
              <w:t>зобов’язання</w:t>
            </w:r>
            <w:r w:rsidRPr="00356F5B">
              <w:rPr>
                <w:color w:val="000000"/>
                <w:sz w:val="28"/>
                <w:szCs w:val="28"/>
              </w:rPr>
              <w:t xml:space="preserve"> протягом усього аналізованого періоду.</w:t>
            </w:r>
          </w:p>
          <w:p w14:paraId="36668F98" w14:textId="634B853C"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Значення Коефіцієнту швидкої ліквідності свідчить, що у Компанії недостатньо високоліквідних оборотних коштів для своєчасного розрахунку за поточними </w:t>
            </w:r>
            <w:r w:rsidR="008C034C" w:rsidRPr="00356F5B">
              <w:rPr>
                <w:color w:val="000000"/>
                <w:sz w:val="28"/>
                <w:szCs w:val="28"/>
              </w:rPr>
              <w:t>зобов’язаннями</w:t>
            </w:r>
            <w:r w:rsidRPr="00356F5B">
              <w:rPr>
                <w:color w:val="000000"/>
                <w:sz w:val="28"/>
                <w:szCs w:val="28"/>
              </w:rPr>
              <w:t>, що</w:t>
            </w:r>
            <w:r w:rsidR="00486D16" w:rsidRPr="00356F5B">
              <w:rPr>
                <w:color w:val="000000"/>
                <w:sz w:val="28"/>
                <w:szCs w:val="28"/>
              </w:rPr>
              <w:t>,</w:t>
            </w:r>
            <w:r w:rsidRPr="00356F5B">
              <w:rPr>
                <w:color w:val="000000"/>
                <w:sz w:val="28"/>
                <w:szCs w:val="28"/>
              </w:rPr>
              <w:t xml:space="preserve"> на думку</w:t>
            </w:r>
            <w:r w:rsidR="008C034C" w:rsidRPr="00356F5B">
              <w:rPr>
                <w:color w:val="000000"/>
                <w:sz w:val="28"/>
                <w:szCs w:val="28"/>
              </w:rPr>
              <w:t xml:space="preserve"> аудиторів</w:t>
            </w:r>
            <w:r w:rsidRPr="00356F5B">
              <w:rPr>
                <w:color w:val="000000"/>
                <w:sz w:val="28"/>
                <w:szCs w:val="28"/>
              </w:rPr>
              <w:t>, з огляду на специфіку діяльності, є притаманним для будівництва.</w:t>
            </w:r>
          </w:p>
          <w:p w14:paraId="179F90EA" w14:textId="30D74D0E"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Аналіз фінансової стійкості Компанії показує, що протягом усього аналізованого періоду Компанія мала нестійкий стан.</w:t>
            </w:r>
          </w:p>
          <w:p w14:paraId="5F871A8D"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Нестійкий фінансовий стан характеризується недостачею у підприємства внутрішніх чи зовнішніх стійких джерел для фінансування проєктів. У цій ситуації ще існує можливість відновлення рівноваги за рахунок поповнення джерел власних коштів, скорочення дебіторської заборгованості.</w:t>
            </w:r>
          </w:p>
          <w:p w14:paraId="5D12803E" w14:textId="77777777"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Також, компанія демонструє високу чутливість до зміни виручки.</w:t>
            </w:r>
          </w:p>
          <w:p w14:paraId="29CEAF61" w14:textId="0EB771E1" w:rsidR="00B153DC" w:rsidRPr="00356F5B" w:rsidRDefault="00FF2428">
            <w:pPr>
              <w:pStyle w:val="ad"/>
              <w:widowControl w:val="0"/>
              <w:shd w:val="clear" w:color="auto" w:fill="FFFFFF"/>
              <w:spacing w:beforeAutospacing="0" w:afterAutospacing="0"/>
              <w:jc w:val="both"/>
              <w:rPr>
                <w:color w:val="000000"/>
                <w:sz w:val="28"/>
                <w:szCs w:val="28"/>
              </w:rPr>
            </w:pPr>
            <w:r w:rsidRPr="00356F5B">
              <w:rPr>
                <w:color w:val="000000"/>
                <w:sz w:val="28"/>
                <w:szCs w:val="28"/>
              </w:rPr>
              <w:t>При потенційній зміні обсягу виручки на +/- 5% у 2</w:t>
            </w:r>
            <w:r w:rsidR="008C034C" w:rsidRPr="00356F5B">
              <w:rPr>
                <w:color w:val="000000"/>
                <w:sz w:val="28"/>
                <w:szCs w:val="28"/>
              </w:rPr>
              <w:t> </w:t>
            </w:r>
            <w:r w:rsidRPr="00356F5B">
              <w:rPr>
                <w:color w:val="000000"/>
                <w:sz w:val="28"/>
                <w:szCs w:val="28"/>
              </w:rPr>
              <w:t xml:space="preserve"> піврічні 2023 Компанія продемонструє орієнтовний прибуток у 44 млн грн або збиток у 37 млн за оптимістичного та песимістичного сценаріїв відповідно. Валова дохідність зросте на 4,7% або впаде на 5,2% при зростанні або знижені виручки відповідно.</w:t>
            </w:r>
          </w:p>
          <w:p w14:paraId="792AE271" w14:textId="794E8ABE" w:rsidR="00B153DC" w:rsidRPr="00356F5B" w:rsidRDefault="00FF2428" w:rsidP="008C034C">
            <w:pPr>
              <w:pStyle w:val="ad"/>
              <w:widowControl w:val="0"/>
              <w:shd w:val="clear" w:color="auto" w:fill="FFFFFF"/>
              <w:spacing w:beforeAutospacing="0" w:afterAutospacing="0"/>
              <w:jc w:val="both"/>
              <w:rPr>
                <w:color w:val="000000"/>
                <w:sz w:val="28"/>
                <w:szCs w:val="28"/>
              </w:rPr>
            </w:pPr>
            <w:r w:rsidRPr="00356F5B">
              <w:rPr>
                <w:color w:val="000000"/>
                <w:sz w:val="28"/>
                <w:szCs w:val="28"/>
                <w:shd w:val="clear" w:color="auto" w:fill="FFFFFF"/>
              </w:rPr>
              <w:t xml:space="preserve">Станом на дату проведення дослідження не виявлено ознак наявності фактів заниження показників </w:t>
            </w:r>
            <w:r w:rsidRPr="00356F5B">
              <w:rPr>
                <w:color w:val="000000"/>
                <w:sz w:val="28"/>
                <w:szCs w:val="28"/>
                <w:shd w:val="clear" w:color="auto" w:fill="FFFFFF"/>
              </w:rPr>
              <w:lastRenderedPageBreak/>
              <w:t xml:space="preserve">прибутковості будь-яким іншим чином, не </w:t>
            </w:r>
            <w:r w:rsidR="008C034C" w:rsidRPr="00356F5B">
              <w:rPr>
                <w:color w:val="000000"/>
                <w:sz w:val="28"/>
                <w:szCs w:val="28"/>
                <w:shd w:val="clear" w:color="auto" w:fill="FFFFFF"/>
              </w:rPr>
              <w:t>пов’язаним</w:t>
            </w:r>
            <w:r w:rsidRPr="00356F5B">
              <w:rPr>
                <w:color w:val="000000"/>
                <w:sz w:val="28"/>
                <w:szCs w:val="28"/>
                <w:shd w:val="clear" w:color="auto" w:fill="FFFFFF"/>
              </w:rPr>
              <w:t xml:space="preserve"> з веденням основної діяльності </w:t>
            </w:r>
            <w:r w:rsidR="008C034C" w:rsidRPr="00356F5B">
              <w:rPr>
                <w:color w:val="000000"/>
                <w:sz w:val="28"/>
                <w:szCs w:val="28"/>
                <w:shd w:val="clear" w:color="auto" w:fill="FFFFFF"/>
              </w:rPr>
              <w:t>Компанії</w:t>
            </w:r>
            <w:r w:rsidRPr="00356F5B">
              <w:rPr>
                <w:color w:val="000000"/>
                <w:sz w:val="28"/>
                <w:szCs w:val="28"/>
                <w:shd w:val="clear" w:color="auto" w:fill="FFFFFF"/>
              </w:rPr>
              <w:t>.</w:t>
            </w:r>
          </w:p>
        </w:tc>
      </w:tr>
      <w:tr w:rsidR="00B153DC" w:rsidRPr="00356F5B" w14:paraId="394FB638" w14:textId="77777777" w:rsidTr="00191F58">
        <w:tc>
          <w:tcPr>
            <w:tcW w:w="2895" w:type="dxa"/>
            <w:tcBorders>
              <w:top w:val="nil"/>
            </w:tcBorders>
          </w:tcPr>
          <w:p w14:paraId="51182739" w14:textId="77777777" w:rsidR="00B153DC" w:rsidRPr="00356F5B" w:rsidRDefault="00FF2428">
            <w:pPr>
              <w:widowControl w:val="0"/>
              <w:jc w:val="both"/>
              <w:rPr>
                <w:rFonts w:ascii="Times New Roman" w:hAnsi="Times New Roman" w:cs="Times New Roman"/>
                <w:sz w:val="28"/>
                <w:szCs w:val="28"/>
                <w:shd w:val="clear" w:color="auto" w:fill="FFFFFF"/>
              </w:rPr>
            </w:pPr>
            <w:r w:rsidRPr="00356F5B">
              <w:rPr>
                <w:rFonts w:ascii="Times New Roman" w:hAnsi="Times New Roman" w:cs="Times New Roman"/>
                <w:sz w:val="28"/>
                <w:szCs w:val="28"/>
                <w:shd w:val="clear" w:color="auto" w:fill="FFFFFF"/>
              </w:rPr>
              <w:lastRenderedPageBreak/>
              <w:t xml:space="preserve">Щодо неплатоспроможності або банкрутства </w:t>
            </w:r>
          </w:p>
        </w:tc>
        <w:tc>
          <w:tcPr>
            <w:tcW w:w="6739" w:type="dxa"/>
            <w:tcBorders>
              <w:top w:val="nil"/>
            </w:tcBorders>
          </w:tcPr>
          <w:p w14:paraId="26A594F1" w14:textId="2865B83F" w:rsidR="00B153DC" w:rsidRPr="00356F5B" w:rsidRDefault="00FF2428" w:rsidP="008C034C">
            <w:pPr>
              <w:pStyle w:val="ad"/>
              <w:widowControl w:val="0"/>
              <w:shd w:val="clear" w:color="auto" w:fill="FFFFFF"/>
              <w:spacing w:beforeAutospacing="0" w:afterAutospacing="0"/>
              <w:jc w:val="both"/>
              <w:rPr>
                <w:color w:val="000000"/>
                <w:sz w:val="28"/>
                <w:szCs w:val="28"/>
              </w:rPr>
            </w:pPr>
            <w:r w:rsidRPr="00356F5B">
              <w:rPr>
                <w:color w:val="000000"/>
                <w:sz w:val="28"/>
                <w:szCs w:val="28"/>
              </w:rPr>
              <w:t xml:space="preserve">В результаті аналізу фінансово-господарського стану </w:t>
            </w:r>
            <w:r w:rsidR="008C034C" w:rsidRPr="00356F5B">
              <w:rPr>
                <w:color w:val="000000"/>
                <w:sz w:val="28"/>
                <w:szCs w:val="28"/>
              </w:rPr>
              <w:t>Компанії</w:t>
            </w:r>
            <w:r w:rsidRPr="00356F5B">
              <w:rPr>
                <w:color w:val="000000"/>
                <w:sz w:val="28"/>
                <w:szCs w:val="28"/>
              </w:rPr>
              <w:t xml:space="preserve"> за трьома методичними підходами не виявлено ознак дій з доведення підприємства до банкрутства чи приховання факту стійкої фінансової неспроможності. При дослідженні регістрів обліку та первинних документів обліку, фактів безпідставного виведення та списання активів не виявлено.</w:t>
            </w:r>
          </w:p>
        </w:tc>
      </w:tr>
    </w:tbl>
    <w:p w14:paraId="5C7AC567" w14:textId="77777777" w:rsidR="00FF2428" w:rsidRPr="00356F5B" w:rsidRDefault="00FF2428">
      <w:pPr>
        <w:ind w:firstLine="567"/>
        <w:jc w:val="both"/>
        <w:rPr>
          <w:rFonts w:ascii="Times New Roman" w:hAnsi="Times New Roman" w:cs="Times New Roman"/>
          <w:b/>
          <w:bCs/>
          <w:sz w:val="28"/>
          <w:szCs w:val="28"/>
          <w:shd w:val="clear" w:color="auto" w:fill="FFFFFF"/>
        </w:rPr>
      </w:pPr>
    </w:p>
    <w:p w14:paraId="420E65EC" w14:textId="77777777" w:rsidR="00B153DC" w:rsidRPr="00356F5B" w:rsidRDefault="00FF2428">
      <w:pPr>
        <w:ind w:firstLine="567"/>
        <w:jc w:val="both"/>
      </w:pPr>
      <w:r w:rsidRPr="00356F5B">
        <w:rPr>
          <w:rFonts w:ascii="Times New Roman" w:hAnsi="Times New Roman" w:cs="Times New Roman"/>
          <w:b/>
          <w:bCs/>
          <w:sz w:val="28"/>
          <w:szCs w:val="28"/>
          <w:shd w:val="clear" w:color="auto" w:fill="FFFFFF"/>
        </w:rPr>
        <w:t>Перевірка інформації, викладеної в журналістських розслідуваннях</w:t>
      </w:r>
    </w:p>
    <w:p w14:paraId="45A96B77" w14:textId="77777777" w:rsidR="00B23498" w:rsidRPr="00356F5B" w:rsidRDefault="00B23498">
      <w:pPr>
        <w:pStyle w:val="ae"/>
        <w:ind w:left="0" w:firstLine="567"/>
        <w:jc w:val="both"/>
        <w:rPr>
          <w:rFonts w:ascii="Times New Roman" w:hAnsi="Times New Roman" w:cs="Times New Roman"/>
          <w:color w:val="202124"/>
          <w:sz w:val="28"/>
          <w:szCs w:val="28"/>
          <w:shd w:val="clear" w:color="auto" w:fill="FFFFFF"/>
        </w:rPr>
      </w:pPr>
    </w:p>
    <w:p w14:paraId="3D68F7EF" w14:textId="5812B4C6" w:rsidR="00B153DC" w:rsidRPr="00356F5B" w:rsidRDefault="00FF2428" w:rsidP="008C034C">
      <w:pPr>
        <w:pStyle w:val="ae"/>
        <w:ind w:left="0" w:firstLine="709"/>
        <w:jc w:val="both"/>
      </w:pPr>
      <w:r w:rsidRPr="00356F5B">
        <w:rPr>
          <w:rFonts w:ascii="Times New Roman" w:hAnsi="Times New Roman" w:cs="Times New Roman"/>
          <w:color w:val="202124"/>
          <w:sz w:val="28"/>
          <w:szCs w:val="28"/>
          <w:shd w:val="clear" w:color="auto" w:fill="FFFFFF"/>
        </w:rPr>
        <w:t>З метою перевірки інформації, відомостей та документів</w:t>
      </w:r>
      <w:r w:rsidR="00486D16" w:rsidRPr="00356F5B">
        <w:rPr>
          <w:rFonts w:ascii="Times New Roman" w:hAnsi="Times New Roman" w:cs="Times New Roman"/>
          <w:color w:val="202124"/>
          <w:sz w:val="28"/>
          <w:szCs w:val="28"/>
          <w:shd w:val="clear" w:color="auto" w:fill="FFFFFF"/>
        </w:rPr>
        <w:t>,</w:t>
      </w:r>
      <w:r w:rsidRPr="00356F5B">
        <w:rPr>
          <w:rFonts w:ascii="Times New Roman" w:hAnsi="Times New Roman" w:cs="Times New Roman"/>
          <w:color w:val="202124"/>
          <w:sz w:val="28"/>
          <w:szCs w:val="28"/>
          <w:shd w:val="clear" w:color="auto" w:fill="FFFFFF"/>
        </w:rPr>
        <w:t xml:space="preserve"> на підставі яких журналістами </w:t>
      </w:r>
      <w:proofErr w:type="spellStart"/>
      <w:r w:rsidRPr="00356F5B">
        <w:rPr>
          <w:rFonts w:ascii="Times New Roman" w:hAnsi="Times New Roman" w:cs="Times New Roman"/>
          <w:color w:val="202124"/>
          <w:sz w:val="28"/>
          <w:szCs w:val="28"/>
          <w:shd w:val="clear" w:color="auto" w:fill="FFFFFF"/>
        </w:rPr>
        <w:t>Bihus</w:t>
      </w:r>
      <w:proofErr w:type="spellEnd"/>
      <w:r w:rsidRPr="00356F5B">
        <w:rPr>
          <w:rFonts w:ascii="Times New Roman" w:hAnsi="Times New Roman" w:cs="Times New Roman"/>
          <w:color w:val="202124"/>
          <w:sz w:val="28"/>
          <w:szCs w:val="28"/>
          <w:shd w:val="clear" w:color="auto" w:fill="FFFFFF"/>
        </w:rPr>
        <w:t xml:space="preserve"> </w:t>
      </w:r>
      <w:proofErr w:type="spellStart"/>
      <w:r w:rsidRPr="00356F5B">
        <w:rPr>
          <w:rFonts w:ascii="Times New Roman" w:hAnsi="Times New Roman" w:cs="Times New Roman"/>
          <w:color w:val="202124"/>
          <w:sz w:val="28"/>
          <w:szCs w:val="28"/>
          <w:shd w:val="clear" w:color="auto" w:fill="FFFFFF"/>
        </w:rPr>
        <w:t>info</w:t>
      </w:r>
      <w:proofErr w:type="spellEnd"/>
      <w:r w:rsidRPr="00356F5B">
        <w:rPr>
          <w:rFonts w:ascii="Times New Roman" w:hAnsi="Times New Roman" w:cs="Times New Roman"/>
          <w:color w:val="202124"/>
          <w:sz w:val="28"/>
          <w:szCs w:val="28"/>
          <w:shd w:val="clear" w:color="auto" w:fill="FFFFFF"/>
        </w:rPr>
        <w:t xml:space="preserve"> було підготовлено сюжет, </w:t>
      </w:r>
      <w:r w:rsidRPr="00356F5B">
        <w:rPr>
          <w:rFonts w:ascii="Times New Roman" w:eastAsia="Times New Roman" w:hAnsi="Times New Roman" w:cs="Times New Roman"/>
          <w:color w:val="000000"/>
          <w:kern w:val="0"/>
          <w:sz w:val="28"/>
          <w:szCs w:val="28"/>
          <w:shd w:val="clear" w:color="auto" w:fill="FFFFFF"/>
          <w:lang w:eastAsia="en-GB"/>
          <w14:ligatures w14:val="none"/>
        </w:rPr>
        <w:t xml:space="preserve">тимчасова контрольна комісія </w:t>
      </w:r>
      <w:r w:rsidRPr="00356F5B">
        <w:rPr>
          <w:rFonts w:ascii="Times New Roman" w:eastAsia="Times New Roman" w:hAnsi="Times New Roman" w:cs="Times New Roman"/>
          <w:color w:val="000000"/>
          <w:kern w:val="0"/>
          <w:sz w:val="28"/>
          <w:szCs w:val="28"/>
          <w:lang w:eastAsia="en-GB"/>
          <w14:ligatures w14:val="none"/>
        </w:rPr>
        <w:t>звернулась</w:t>
      </w:r>
      <w:r w:rsidRPr="00356F5B">
        <w:rPr>
          <w:rFonts w:ascii="Times New Roman" w:hAnsi="Times New Roman" w:cs="Times New Roman"/>
          <w:color w:val="202124"/>
          <w:sz w:val="28"/>
          <w:szCs w:val="28"/>
          <w:shd w:val="clear" w:color="auto" w:fill="FFFFFF"/>
        </w:rPr>
        <w:t xml:space="preserve"> до редакції </w:t>
      </w:r>
      <w:proofErr w:type="spellStart"/>
      <w:r w:rsidRPr="00356F5B">
        <w:rPr>
          <w:rFonts w:ascii="Times New Roman" w:hAnsi="Times New Roman" w:cs="Times New Roman"/>
          <w:color w:val="202124"/>
          <w:sz w:val="28"/>
          <w:szCs w:val="28"/>
          <w:shd w:val="clear" w:color="auto" w:fill="FFFFFF"/>
        </w:rPr>
        <w:t>Bihus</w:t>
      </w:r>
      <w:proofErr w:type="spellEnd"/>
      <w:r w:rsidRPr="00356F5B">
        <w:rPr>
          <w:rFonts w:ascii="Times New Roman" w:hAnsi="Times New Roman" w:cs="Times New Roman"/>
          <w:color w:val="202124"/>
          <w:sz w:val="28"/>
          <w:szCs w:val="28"/>
          <w:shd w:val="clear" w:color="auto" w:fill="FFFFFF"/>
        </w:rPr>
        <w:t xml:space="preserve"> </w:t>
      </w:r>
      <w:proofErr w:type="spellStart"/>
      <w:r w:rsidRPr="00356F5B">
        <w:rPr>
          <w:rFonts w:ascii="Times New Roman" w:hAnsi="Times New Roman" w:cs="Times New Roman"/>
          <w:color w:val="202124"/>
          <w:sz w:val="28"/>
          <w:szCs w:val="28"/>
          <w:shd w:val="clear" w:color="auto" w:fill="FFFFFF"/>
        </w:rPr>
        <w:t>info</w:t>
      </w:r>
      <w:proofErr w:type="spellEnd"/>
      <w:r w:rsidRPr="00356F5B">
        <w:rPr>
          <w:rFonts w:ascii="Times New Roman" w:hAnsi="Times New Roman" w:cs="Times New Roman"/>
          <w:color w:val="202124"/>
          <w:sz w:val="28"/>
          <w:szCs w:val="28"/>
          <w:shd w:val="clear" w:color="auto" w:fill="FFFFFF"/>
        </w:rPr>
        <w:t xml:space="preserve"> листом від 05.07.2023 № 350/025/14. Відповіді на вказаний лист </w:t>
      </w:r>
      <w:r w:rsidR="00486D16" w:rsidRPr="00356F5B">
        <w:rPr>
          <w:rFonts w:ascii="Times New Roman" w:hAnsi="Times New Roman" w:cs="Times New Roman"/>
          <w:color w:val="202124"/>
          <w:sz w:val="28"/>
          <w:szCs w:val="28"/>
          <w:shd w:val="clear" w:color="auto" w:fill="FFFFFF"/>
        </w:rPr>
        <w:t xml:space="preserve">тимчасова контрольна </w:t>
      </w:r>
      <w:r w:rsidRPr="00356F5B">
        <w:rPr>
          <w:rFonts w:ascii="Times New Roman" w:hAnsi="Times New Roman" w:cs="Times New Roman"/>
          <w:color w:val="202124"/>
          <w:sz w:val="28"/>
          <w:szCs w:val="28"/>
          <w:shd w:val="clear" w:color="auto" w:fill="FFFFFF"/>
        </w:rPr>
        <w:t xml:space="preserve">комісія не отримала. </w:t>
      </w:r>
    </w:p>
    <w:p w14:paraId="7EFC668F" w14:textId="64D388BD" w:rsidR="00B153DC" w:rsidRPr="00356F5B" w:rsidRDefault="00FF2428">
      <w:pPr>
        <w:pStyle w:val="ad"/>
        <w:shd w:val="clear" w:color="auto" w:fill="FFFFFF"/>
        <w:spacing w:beforeAutospacing="0" w:afterAutospacing="0"/>
        <w:ind w:firstLine="720"/>
        <w:jc w:val="both"/>
      </w:pPr>
      <w:r w:rsidRPr="00356F5B">
        <w:rPr>
          <w:color w:val="202124"/>
          <w:sz w:val="28"/>
          <w:szCs w:val="28"/>
          <w:shd w:val="clear" w:color="auto" w:fill="FFFFFF"/>
        </w:rPr>
        <w:t xml:space="preserve">Питання щодо операцій з пов’язаними особами було предметом розгляду аудиту, проведеного міжнародною аудиторською компанією </w:t>
      </w:r>
      <w:proofErr w:type="spellStart"/>
      <w:r w:rsidRPr="00356F5B">
        <w:rPr>
          <w:color w:val="202124"/>
          <w:sz w:val="28"/>
          <w:szCs w:val="28"/>
          <w:shd w:val="clear" w:color="auto" w:fill="FFFFFF"/>
        </w:rPr>
        <w:t>Baker</w:t>
      </w:r>
      <w:proofErr w:type="spellEnd"/>
      <w:r w:rsidRPr="00356F5B">
        <w:rPr>
          <w:color w:val="202124"/>
          <w:sz w:val="28"/>
          <w:szCs w:val="28"/>
          <w:shd w:val="clear" w:color="auto" w:fill="FFFFFF"/>
        </w:rPr>
        <w:t xml:space="preserve"> </w:t>
      </w:r>
      <w:proofErr w:type="spellStart"/>
      <w:r w:rsidRPr="00356F5B">
        <w:rPr>
          <w:color w:val="202124"/>
          <w:sz w:val="28"/>
          <w:szCs w:val="28"/>
          <w:shd w:val="clear" w:color="auto" w:fill="FFFFFF"/>
        </w:rPr>
        <w:t>Tilly</w:t>
      </w:r>
      <w:proofErr w:type="spellEnd"/>
      <w:r w:rsidRPr="00356F5B">
        <w:rPr>
          <w:color w:val="202124"/>
          <w:sz w:val="28"/>
          <w:szCs w:val="28"/>
          <w:shd w:val="clear" w:color="auto" w:fill="FFFFFF"/>
        </w:rPr>
        <w:t xml:space="preserve">. За результатами проведеного дослідження аудитор дійшов висновку, що </w:t>
      </w:r>
      <w:r w:rsidRPr="00356F5B">
        <w:rPr>
          <w:color w:val="000000"/>
          <w:sz w:val="28"/>
          <w:szCs w:val="28"/>
        </w:rPr>
        <w:t xml:space="preserve">розрахунки з пов’язаними особами у складі дебіторської заборгованості станом на кінець 2021 року становлять 1,1%, на кінець 2022 року - 1,1% та станом на кінець 1 півріччя 2023 року - 1,2% від дебіторської заборгованості загалом. Розрахунки з пов’язаними особами у складі кредиторської заборгованості протягом аналізованого періоду становлять менше ніж 0,01%. </w:t>
      </w:r>
    </w:p>
    <w:p w14:paraId="33F77AE1" w14:textId="77777777" w:rsidR="00B153DC" w:rsidRPr="00356F5B" w:rsidRDefault="00FF2428">
      <w:pPr>
        <w:pStyle w:val="ad"/>
        <w:shd w:val="clear" w:color="auto" w:fill="FFFFFF"/>
        <w:spacing w:beforeAutospacing="0" w:afterAutospacing="0"/>
        <w:ind w:firstLine="720"/>
        <w:jc w:val="both"/>
      </w:pPr>
      <w:r w:rsidRPr="00356F5B">
        <w:rPr>
          <w:color w:val="000000"/>
          <w:sz w:val="28"/>
          <w:szCs w:val="28"/>
        </w:rPr>
        <w:t>Крім того, як вже було зазначено, що п</w:t>
      </w:r>
      <w:r w:rsidRPr="00356F5B">
        <w:rPr>
          <w:color w:val="000000"/>
          <w:sz w:val="28"/>
          <w:szCs w:val="28"/>
          <w:shd w:val="clear" w:color="auto" w:fill="FFFFFF"/>
        </w:rPr>
        <w:t xml:space="preserve">ри дослідженні регістрів обліку та первинних документів обліку, фактів безпідставного виведення та списання активів не виявлено.  </w:t>
      </w:r>
      <w:r w:rsidRPr="00356F5B">
        <w:rPr>
          <w:color w:val="000000"/>
          <w:sz w:val="28"/>
          <w:szCs w:val="28"/>
        </w:rPr>
        <w:t xml:space="preserve">  </w:t>
      </w:r>
    </w:p>
    <w:p w14:paraId="3831D830" w14:textId="39CB305F" w:rsidR="00B153DC" w:rsidRPr="00356F5B" w:rsidRDefault="00FF2428">
      <w:pPr>
        <w:pStyle w:val="ad"/>
        <w:shd w:val="clear" w:color="auto" w:fill="FFFFFF"/>
        <w:spacing w:beforeAutospacing="0" w:afterAutospacing="0"/>
        <w:ind w:firstLine="720"/>
        <w:jc w:val="both"/>
      </w:pPr>
      <w:r w:rsidRPr="00356F5B">
        <w:rPr>
          <w:color w:val="000000"/>
          <w:sz w:val="28"/>
          <w:szCs w:val="28"/>
        </w:rPr>
        <w:t xml:space="preserve">З урахуванням викладеного та враховуючи, що редакцією </w:t>
      </w:r>
      <w:proofErr w:type="spellStart"/>
      <w:r w:rsidRPr="00356F5B">
        <w:rPr>
          <w:color w:val="000000"/>
          <w:sz w:val="28"/>
          <w:szCs w:val="28"/>
        </w:rPr>
        <w:t>Bihus</w:t>
      </w:r>
      <w:proofErr w:type="spellEnd"/>
      <w:r w:rsidRPr="00356F5B">
        <w:rPr>
          <w:color w:val="000000"/>
          <w:sz w:val="28"/>
          <w:szCs w:val="28"/>
        </w:rPr>
        <w:t xml:space="preserve"> </w:t>
      </w:r>
      <w:proofErr w:type="spellStart"/>
      <w:r w:rsidRPr="00356F5B">
        <w:rPr>
          <w:color w:val="000000"/>
          <w:sz w:val="28"/>
          <w:szCs w:val="28"/>
        </w:rPr>
        <w:t>info</w:t>
      </w:r>
      <w:proofErr w:type="spellEnd"/>
      <w:r w:rsidRPr="00356F5B">
        <w:rPr>
          <w:color w:val="000000"/>
          <w:sz w:val="28"/>
          <w:szCs w:val="28"/>
        </w:rPr>
        <w:t xml:space="preserve"> не  надано запитувану інформацію, відомості, що </w:t>
      </w:r>
      <w:r w:rsidR="00486D16" w:rsidRPr="00356F5B">
        <w:rPr>
          <w:color w:val="000000"/>
          <w:sz w:val="28"/>
          <w:szCs w:val="28"/>
        </w:rPr>
        <w:t xml:space="preserve"> оприлюднені </w:t>
      </w:r>
      <w:r w:rsidRPr="00356F5B">
        <w:rPr>
          <w:color w:val="000000"/>
          <w:sz w:val="28"/>
          <w:szCs w:val="28"/>
        </w:rPr>
        <w:t xml:space="preserve"> в сюжеті </w:t>
      </w:r>
      <w:proofErr w:type="spellStart"/>
      <w:r w:rsidRPr="00356F5B">
        <w:rPr>
          <w:color w:val="000000"/>
          <w:sz w:val="28"/>
          <w:szCs w:val="28"/>
        </w:rPr>
        <w:t>Bihus</w:t>
      </w:r>
      <w:proofErr w:type="spellEnd"/>
      <w:r w:rsidRPr="00356F5B">
        <w:rPr>
          <w:color w:val="000000"/>
          <w:sz w:val="28"/>
          <w:szCs w:val="28"/>
        </w:rPr>
        <w:t xml:space="preserve"> </w:t>
      </w:r>
      <w:proofErr w:type="spellStart"/>
      <w:r w:rsidRPr="00356F5B">
        <w:rPr>
          <w:color w:val="000000"/>
          <w:sz w:val="28"/>
          <w:szCs w:val="28"/>
        </w:rPr>
        <w:t>info</w:t>
      </w:r>
      <w:proofErr w:type="spellEnd"/>
      <w:r w:rsidRPr="00356F5B">
        <w:rPr>
          <w:color w:val="000000"/>
          <w:sz w:val="28"/>
          <w:szCs w:val="28"/>
        </w:rPr>
        <w:t>, не знайшли свого підтвердження.</w:t>
      </w:r>
    </w:p>
    <w:p w14:paraId="6B3F8A18" w14:textId="77777777" w:rsidR="00B153DC" w:rsidRPr="00356F5B" w:rsidRDefault="00B153DC">
      <w:pPr>
        <w:pStyle w:val="ad"/>
        <w:shd w:val="clear" w:color="auto" w:fill="FFFFFF"/>
        <w:spacing w:beforeAutospacing="0" w:afterAutospacing="0"/>
        <w:ind w:firstLine="720"/>
        <w:jc w:val="both"/>
        <w:rPr>
          <w:b/>
          <w:bCs/>
          <w:color w:val="202124"/>
          <w:sz w:val="28"/>
          <w:szCs w:val="28"/>
          <w:shd w:val="clear" w:color="auto" w:fill="FFFFFF"/>
        </w:rPr>
      </w:pPr>
    </w:p>
    <w:p w14:paraId="7FA1A0B1" w14:textId="7F6A62FC" w:rsidR="00B153DC" w:rsidRPr="00356F5B" w:rsidRDefault="00FF2428">
      <w:pPr>
        <w:pStyle w:val="ad"/>
        <w:shd w:val="clear" w:color="auto" w:fill="FFFFFF"/>
        <w:spacing w:beforeAutospacing="0" w:afterAutospacing="0"/>
        <w:ind w:firstLine="720"/>
        <w:jc w:val="both"/>
      </w:pPr>
      <w:r w:rsidRPr="00356F5B">
        <w:rPr>
          <w:b/>
          <w:bCs/>
          <w:color w:val="202124"/>
          <w:sz w:val="28"/>
          <w:szCs w:val="28"/>
          <w:shd w:val="clear" w:color="auto" w:fill="FFFFFF"/>
        </w:rPr>
        <w:t xml:space="preserve">Позиція </w:t>
      </w:r>
      <w:r w:rsidRPr="00356F5B">
        <w:rPr>
          <w:b/>
          <w:bCs/>
          <w:color w:val="000000"/>
          <w:sz w:val="28"/>
          <w:szCs w:val="28"/>
        </w:rPr>
        <w:t>ПрАТ «ХК «Київміськбуд»</w:t>
      </w:r>
    </w:p>
    <w:p w14:paraId="769EAEBE" w14:textId="3664F0A0" w:rsidR="00B153DC" w:rsidRPr="00356F5B" w:rsidRDefault="00486D16">
      <w:pPr>
        <w:pStyle w:val="ad"/>
        <w:shd w:val="clear" w:color="auto" w:fill="FFFFFF"/>
        <w:spacing w:beforeAutospacing="0" w:afterAutospacing="0"/>
        <w:ind w:firstLine="720"/>
        <w:jc w:val="both"/>
      </w:pPr>
      <w:r w:rsidRPr="00356F5B">
        <w:rPr>
          <w:color w:val="000000"/>
          <w:sz w:val="28"/>
          <w:szCs w:val="28"/>
          <w:shd w:val="clear" w:color="auto" w:fill="FFFFFF"/>
        </w:rPr>
        <w:t xml:space="preserve">Пандемія </w:t>
      </w:r>
      <w:proofErr w:type="spellStart"/>
      <w:r w:rsidR="00FF2428" w:rsidRPr="00356F5B">
        <w:rPr>
          <w:color w:val="000000"/>
          <w:sz w:val="28"/>
          <w:szCs w:val="28"/>
          <w:shd w:val="clear" w:color="auto" w:fill="FFFFFF"/>
        </w:rPr>
        <w:t>Коронавірус</w:t>
      </w:r>
      <w:r w:rsidRPr="00356F5B">
        <w:rPr>
          <w:color w:val="000000"/>
          <w:sz w:val="28"/>
          <w:szCs w:val="28"/>
          <w:shd w:val="clear" w:color="auto" w:fill="FFFFFF"/>
        </w:rPr>
        <w:t>у</w:t>
      </w:r>
      <w:proofErr w:type="spellEnd"/>
      <w:r w:rsidR="00FF2428" w:rsidRPr="00356F5B">
        <w:rPr>
          <w:color w:val="000000"/>
          <w:sz w:val="28"/>
          <w:szCs w:val="28"/>
          <w:shd w:val="clear" w:color="auto" w:fill="FFFFFF"/>
        </w:rPr>
        <w:t xml:space="preserve"> 2019-2021 років та повномасштабна війна Російської Федерації проти України мають суттєвий негативний вплив на ринок житлової нерухомості м. Києва. На декілька перших місяців від повномасштабного вторгнення аналізований ринок зупинився</w:t>
      </w:r>
      <w:r w:rsidRPr="00356F5B">
        <w:rPr>
          <w:color w:val="000000"/>
          <w:sz w:val="28"/>
          <w:szCs w:val="28"/>
          <w:shd w:val="clear" w:color="auto" w:fill="FFFFFF"/>
        </w:rPr>
        <w:t>:</w:t>
      </w:r>
      <w:r w:rsidR="00FF2428" w:rsidRPr="00356F5B">
        <w:rPr>
          <w:color w:val="000000"/>
          <w:sz w:val="28"/>
          <w:szCs w:val="28"/>
          <w:shd w:val="clear" w:color="auto" w:fill="FFFFFF"/>
        </w:rPr>
        <w:t xml:space="preserve"> будівництво </w:t>
      </w:r>
      <w:r w:rsidRPr="00356F5B">
        <w:rPr>
          <w:color w:val="000000"/>
          <w:sz w:val="28"/>
          <w:szCs w:val="28"/>
          <w:shd w:val="clear" w:color="auto" w:fill="FFFFFF"/>
        </w:rPr>
        <w:t>в</w:t>
      </w:r>
      <w:r w:rsidR="00FF2428" w:rsidRPr="00356F5B">
        <w:rPr>
          <w:color w:val="000000"/>
          <w:sz w:val="28"/>
          <w:szCs w:val="28"/>
          <w:shd w:val="clear" w:color="auto" w:fill="FFFFFF"/>
        </w:rPr>
        <w:t xml:space="preserve">сіх проєктів було заморожене, а угоди з купівлі-продажу нерухомості не </w:t>
      </w:r>
      <w:r w:rsidR="00282812" w:rsidRPr="00356F5B">
        <w:rPr>
          <w:color w:val="000000"/>
          <w:sz w:val="28"/>
          <w:szCs w:val="28"/>
          <w:shd w:val="clear" w:color="auto" w:fill="FFFFFF"/>
        </w:rPr>
        <w:t>укладалися</w:t>
      </w:r>
      <w:r w:rsidR="00FF2428" w:rsidRPr="00356F5B">
        <w:rPr>
          <w:color w:val="000000"/>
          <w:sz w:val="28"/>
          <w:szCs w:val="28"/>
          <w:shd w:val="clear" w:color="auto" w:fill="FFFFFF"/>
        </w:rPr>
        <w:t xml:space="preserve">, зважаючи на відсутність попиту та </w:t>
      </w:r>
      <w:r w:rsidR="00282812" w:rsidRPr="00356F5B">
        <w:rPr>
          <w:color w:val="000000"/>
          <w:sz w:val="28"/>
          <w:szCs w:val="28"/>
          <w:shd w:val="clear" w:color="auto" w:fill="FFFFFF"/>
        </w:rPr>
        <w:t xml:space="preserve"> припинення функціонування</w:t>
      </w:r>
      <w:r w:rsidR="00FF2428" w:rsidRPr="00356F5B">
        <w:rPr>
          <w:color w:val="000000"/>
          <w:sz w:val="28"/>
          <w:szCs w:val="28"/>
          <w:shd w:val="clear" w:color="auto" w:fill="FFFFFF"/>
        </w:rPr>
        <w:t xml:space="preserve"> Реєстру прав власності на нерухоме майно. Подальший розвиток ситуації на ринку </w:t>
      </w:r>
      <w:proofErr w:type="spellStart"/>
      <w:r w:rsidR="00FF2428" w:rsidRPr="00356F5B">
        <w:rPr>
          <w:color w:val="000000"/>
          <w:sz w:val="28"/>
          <w:szCs w:val="28"/>
          <w:shd w:val="clear" w:color="auto" w:fill="FFFFFF"/>
        </w:rPr>
        <w:t>залежатиме</w:t>
      </w:r>
      <w:proofErr w:type="spellEnd"/>
      <w:r w:rsidR="00FF2428" w:rsidRPr="00356F5B">
        <w:rPr>
          <w:color w:val="000000"/>
          <w:sz w:val="28"/>
          <w:szCs w:val="28"/>
          <w:shd w:val="clear" w:color="auto" w:fill="FFFFFF"/>
        </w:rPr>
        <w:t xml:space="preserve"> від  ситуації на фронті, </w:t>
      </w:r>
      <w:r w:rsidR="00282812" w:rsidRPr="00356F5B">
        <w:rPr>
          <w:color w:val="000000"/>
          <w:sz w:val="28"/>
          <w:szCs w:val="28"/>
          <w:shd w:val="clear" w:color="auto" w:fill="FFFFFF"/>
        </w:rPr>
        <w:t>часу</w:t>
      </w:r>
      <w:r w:rsidR="00FF2428" w:rsidRPr="00356F5B">
        <w:rPr>
          <w:color w:val="000000"/>
          <w:sz w:val="28"/>
          <w:szCs w:val="28"/>
          <w:shd w:val="clear" w:color="auto" w:fill="FFFFFF"/>
        </w:rPr>
        <w:t xml:space="preserve"> завершення бойових дій, динаміки економічних показників </w:t>
      </w:r>
      <w:r w:rsidR="008C034C" w:rsidRPr="00356F5B">
        <w:rPr>
          <w:color w:val="000000"/>
          <w:sz w:val="28"/>
          <w:szCs w:val="28"/>
          <w:shd w:val="clear" w:color="auto" w:fill="FFFFFF"/>
        </w:rPr>
        <w:t>у</w:t>
      </w:r>
      <w:r w:rsidR="00FF2428" w:rsidRPr="00356F5B">
        <w:rPr>
          <w:color w:val="000000"/>
          <w:sz w:val="28"/>
          <w:szCs w:val="28"/>
          <w:shd w:val="clear" w:color="auto" w:fill="FFFFFF"/>
        </w:rPr>
        <w:t xml:space="preserve"> країні, темпів відновлення економіки та відповідного відновлення купівельної спроможності населення, повернення вимушено переміщених осіб в Україн</w:t>
      </w:r>
      <w:r w:rsidR="00282812" w:rsidRPr="00356F5B">
        <w:rPr>
          <w:color w:val="000000"/>
          <w:sz w:val="28"/>
          <w:szCs w:val="28"/>
          <w:shd w:val="clear" w:color="auto" w:fill="FFFFFF"/>
        </w:rPr>
        <w:t>у</w:t>
      </w:r>
      <w:r w:rsidR="00FF2428" w:rsidRPr="00356F5B">
        <w:rPr>
          <w:color w:val="000000"/>
          <w:sz w:val="28"/>
          <w:szCs w:val="28"/>
          <w:shd w:val="clear" w:color="auto" w:fill="FFFFFF"/>
        </w:rPr>
        <w:t xml:space="preserve">, а також активності </w:t>
      </w:r>
      <w:proofErr w:type="spellStart"/>
      <w:r w:rsidR="00FF2428" w:rsidRPr="00356F5B">
        <w:rPr>
          <w:color w:val="000000"/>
          <w:sz w:val="28"/>
          <w:szCs w:val="28"/>
          <w:shd w:val="clear" w:color="auto" w:fill="FFFFFF"/>
        </w:rPr>
        <w:t>девелоперів</w:t>
      </w:r>
      <w:proofErr w:type="spellEnd"/>
      <w:r w:rsidR="00FF2428" w:rsidRPr="00356F5B">
        <w:rPr>
          <w:color w:val="000000"/>
          <w:sz w:val="28"/>
          <w:szCs w:val="28"/>
          <w:shd w:val="clear" w:color="auto" w:fill="FFFFFF"/>
        </w:rPr>
        <w:t xml:space="preserve"> та темпів вводу проєктів.</w:t>
      </w:r>
    </w:p>
    <w:p w14:paraId="40A2A662" w14:textId="77777777" w:rsidR="00B153DC" w:rsidRPr="00356F5B" w:rsidRDefault="00B153DC">
      <w:pPr>
        <w:pStyle w:val="ad"/>
        <w:shd w:val="clear" w:color="auto" w:fill="FFFFFF"/>
        <w:spacing w:beforeAutospacing="0" w:afterAutospacing="0"/>
        <w:ind w:firstLine="720"/>
        <w:jc w:val="both"/>
        <w:rPr>
          <w:b/>
          <w:bCs/>
          <w:color w:val="202124"/>
          <w:sz w:val="28"/>
          <w:szCs w:val="28"/>
          <w:shd w:val="clear" w:color="auto" w:fill="FFFFFF"/>
        </w:rPr>
      </w:pPr>
    </w:p>
    <w:p w14:paraId="27115F26" w14:textId="77777777" w:rsidR="00C3726E" w:rsidRPr="00356F5B" w:rsidRDefault="00C3726E">
      <w:pPr>
        <w:pStyle w:val="ad"/>
        <w:shd w:val="clear" w:color="auto" w:fill="FFFFFF"/>
        <w:spacing w:beforeAutospacing="0" w:afterAutospacing="0"/>
        <w:ind w:firstLine="720"/>
        <w:jc w:val="both"/>
        <w:rPr>
          <w:b/>
          <w:bCs/>
          <w:color w:val="202124"/>
          <w:sz w:val="28"/>
          <w:szCs w:val="28"/>
          <w:shd w:val="clear" w:color="auto" w:fill="FFFFFF"/>
        </w:rPr>
      </w:pPr>
    </w:p>
    <w:p w14:paraId="3AD5E514" w14:textId="038BD906" w:rsidR="00B153DC" w:rsidRPr="00356F5B" w:rsidRDefault="00FF2428">
      <w:pPr>
        <w:pStyle w:val="ad"/>
        <w:shd w:val="clear" w:color="auto" w:fill="FFFFFF"/>
        <w:spacing w:beforeAutospacing="0" w:afterAutospacing="0"/>
        <w:ind w:firstLine="720"/>
        <w:jc w:val="both"/>
        <w:rPr>
          <w:b/>
          <w:bCs/>
          <w:color w:val="202124"/>
          <w:sz w:val="28"/>
          <w:szCs w:val="28"/>
          <w:shd w:val="clear" w:color="auto" w:fill="FFFFFF"/>
        </w:rPr>
      </w:pPr>
      <w:r w:rsidRPr="00356F5B">
        <w:rPr>
          <w:b/>
          <w:bCs/>
          <w:color w:val="202124"/>
          <w:sz w:val="28"/>
          <w:szCs w:val="28"/>
          <w:shd w:val="clear" w:color="auto" w:fill="FFFFFF"/>
        </w:rPr>
        <w:lastRenderedPageBreak/>
        <w:t xml:space="preserve">Аналіз ринку житлової нерухомості Києва в контексті можливості продовження господарської діяльності ПрАТ «ХК «Київміськбуд», проведеного аудиторською компанією </w:t>
      </w:r>
      <w:proofErr w:type="spellStart"/>
      <w:r w:rsidRPr="00356F5B">
        <w:rPr>
          <w:b/>
          <w:bCs/>
          <w:color w:val="202124"/>
          <w:sz w:val="28"/>
          <w:szCs w:val="28"/>
          <w:shd w:val="clear" w:color="auto" w:fill="FFFFFF"/>
        </w:rPr>
        <w:t>Ernst</w:t>
      </w:r>
      <w:proofErr w:type="spellEnd"/>
      <w:r w:rsidRPr="00356F5B">
        <w:rPr>
          <w:b/>
          <w:bCs/>
          <w:color w:val="202124"/>
          <w:sz w:val="28"/>
          <w:szCs w:val="28"/>
          <w:shd w:val="clear" w:color="auto" w:fill="FFFFFF"/>
        </w:rPr>
        <w:t xml:space="preserve"> &amp; </w:t>
      </w:r>
      <w:proofErr w:type="spellStart"/>
      <w:r w:rsidRPr="00356F5B">
        <w:rPr>
          <w:b/>
          <w:bCs/>
          <w:color w:val="202124"/>
          <w:sz w:val="28"/>
          <w:szCs w:val="28"/>
          <w:shd w:val="clear" w:color="auto" w:fill="FFFFFF"/>
        </w:rPr>
        <w:t>Young</w:t>
      </w:r>
      <w:proofErr w:type="spellEnd"/>
    </w:p>
    <w:p w14:paraId="3AC20430" w14:textId="77777777" w:rsidR="00B153DC" w:rsidRPr="00356F5B" w:rsidRDefault="00FF2428" w:rsidP="008C034C">
      <w:pPr>
        <w:pStyle w:val="ad"/>
        <w:numPr>
          <w:ilvl w:val="0"/>
          <w:numId w:val="2"/>
        </w:numPr>
        <w:shd w:val="clear" w:color="auto" w:fill="FFFFFF"/>
        <w:tabs>
          <w:tab w:val="clear" w:pos="557"/>
          <w:tab w:val="num" w:pos="709"/>
        </w:tabs>
        <w:spacing w:beforeAutospacing="0" w:afterAutospacing="0"/>
        <w:ind w:left="0" w:firstLine="0"/>
        <w:jc w:val="both"/>
      </w:pPr>
      <w:r w:rsidRPr="00356F5B">
        <w:rPr>
          <w:i/>
          <w:iCs/>
          <w:color w:val="000000"/>
          <w:sz w:val="28"/>
          <w:szCs w:val="28"/>
          <w:u w:val="single"/>
          <w:shd w:val="clear" w:color="auto" w:fill="FFFFFF"/>
        </w:rPr>
        <w:t>Стислий огляд пропозиції</w:t>
      </w:r>
    </w:p>
    <w:p w14:paraId="402769B3" w14:textId="43274E80" w:rsidR="00B153DC" w:rsidRPr="00356F5B" w:rsidRDefault="00191F58" w:rsidP="00191F58">
      <w:pPr>
        <w:pStyle w:val="ad"/>
        <w:shd w:val="clear" w:color="auto" w:fill="FFFFFF"/>
        <w:spacing w:beforeAutospacing="0" w:afterAutospacing="0"/>
        <w:jc w:val="both"/>
        <w:rPr>
          <w:color w:val="000000"/>
          <w:sz w:val="28"/>
          <w:szCs w:val="28"/>
        </w:rPr>
      </w:pPr>
      <w:r w:rsidRPr="00356F5B">
        <w:rPr>
          <w:color w:val="000000"/>
          <w:sz w:val="28"/>
          <w:szCs w:val="28"/>
        </w:rPr>
        <w:tab/>
      </w:r>
      <w:r w:rsidR="00FF2428" w:rsidRPr="00356F5B">
        <w:rPr>
          <w:color w:val="000000"/>
          <w:sz w:val="28"/>
          <w:szCs w:val="28"/>
        </w:rPr>
        <w:t>У кінці лютого 2022 року, з початком повномасштабного військового вторгнення Російської Федерації в Україну</w:t>
      </w:r>
      <w:r w:rsidR="00282812" w:rsidRPr="00356F5B">
        <w:rPr>
          <w:color w:val="000000"/>
          <w:sz w:val="28"/>
          <w:szCs w:val="28"/>
        </w:rPr>
        <w:t>,</w:t>
      </w:r>
      <w:r w:rsidR="00FF2428" w:rsidRPr="00356F5B">
        <w:rPr>
          <w:color w:val="000000"/>
          <w:sz w:val="28"/>
          <w:szCs w:val="28"/>
        </w:rPr>
        <w:t xml:space="preserve"> включаючи  територію Київської області</w:t>
      </w:r>
      <w:r w:rsidR="00282812" w:rsidRPr="00356F5B">
        <w:rPr>
          <w:color w:val="000000"/>
          <w:sz w:val="28"/>
          <w:szCs w:val="28"/>
        </w:rPr>
        <w:t>,</w:t>
      </w:r>
      <w:r w:rsidR="00FF2428" w:rsidRPr="00356F5B">
        <w:rPr>
          <w:color w:val="000000"/>
          <w:sz w:val="28"/>
          <w:szCs w:val="28"/>
        </w:rPr>
        <w:t xml:space="preserve"> реалізація всіх про</w:t>
      </w:r>
      <w:r w:rsidR="008C034C" w:rsidRPr="00356F5B">
        <w:rPr>
          <w:color w:val="000000"/>
          <w:sz w:val="28"/>
          <w:szCs w:val="28"/>
        </w:rPr>
        <w:t>є</w:t>
      </w:r>
      <w:r w:rsidR="00FF2428" w:rsidRPr="00356F5B">
        <w:rPr>
          <w:color w:val="000000"/>
          <w:sz w:val="28"/>
          <w:szCs w:val="28"/>
        </w:rPr>
        <w:t>ктів житлової нерухомості в столиці була призупинена. Поступове відновлення робіт на будівельних майданчиках розпочалося лише через декілька місяців. Тим не менш, станом на серпень 2023 року реалізація деяких про</w:t>
      </w:r>
      <w:r w:rsidR="00282812" w:rsidRPr="00356F5B">
        <w:rPr>
          <w:color w:val="000000"/>
          <w:sz w:val="28"/>
          <w:szCs w:val="28"/>
        </w:rPr>
        <w:t>є</w:t>
      </w:r>
      <w:r w:rsidR="00FF2428" w:rsidRPr="00356F5B">
        <w:rPr>
          <w:color w:val="000000"/>
          <w:sz w:val="28"/>
          <w:szCs w:val="28"/>
        </w:rPr>
        <w:t xml:space="preserve">ктів все ще залишається тимчасово призупиненою, а обсяги та темпи будівельних робіт є нижчими в порівнянні з динамікою будівництва до повномасштабного вторгнення. Наразі низька </w:t>
      </w:r>
      <w:proofErr w:type="spellStart"/>
      <w:r w:rsidR="00FF2428" w:rsidRPr="00356F5B">
        <w:rPr>
          <w:color w:val="000000"/>
          <w:sz w:val="28"/>
          <w:szCs w:val="28"/>
        </w:rPr>
        <w:t>девелоперська</w:t>
      </w:r>
      <w:proofErr w:type="spellEnd"/>
      <w:r w:rsidR="00FF2428" w:rsidRPr="00356F5B">
        <w:rPr>
          <w:color w:val="000000"/>
          <w:sz w:val="28"/>
          <w:szCs w:val="28"/>
        </w:rPr>
        <w:t xml:space="preserve"> активність на ринку пов’язана з суттєвим зниженням попиту на житло, порушенням ланцюгів поставок будівельних матеріалів, скороченням робочої сили, браком ліквідності у забудовників та високими ризиками, пов’язаними з інвестуванням коштів в країну. Додаткового негативного ефекту завдав період </w:t>
      </w:r>
      <w:proofErr w:type="spellStart"/>
      <w:r w:rsidR="00FF2428" w:rsidRPr="00356F5B">
        <w:rPr>
          <w:color w:val="000000"/>
          <w:sz w:val="28"/>
          <w:szCs w:val="28"/>
        </w:rPr>
        <w:t>блекаутів</w:t>
      </w:r>
      <w:proofErr w:type="spellEnd"/>
      <w:r w:rsidR="00FF2428" w:rsidRPr="00356F5B">
        <w:rPr>
          <w:color w:val="000000"/>
          <w:sz w:val="28"/>
          <w:szCs w:val="28"/>
        </w:rPr>
        <w:t xml:space="preserve"> восени та взимку 2022 року, коли будівельні компанії не мали змоги повноцінно функціонувати та продовжувати активне будівництво.</w:t>
      </w:r>
    </w:p>
    <w:p w14:paraId="2548140C" w14:textId="1B77C3F9" w:rsidR="00191F58" w:rsidRPr="00356F5B" w:rsidRDefault="00191F58">
      <w:pPr>
        <w:pStyle w:val="ad"/>
        <w:shd w:val="clear" w:color="auto" w:fill="FFFFFF"/>
        <w:spacing w:beforeAutospacing="0" w:afterAutospacing="0"/>
        <w:ind w:left="567" w:hanging="141"/>
        <w:jc w:val="both"/>
      </w:pPr>
    </w:p>
    <w:p w14:paraId="430EBDB6" w14:textId="77777777" w:rsidR="00B153DC" w:rsidRPr="00356F5B" w:rsidRDefault="00FF2428" w:rsidP="00191F58">
      <w:pPr>
        <w:pStyle w:val="ad"/>
        <w:numPr>
          <w:ilvl w:val="0"/>
          <w:numId w:val="2"/>
        </w:numPr>
        <w:shd w:val="clear" w:color="auto" w:fill="FFFFFF"/>
        <w:tabs>
          <w:tab w:val="clear" w:pos="557"/>
          <w:tab w:val="num" w:pos="0"/>
        </w:tabs>
        <w:spacing w:beforeAutospacing="0" w:afterAutospacing="0"/>
        <w:ind w:left="0" w:firstLine="0"/>
        <w:jc w:val="both"/>
      </w:pPr>
      <w:r w:rsidRPr="00356F5B">
        <w:rPr>
          <w:i/>
          <w:iCs/>
          <w:color w:val="000000"/>
          <w:sz w:val="28"/>
          <w:szCs w:val="28"/>
          <w:u w:val="single"/>
        </w:rPr>
        <w:t>Стислий огляд попиту</w:t>
      </w:r>
    </w:p>
    <w:p w14:paraId="080991B0" w14:textId="77777777" w:rsidR="00282812" w:rsidRPr="00356F5B" w:rsidRDefault="008C034C" w:rsidP="00191F58">
      <w:pPr>
        <w:pStyle w:val="ad"/>
        <w:shd w:val="clear" w:color="auto" w:fill="FFFFFF"/>
        <w:tabs>
          <w:tab w:val="num" w:pos="0"/>
        </w:tabs>
        <w:spacing w:beforeAutospacing="0" w:afterAutospacing="0"/>
        <w:jc w:val="both"/>
        <w:rPr>
          <w:color w:val="000000"/>
          <w:sz w:val="28"/>
          <w:szCs w:val="28"/>
        </w:rPr>
      </w:pPr>
      <w:r w:rsidRPr="00356F5B">
        <w:rPr>
          <w:color w:val="000000"/>
          <w:sz w:val="28"/>
          <w:szCs w:val="28"/>
        </w:rPr>
        <w:tab/>
      </w:r>
      <w:r w:rsidR="00FF2428" w:rsidRPr="00356F5B">
        <w:rPr>
          <w:color w:val="000000"/>
          <w:sz w:val="28"/>
          <w:szCs w:val="28"/>
        </w:rPr>
        <w:t xml:space="preserve">Після </w:t>
      </w:r>
      <w:proofErr w:type="spellStart"/>
      <w:r w:rsidR="00FF2428" w:rsidRPr="00356F5B">
        <w:rPr>
          <w:color w:val="000000"/>
          <w:sz w:val="28"/>
          <w:szCs w:val="28"/>
        </w:rPr>
        <w:t>деокупації</w:t>
      </w:r>
      <w:proofErr w:type="spellEnd"/>
      <w:r w:rsidR="00FF2428" w:rsidRPr="00356F5B">
        <w:rPr>
          <w:color w:val="000000"/>
          <w:sz w:val="28"/>
          <w:szCs w:val="28"/>
        </w:rPr>
        <w:t xml:space="preserve"> Київщини у квітні 2022 року, а також із від</w:t>
      </w:r>
      <w:r w:rsidR="00282812" w:rsidRPr="00356F5B">
        <w:rPr>
          <w:color w:val="000000"/>
          <w:sz w:val="28"/>
          <w:szCs w:val="28"/>
        </w:rPr>
        <w:t>новлення функціонування</w:t>
      </w:r>
      <w:r w:rsidR="00FF2428" w:rsidRPr="00356F5B">
        <w:rPr>
          <w:color w:val="000000"/>
          <w:sz w:val="28"/>
          <w:szCs w:val="28"/>
        </w:rPr>
        <w:t xml:space="preserve"> Реєстру речових прав на нерухоме майно почалося повільне відновлення купівельної активності на ринку житла столиці. Тим не менш, погіршення економічної ситуації в країні, низька купівельна спроможність, зниження заробітних плат, а також високі ризики втрати майна та низькі темпи відновлення будівельних робіт на майданчиках не дозволили попиту швидко відновитися та залишали його на низькому рівні. Додаткового негативного впливу на купівельну активність на ринку також додал</w:t>
      </w:r>
      <w:r w:rsidR="00282812" w:rsidRPr="00356F5B">
        <w:rPr>
          <w:color w:val="000000"/>
          <w:sz w:val="28"/>
          <w:szCs w:val="28"/>
        </w:rPr>
        <w:t>о збільшення</w:t>
      </w:r>
      <w:r w:rsidR="00FF2428" w:rsidRPr="00356F5B">
        <w:rPr>
          <w:color w:val="000000"/>
          <w:sz w:val="28"/>
          <w:szCs w:val="28"/>
        </w:rPr>
        <w:t xml:space="preserve"> повітряних обстрілів восени та взимку 2022 року. Таким чином, у 2022 році загальна кількість договорів купівлі-продажу житла на вторинному ринку Києва становила близько 18 тис., що на 57% менше попереднього року. У порівнянні із вторинним ринком попит на новобудови у 2022 році був ще нижчим, зважаючи на переорієнтацію інтересу потенційних покупців з первинного на вторинний ринок нерухомості на </w:t>
      </w:r>
      <w:r w:rsidR="00282812" w:rsidRPr="00356F5B">
        <w:rPr>
          <w:color w:val="000000"/>
          <w:sz w:val="28"/>
          <w:szCs w:val="28"/>
        </w:rPr>
        <w:t>тлі</w:t>
      </w:r>
      <w:r w:rsidR="00FF2428" w:rsidRPr="00356F5B">
        <w:rPr>
          <w:color w:val="000000"/>
          <w:sz w:val="28"/>
          <w:szCs w:val="28"/>
        </w:rPr>
        <w:t xml:space="preserve"> масової зупинки про</w:t>
      </w:r>
      <w:r w:rsidR="00282812" w:rsidRPr="00356F5B">
        <w:rPr>
          <w:color w:val="000000"/>
          <w:sz w:val="28"/>
          <w:szCs w:val="28"/>
        </w:rPr>
        <w:t>є</w:t>
      </w:r>
      <w:r w:rsidR="00FF2428" w:rsidRPr="00356F5B">
        <w:rPr>
          <w:color w:val="000000"/>
          <w:sz w:val="28"/>
          <w:szCs w:val="28"/>
        </w:rPr>
        <w:t xml:space="preserve">ктів, повільних темпів відновлення будівництва, переносів строку вводу та ризиків недобудови житлових комплексів. Відповідно до заяв </w:t>
      </w:r>
      <w:proofErr w:type="spellStart"/>
      <w:r w:rsidR="00FF2428" w:rsidRPr="00356F5B">
        <w:rPr>
          <w:color w:val="000000"/>
          <w:sz w:val="28"/>
          <w:szCs w:val="28"/>
        </w:rPr>
        <w:t>девелоперів</w:t>
      </w:r>
      <w:proofErr w:type="spellEnd"/>
      <w:r w:rsidR="00FF2428" w:rsidRPr="00356F5B">
        <w:rPr>
          <w:color w:val="000000"/>
          <w:sz w:val="28"/>
          <w:szCs w:val="28"/>
        </w:rPr>
        <w:t xml:space="preserve">, станом на кінець 2022 року попит на новобудови значно знизився та становив </w:t>
      </w:r>
      <w:r w:rsidR="00282812" w:rsidRPr="00356F5B">
        <w:rPr>
          <w:color w:val="000000"/>
          <w:sz w:val="28"/>
          <w:szCs w:val="28"/>
        </w:rPr>
        <w:t>у</w:t>
      </w:r>
      <w:r w:rsidR="00FF2428" w:rsidRPr="00356F5B">
        <w:rPr>
          <w:color w:val="000000"/>
          <w:sz w:val="28"/>
          <w:szCs w:val="28"/>
        </w:rPr>
        <w:t xml:space="preserve">сього близько 10% від довоєнних обсягів, що призвело до значного скорочення доходів та зменшення ліквідності у житлових </w:t>
      </w:r>
      <w:proofErr w:type="spellStart"/>
      <w:r w:rsidR="00FF2428" w:rsidRPr="00356F5B">
        <w:rPr>
          <w:color w:val="000000"/>
          <w:sz w:val="28"/>
          <w:szCs w:val="28"/>
        </w:rPr>
        <w:t>девелоперів</w:t>
      </w:r>
      <w:proofErr w:type="spellEnd"/>
      <w:r w:rsidR="00FF2428" w:rsidRPr="00356F5B">
        <w:rPr>
          <w:color w:val="000000"/>
          <w:sz w:val="28"/>
          <w:szCs w:val="28"/>
        </w:rPr>
        <w:t xml:space="preserve">. </w:t>
      </w:r>
      <w:r w:rsidRPr="00356F5B">
        <w:rPr>
          <w:color w:val="000000"/>
          <w:sz w:val="28"/>
          <w:szCs w:val="28"/>
        </w:rPr>
        <w:tab/>
      </w:r>
    </w:p>
    <w:p w14:paraId="2790C61C" w14:textId="4B094EED" w:rsidR="00B153DC" w:rsidRPr="00356F5B" w:rsidRDefault="00282812" w:rsidP="00191F58">
      <w:pPr>
        <w:pStyle w:val="ad"/>
        <w:shd w:val="clear" w:color="auto" w:fill="FFFFFF"/>
        <w:tabs>
          <w:tab w:val="num" w:pos="0"/>
        </w:tabs>
        <w:spacing w:beforeAutospacing="0" w:afterAutospacing="0"/>
        <w:jc w:val="both"/>
        <w:rPr>
          <w:color w:val="000000"/>
          <w:sz w:val="28"/>
          <w:szCs w:val="28"/>
        </w:rPr>
      </w:pPr>
      <w:r w:rsidRPr="00356F5B">
        <w:rPr>
          <w:color w:val="000000"/>
          <w:sz w:val="28"/>
          <w:szCs w:val="28"/>
        </w:rPr>
        <w:tab/>
      </w:r>
      <w:r w:rsidR="00FF2428" w:rsidRPr="00356F5B">
        <w:rPr>
          <w:color w:val="000000"/>
          <w:sz w:val="28"/>
          <w:szCs w:val="28"/>
        </w:rPr>
        <w:t xml:space="preserve">Починаючи з березня 2023 року, </w:t>
      </w:r>
      <w:proofErr w:type="spellStart"/>
      <w:r w:rsidR="00FF2428" w:rsidRPr="00356F5B">
        <w:rPr>
          <w:color w:val="000000"/>
          <w:sz w:val="28"/>
          <w:szCs w:val="28"/>
        </w:rPr>
        <w:t>девелопери</w:t>
      </w:r>
      <w:proofErr w:type="spellEnd"/>
      <w:r w:rsidR="00FF2428" w:rsidRPr="00356F5B">
        <w:rPr>
          <w:color w:val="000000"/>
          <w:sz w:val="28"/>
          <w:szCs w:val="28"/>
        </w:rPr>
        <w:t xml:space="preserve"> відмічали нову хвилю зростання темпів продажів на ринку за рахунок відкладеного попиту та більш активного відновлення будівельних робіт на майданчиках. Станом на середину 2023 року в сегменті економ- та </w:t>
      </w:r>
      <w:proofErr w:type="spellStart"/>
      <w:r w:rsidR="00FF2428" w:rsidRPr="00356F5B">
        <w:rPr>
          <w:color w:val="000000"/>
          <w:sz w:val="28"/>
          <w:szCs w:val="28"/>
        </w:rPr>
        <w:t>комфорткласів</w:t>
      </w:r>
      <w:proofErr w:type="spellEnd"/>
      <w:r w:rsidR="00FF2428" w:rsidRPr="00356F5B">
        <w:rPr>
          <w:color w:val="000000"/>
          <w:sz w:val="28"/>
          <w:szCs w:val="28"/>
        </w:rPr>
        <w:t>, попит становив близько 10% від довоєнних обсягів для тих про</w:t>
      </w:r>
      <w:r w:rsidRPr="00356F5B">
        <w:rPr>
          <w:color w:val="000000"/>
          <w:sz w:val="28"/>
          <w:szCs w:val="28"/>
        </w:rPr>
        <w:t>є</w:t>
      </w:r>
      <w:r w:rsidR="00FF2428" w:rsidRPr="00356F5B">
        <w:rPr>
          <w:color w:val="000000"/>
          <w:sz w:val="28"/>
          <w:szCs w:val="28"/>
        </w:rPr>
        <w:t xml:space="preserve">ктів, які знаходились на початкових стадіях будівництва та на яких не проводились активні будівельні </w:t>
      </w:r>
      <w:r w:rsidR="00FF2428" w:rsidRPr="00356F5B">
        <w:rPr>
          <w:color w:val="000000"/>
          <w:sz w:val="28"/>
          <w:szCs w:val="28"/>
        </w:rPr>
        <w:lastRenderedPageBreak/>
        <w:t xml:space="preserve">роботи. </w:t>
      </w:r>
      <w:r w:rsidR="008C034C" w:rsidRPr="00356F5B">
        <w:rPr>
          <w:color w:val="000000"/>
          <w:sz w:val="28"/>
          <w:szCs w:val="28"/>
        </w:rPr>
        <w:t>У</w:t>
      </w:r>
      <w:r w:rsidR="00FF2428" w:rsidRPr="00356F5B">
        <w:rPr>
          <w:color w:val="000000"/>
          <w:sz w:val="28"/>
          <w:szCs w:val="28"/>
        </w:rPr>
        <w:t xml:space="preserve"> тих </w:t>
      </w:r>
      <w:proofErr w:type="spellStart"/>
      <w:r w:rsidR="00FF2428" w:rsidRPr="00356F5B">
        <w:rPr>
          <w:color w:val="000000"/>
          <w:sz w:val="28"/>
          <w:szCs w:val="28"/>
        </w:rPr>
        <w:t>про</w:t>
      </w:r>
      <w:r w:rsidR="008C034C" w:rsidRPr="00356F5B">
        <w:rPr>
          <w:color w:val="000000"/>
          <w:sz w:val="28"/>
          <w:szCs w:val="28"/>
        </w:rPr>
        <w:t>є</w:t>
      </w:r>
      <w:r w:rsidR="00FF2428" w:rsidRPr="00356F5B">
        <w:rPr>
          <w:color w:val="000000"/>
          <w:sz w:val="28"/>
          <w:szCs w:val="28"/>
        </w:rPr>
        <w:t>ктах</w:t>
      </w:r>
      <w:proofErr w:type="spellEnd"/>
      <w:r w:rsidR="00FF2428" w:rsidRPr="00356F5B">
        <w:rPr>
          <w:color w:val="000000"/>
          <w:sz w:val="28"/>
          <w:szCs w:val="28"/>
        </w:rPr>
        <w:t>, що знаходились на завершальних стадіях будівництва та в яких будівельні роботи велися високими темпами, обсяг попиту в середньому міг досягати 20-30% від показників 2021 року. Основними стримуючими факторами попиту були та наразі залишаються фізичні ризики втрати або недобудови майна, пануюча невизначеність стосовно подальшого розвитку ринку та ситуації на фронті, макроекономічна нестабільність та зниження купівельної спроможності населення.</w:t>
      </w:r>
    </w:p>
    <w:p w14:paraId="2DA3BB5D" w14:textId="77777777" w:rsidR="00191F58" w:rsidRPr="00356F5B" w:rsidRDefault="00191F58" w:rsidP="00191F58">
      <w:pPr>
        <w:pStyle w:val="ad"/>
        <w:shd w:val="clear" w:color="auto" w:fill="FFFFFF"/>
        <w:tabs>
          <w:tab w:val="num" w:pos="0"/>
        </w:tabs>
        <w:spacing w:beforeAutospacing="0" w:afterAutospacing="0"/>
        <w:jc w:val="both"/>
      </w:pPr>
    </w:p>
    <w:p w14:paraId="780CF596" w14:textId="77777777" w:rsidR="00B153DC" w:rsidRPr="00356F5B" w:rsidRDefault="00FF2428" w:rsidP="00191F58">
      <w:pPr>
        <w:pStyle w:val="ad"/>
        <w:numPr>
          <w:ilvl w:val="0"/>
          <w:numId w:val="2"/>
        </w:numPr>
        <w:shd w:val="clear" w:color="auto" w:fill="FFFFFF"/>
        <w:tabs>
          <w:tab w:val="clear" w:pos="557"/>
          <w:tab w:val="num" w:pos="0"/>
        </w:tabs>
        <w:spacing w:beforeAutospacing="0" w:afterAutospacing="0"/>
        <w:ind w:left="0" w:firstLine="0"/>
        <w:jc w:val="both"/>
      </w:pPr>
      <w:r w:rsidRPr="00356F5B">
        <w:rPr>
          <w:i/>
          <w:iCs/>
          <w:color w:val="000000"/>
          <w:sz w:val="28"/>
          <w:szCs w:val="28"/>
          <w:u w:val="single"/>
        </w:rPr>
        <w:t>Ключові висновки</w:t>
      </w:r>
    </w:p>
    <w:p w14:paraId="24367E65" w14:textId="20D31CAC" w:rsidR="00B153DC" w:rsidRPr="00356F5B" w:rsidRDefault="008C034C" w:rsidP="00191F58">
      <w:pPr>
        <w:pStyle w:val="ad"/>
        <w:shd w:val="clear" w:color="auto" w:fill="FFFFFF"/>
        <w:tabs>
          <w:tab w:val="num" w:pos="0"/>
        </w:tabs>
        <w:spacing w:beforeAutospacing="0" w:afterAutospacing="0"/>
        <w:jc w:val="both"/>
        <w:rPr>
          <w:color w:val="000000"/>
          <w:sz w:val="28"/>
          <w:szCs w:val="28"/>
        </w:rPr>
      </w:pPr>
      <w:r w:rsidRPr="00356F5B">
        <w:rPr>
          <w:color w:val="000000"/>
          <w:sz w:val="28"/>
          <w:szCs w:val="28"/>
        </w:rPr>
        <w:tab/>
      </w:r>
      <w:r w:rsidR="00FF2428" w:rsidRPr="00356F5B">
        <w:rPr>
          <w:color w:val="000000"/>
          <w:sz w:val="28"/>
          <w:szCs w:val="28"/>
        </w:rPr>
        <w:t xml:space="preserve">Повномасштабна війна Російської Федерації проти </w:t>
      </w:r>
      <w:r w:rsidRPr="00356F5B">
        <w:rPr>
          <w:color w:val="000000"/>
          <w:sz w:val="28"/>
          <w:szCs w:val="28"/>
        </w:rPr>
        <w:t>У</w:t>
      </w:r>
      <w:r w:rsidR="00FF2428" w:rsidRPr="00356F5B">
        <w:rPr>
          <w:color w:val="000000"/>
          <w:sz w:val="28"/>
          <w:szCs w:val="28"/>
        </w:rPr>
        <w:t>країни має суттєвий негативний вплив на ринок житлової нерухомості м. Києва. На декілька перших місяців від початку повномасштабного вторгнення аналізований ринок зупинився</w:t>
      </w:r>
      <w:r w:rsidR="00282812" w:rsidRPr="00356F5B">
        <w:rPr>
          <w:color w:val="000000"/>
          <w:sz w:val="28"/>
          <w:szCs w:val="28"/>
        </w:rPr>
        <w:t>: будівництво всіх проє</w:t>
      </w:r>
      <w:r w:rsidR="00FF2428" w:rsidRPr="00356F5B">
        <w:rPr>
          <w:color w:val="000000"/>
          <w:sz w:val="28"/>
          <w:szCs w:val="28"/>
        </w:rPr>
        <w:t xml:space="preserve">ктів було заморожене, а </w:t>
      </w:r>
      <w:r w:rsidR="00282812" w:rsidRPr="00356F5B">
        <w:rPr>
          <w:color w:val="000000"/>
          <w:sz w:val="28"/>
          <w:szCs w:val="28"/>
        </w:rPr>
        <w:t xml:space="preserve"> укладання угод</w:t>
      </w:r>
      <w:r w:rsidR="00FF2428" w:rsidRPr="00356F5B">
        <w:rPr>
          <w:color w:val="000000"/>
          <w:sz w:val="28"/>
          <w:szCs w:val="28"/>
        </w:rPr>
        <w:t xml:space="preserve"> з купівлі-продажу нерухомості не відбувалися, зважаючи на відсутність попиту та </w:t>
      </w:r>
      <w:r w:rsidR="00282812" w:rsidRPr="00356F5B">
        <w:rPr>
          <w:color w:val="000000"/>
          <w:sz w:val="28"/>
          <w:szCs w:val="28"/>
        </w:rPr>
        <w:t>припинення функціонування</w:t>
      </w:r>
      <w:r w:rsidR="00FF2428" w:rsidRPr="00356F5B">
        <w:rPr>
          <w:color w:val="000000"/>
          <w:sz w:val="28"/>
          <w:szCs w:val="28"/>
        </w:rPr>
        <w:t xml:space="preserve"> Реєстру прав на нерухоме майно. Незважаючи на те, що станом на кінець липня 2023 дещо більше ніж</w:t>
      </w:r>
      <w:r w:rsidR="00282812" w:rsidRPr="00356F5B">
        <w:rPr>
          <w:color w:val="000000"/>
          <w:sz w:val="28"/>
          <w:szCs w:val="28"/>
        </w:rPr>
        <w:t xml:space="preserve"> на </w:t>
      </w:r>
      <w:r w:rsidR="00FF2428" w:rsidRPr="00356F5B">
        <w:rPr>
          <w:color w:val="000000"/>
          <w:sz w:val="28"/>
          <w:szCs w:val="28"/>
        </w:rPr>
        <w:t xml:space="preserve"> половин</w:t>
      </w:r>
      <w:r w:rsidR="00282812" w:rsidRPr="00356F5B">
        <w:rPr>
          <w:color w:val="000000"/>
          <w:sz w:val="28"/>
          <w:szCs w:val="28"/>
        </w:rPr>
        <w:t>і</w:t>
      </w:r>
      <w:r w:rsidR="00FF2428" w:rsidRPr="00356F5B">
        <w:rPr>
          <w:color w:val="000000"/>
          <w:sz w:val="28"/>
          <w:szCs w:val="28"/>
        </w:rPr>
        <w:t xml:space="preserve"> житлових комплексів Києва віднов</w:t>
      </w:r>
      <w:r w:rsidR="00282812" w:rsidRPr="00356F5B">
        <w:rPr>
          <w:color w:val="000000"/>
          <w:sz w:val="28"/>
          <w:szCs w:val="28"/>
        </w:rPr>
        <w:t>лено</w:t>
      </w:r>
      <w:r w:rsidR="00FF2428" w:rsidRPr="00356F5B">
        <w:rPr>
          <w:color w:val="000000"/>
          <w:sz w:val="28"/>
          <w:szCs w:val="28"/>
        </w:rPr>
        <w:t xml:space="preserve"> будівництво, темпи та масштаби </w:t>
      </w:r>
      <w:proofErr w:type="spellStart"/>
      <w:r w:rsidR="00FF2428" w:rsidRPr="00356F5B">
        <w:rPr>
          <w:color w:val="000000"/>
          <w:sz w:val="28"/>
          <w:szCs w:val="28"/>
        </w:rPr>
        <w:t>девелоперської</w:t>
      </w:r>
      <w:proofErr w:type="spellEnd"/>
      <w:r w:rsidR="00FF2428" w:rsidRPr="00356F5B">
        <w:rPr>
          <w:color w:val="000000"/>
          <w:sz w:val="28"/>
          <w:szCs w:val="28"/>
        </w:rPr>
        <w:t xml:space="preserve"> активності на ринку залишаються низькими. Обсяги попиту на житлову нерухомість також перебувають на досить низькому рівні на </w:t>
      </w:r>
      <w:r w:rsidR="00C3726E" w:rsidRPr="00356F5B">
        <w:rPr>
          <w:color w:val="000000"/>
          <w:sz w:val="28"/>
          <w:szCs w:val="28"/>
        </w:rPr>
        <w:t>тлі</w:t>
      </w:r>
      <w:r w:rsidR="00FF2428" w:rsidRPr="00356F5B">
        <w:rPr>
          <w:color w:val="000000"/>
          <w:sz w:val="28"/>
          <w:szCs w:val="28"/>
        </w:rPr>
        <w:t xml:space="preserve"> погіршення економічної ситуації в країні, падіння </w:t>
      </w:r>
      <w:r w:rsidR="00C3726E" w:rsidRPr="00356F5B">
        <w:rPr>
          <w:color w:val="000000"/>
          <w:sz w:val="28"/>
          <w:szCs w:val="28"/>
        </w:rPr>
        <w:t xml:space="preserve"> рівня </w:t>
      </w:r>
      <w:r w:rsidR="00FF2428" w:rsidRPr="00356F5B">
        <w:rPr>
          <w:color w:val="000000"/>
          <w:sz w:val="28"/>
          <w:szCs w:val="28"/>
        </w:rPr>
        <w:t xml:space="preserve">заробітних плат та зростання безробіття населення. Також попит в сегменті значно стримує низька </w:t>
      </w:r>
      <w:proofErr w:type="spellStart"/>
      <w:r w:rsidR="00FF2428" w:rsidRPr="00356F5B">
        <w:rPr>
          <w:color w:val="000000"/>
          <w:sz w:val="28"/>
          <w:szCs w:val="28"/>
        </w:rPr>
        <w:t>девелоперська</w:t>
      </w:r>
      <w:proofErr w:type="spellEnd"/>
      <w:r w:rsidR="00FF2428" w:rsidRPr="00356F5B">
        <w:rPr>
          <w:color w:val="000000"/>
          <w:sz w:val="28"/>
          <w:szCs w:val="28"/>
        </w:rPr>
        <w:t xml:space="preserve"> активність та високі ризики недобудови чи переносу строків введення про</w:t>
      </w:r>
      <w:r w:rsidR="00C3726E" w:rsidRPr="00356F5B">
        <w:rPr>
          <w:color w:val="000000"/>
          <w:sz w:val="28"/>
          <w:szCs w:val="28"/>
        </w:rPr>
        <w:t>є</w:t>
      </w:r>
      <w:r w:rsidR="00FF2428" w:rsidRPr="00356F5B">
        <w:rPr>
          <w:color w:val="000000"/>
          <w:sz w:val="28"/>
          <w:szCs w:val="28"/>
        </w:rPr>
        <w:t xml:space="preserve">ктів в експлуатацію. Подальший розвиток ситуації на ринку </w:t>
      </w:r>
      <w:proofErr w:type="spellStart"/>
      <w:r w:rsidR="00FF2428" w:rsidRPr="00356F5B">
        <w:rPr>
          <w:color w:val="000000"/>
          <w:sz w:val="28"/>
          <w:szCs w:val="28"/>
        </w:rPr>
        <w:t>залежатиме</w:t>
      </w:r>
      <w:proofErr w:type="spellEnd"/>
      <w:r w:rsidR="00FF2428" w:rsidRPr="00356F5B">
        <w:rPr>
          <w:color w:val="000000"/>
          <w:sz w:val="28"/>
          <w:szCs w:val="28"/>
        </w:rPr>
        <w:t xml:space="preserve"> від ситуації на фронті, </w:t>
      </w:r>
      <w:r w:rsidR="00C3726E" w:rsidRPr="00356F5B">
        <w:rPr>
          <w:color w:val="000000"/>
          <w:sz w:val="28"/>
          <w:szCs w:val="28"/>
        </w:rPr>
        <w:t>часу</w:t>
      </w:r>
      <w:r w:rsidR="00FF2428" w:rsidRPr="00356F5B">
        <w:rPr>
          <w:color w:val="000000"/>
          <w:sz w:val="28"/>
          <w:szCs w:val="28"/>
        </w:rPr>
        <w:t xml:space="preserve"> завершення активних бойових дій, динаміки економічних показників </w:t>
      </w:r>
      <w:r w:rsidR="00C3726E" w:rsidRPr="00356F5B">
        <w:rPr>
          <w:color w:val="000000"/>
          <w:sz w:val="28"/>
          <w:szCs w:val="28"/>
        </w:rPr>
        <w:t>у</w:t>
      </w:r>
      <w:r w:rsidR="00FF2428" w:rsidRPr="00356F5B">
        <w:rPr>
          <w:color w:val="000000"/>
          <w:sz w:val="28"/>
          <w:szCs w:val="28"/>
        </w:rPr>
        <w:t xml:space="preserve"> країні, темпів відновлення економіки та відповідного відновлення купівельної спроможності населення, повернення вимушено переміщених осіб в Україну, а також активності </w:t>
      </w:r>
      <w:proofErr w:type="spellStart"/>
      <w:r w:rsidR="00FF2428" w:rsidRPr="00356F5B">
        <w:rPr>
          <w:color w:val="000000"/>
          <w:sz w:val="28"/>
          <w:szCs w:val="28"/>
        </w:rPr>
        <w:t>девелоперів</w:t>
      </w:r>
      <w:proofErr w:type="spellEnd"/>
      <w:r w:rsidR="00FF2428" w:rsidRPr="00356F5B">
        <w:rPr>
          <w:color w:val="000000"/>
          <w:sz w:val="28"/>
          <w:szCs w:val="28"/>
        </w:rPr>
        <w:t xml:space="preserve"> та темпів вводу про</w:t>
      </w:r>
      <w:r w:rsidR="00C3726E" w:rsidRPr="00356F5B">
        <w:rPr>
          <w:color w:val="000000"/>
          <w:sz w:val="28"/>
          <w:szCs w:val="28"/>
        </w:rPr>
        <w:t>є</w:t>
      </w:r>
      <w:r w:rsidR="00FF2428" w:rsidRPr="00356F5B">
        <w:rPr>
          <w:color w:val="000000"/>
          <w:sz w:val="28"/>
          <w:szCs w:val="28"/>
        </w:rPr>
        <w:t>ктів.</w:t>
      </w:r>
    </w:p>
    <w:p w14:paraId="13C569AA" w14:textId="77777777" w:rsidR="00191F58" w:rsidRPr="00356F5B" w:rsidRDefault="00191F58" w:rsidP="00191F58">
      <w:pPr>
        <w:pStyle w:val="ad"/>
        <w:shd w:val="clear" w:color="auto" w:fill="FFFFFF"/>
        <w:tabs>
          <w:tab w:val="num" w:pos="0"/>
        </w:tabs>
        <w:spacing w:beforeAutospacing="0" w:afterAutospacing="0"/>
        <w:jc w:val="both"/>
      </w:pPr>
    </w:p>
    <w:p w14:paraId="599BA8C1" w14:textId="77777777" w:rsidR="00B153DC" w:rsidRPr="00356F5B" w:rsidRDefault="00FF2428" w:rsidP="00191F58">
      <w:pPr>
        <w:pStyle w:val="ad"/>
        <w:shd w:val="clear" w:color="auto" w:fill="FFFFFF"/>
        <w:tabs>
          <w:tab w:val="num" w:pos="0"/>
        </w:tabs>
        <w:spacing w:beforeAutospacing="0" w:afterAutospacing="0"/>
        <w:jc w:val="both"/>
      </w:pPr>
      <w:r w:rsidRPr="00356F5B">
        <w:rPr>
          <w:b/>
          <w:bCs/>
          <w:color w:val="000000"/>
          <w:sz w:val="28"/>
          <w:szCs w:val="28"/>
        </w:rPr>
        <w:t>Результати фінансового аналізу</w:t>
      </w:r>
    </w:p>
    <w:p w14:paraId="43A5D991" w14:textId="77777777" w:rsidR="00B153DC" w:rsidRPr="00356F5B" w:rsidRDefault="00FF2428" w:rsidP="00191F58">
      <w:pPr>
        <w:pStyle w:val="ad"/>
        <w:numPr>
          <w:ilvl w:val="0"/>
          <w:numId w:val="3"/>
        </w:numPr>
        <w:shd w:val="clear" w:color="auto" w:fill="FFFFFF"/>
        <w:spacing w:beforeAutospacing="0" w:afterAutospacing="0"/>
        <w:ind w:left="0" w:firstLine="0"/>
        <w:jc w:val="both"/>
      </w:pPr>
      <w:r w:rsidRPr="00356F5B">
        <w:rPr>
          <w:i/>
          <w:iCs/>
          <w:color w:val="000000"/>
          <w:sz w:val="28"/>
          <w:szCs w:val="28"/>
          <w:u w:val="single"/>
        </w:rPr>
        <w:t>Фінансовий прогноз</w:t>
      </w:r>
    </w:p>
    <w:p w14:paraId="4C986744" w14:textId="4622C82F" w:rsidR="00B153DC" w:rsidRPr="00356F5B" w:rsidRDefault="00E76A4D" w:rsidP="00191F58">
      <w:pPr>
        <w:pStyle w:val="ad"/>
        <w:shd w:val="clear" w:color="auto" w:fill="FFFFFF"/>
        <w:tabs>
          <w:tab w:val="num" w:pos="0"/>
        </w:tabs>
        <w:spacing w:beforeAutospacing="0" w:afterAutospacing="0"/>
        <w:jc w:val="both"/>
        <w:rPr>
          <w:color w:val="000000"/>
          <w:sz w:val="28"/>
          <w:szCs w:val="28"/>
        </w:rPr>
      </w:pPr>
      <w:r w:rsidRPr="00356F5B">
        <w:rPr>
          <w:color w:val="000000"/>
          <w:sz w:val="28"/>
          <w:szCs w:val="28"/>
        </w:rPr>
        <w:tab/>
      </w:r>
      <w:r w:rsidR="00FF2428" w:rsidRPr="00356F5B">
        <w:rPr>
          <w:color w:val="000000"/>
          <w:sz w:val="28"/>
          <w:szCs w:val="28"/>
        </w:rPr>
        <w:t xml:space="preserve">Прогнозування майбутніх грошових потоків, пов’язаних з реалізацією аналізованих </w:t>
      </w:r>
      <w:r w:rsidRPr="00356F5B">
        <w:rPr>
          <w:color w:val="000000"/>
          <w:sz w:val="28"/>
          <w:szCs w:val="28"/>
        </w:rPr>
        <w:t>о</w:t>
      </w:r>
      <w:r w:rsidR="00FF2428" w:rsidRPr="00356F5B">
        <w:rPr>
          <w:color w:val="000000"/>
          <w:sz w:val="28"/>
          <w:szCs w:val="28"/>
        </w:rPr>
        <w:t xml:space="preserve">б’єктів, здійснювалося за трьома сценаріями: консервативним, базовим та оптимістичним. </w:t>
      </w:r>
      <w:r w:rsidRPr="00356F5B">
        <w:rPr>
          <w:color w:val="000000"/>
          <w:sz w:val="28"/>
          <w:szCs w:val="28"/>
        </w:rPr>
        <w:t>У</w:t>
      </w:r>
      <w:r w:rsidR="00FF2428" w:rsidRPr="00356F5B">
        <w:rPr>
          <w:color w:val="000000"/>
          <w:sz w:val="28"/>
          <w:szCs w:val="28"/>
        </w:rPr>
        <w:t xml:space="preserve"> кожному з аналізованих сценаріїв є два ключових фактори, які мають значний вплив на результати фінансового аналізу - це дата завершення бойових дій та дата повернення попиту та купівельної спроможності на ринку до стабілізованих довоєнних показників. Для оптимістичного сценарію використані припущення НБУ, для базового сценарію використана дата, яка часто з’являється в публічних інформаційних джерелах та яку пов’язують з майбутніми виборами у США, а для песимістичного сценарію використані прогнози Віденського Інституту Міжнародних Економічних Досліджень.</w:t>
      </w:r>
    </w:p>
    <w:p w14:paraId="3F668D37" w14:textId="662D08D2" w:rsidR="00BC4DA8" w:rsidRPr="00356F5B" w:rsidRDefault="00BC4DA8" w:rsidP="00191F58">
      <w:pPr>
        <w:pStyle w:val="ad"/>
        <w:shd w:val="clear" w:color="auto" w:fill="FFFFFF"/>
        <w:tabs>
          <w:tab w:val="num" w:pos="0"/>
        </w:tabs>
        <w:spacing w:beforeAutospacing="0" w:afterAutospacing="0"/>
        <w:jc w:val="both"/>
        <w:rPr>
          <w:color w:val="000000"/>
          <w:sz w:val="28"/>
          <w:szCs w:val="28"/>
        </w:rPr>
      </w:pPr>
    </w:p>
    <w:p w14:paraId="68B83BA0" w14:textId="79A3CBEF" w:rsidR="00BC4DA8" w:rsidRDefault="00BC4DA8" w:rsidP="00191F58">
      <w:pPr>
        <w:pStyle w:val="ad"/>
        <w:shd w:val="clear" w:color="auto" w:fill="FFFFFF"/>
        <w:tabs>
          <w:tab w:val="num" w:pos="0"/>
        </w:tabs>
        <w:spacing w:beforeAutospacing="0" w:afterAutospacing="0"/>
        <w:jc w:val="both"/>
        <w:rPr>
          <w:color w:val="000000"/>
          <w:sz w:val="28"/>
          <w:szCs w:val="28"/>
        </w:rPr>
      </w:pPr>
    </w:p>
    <w:p w14:paraId="1BD389F6" w14:textId="77777777" w:rsidR="007324E3" w:rsidRPr="00356F5B" w:rsidRDefault="007324E3" w:rsidP="00191F58">
      <w:pPr>
        <w:pStyle w:val="ad"/>
        <w:shd w:val="clear" w:color="auto" w:fill="FFFFFF"/>
        <w:tabs>
          <w:tab w:val="num" w:pos="0"/>
        </w:tabs>
        <w:spacing w:beforeAutospacing="0" w:afterAutospacing="0"/>
        <w:jc w:val="both"/>
        <w:rPr>
          <w:color w:val="000000"/>
          <w:sz w:val="28"/>
          <w:szCs w:val="28"/>
        </w:rPr>
      </w:pPr>
      <w:bookmarkStart w:id="0" w:name="_GoBack"/>
      <w:bookmarkEnd w:id="0"/>
    </w:p>
    <w:p w14:paraId="25E5CF0C" w14:textId="77777777" w:rsidR="00E76A4D" w:rsidRPr="00356F5B" w:rsidRDefault="00E76A4D" w:rsidP="00191F58">
      <w:pPr>
        <w:pStyle w:val="ad"/>
        <w:shd w:val="clear" w:color="auto" w:fill="FFFFFF"/>
        <w:tabs>
          <w:tab w:val="num" w:pos="0"/>
        </w:tabs>
        <w:spacing w:beforeAutospacing="0" w:afterAutospacing="0"/>
        <w:jc w:val="both"/>
      </w:pPr>
    </w:p>
    <w:p w14:paraId="0DBE8282" w14:textId="77777777" w:rsidR="00B153DC" w:rsidRPr="00356F5B" w:rsidRDefault="00FF2428" w:rsidP="00191F58">
      <w:pPr>
        <w:pStyle w:val="ad"/>
        <w:numPr>
          <w:ilvl w:val="0"/>
          <w:numId w:val="3"/>
        </w:numPr>
        <w:shd w:val="clear" w:color="auto" w:fill="FFFFFF"/>
        <w:spacing w:beforeAutospacing="0" w:afterAutospacing="0"/>
        <w:ind w:left="0" w:firstLine="0"/>
        <w:jc w:val="both"/>
      </w:pPr>
      <w:r w:rsidRPr="00356F5B">
        <w:rPr>
          <w:i/>
          <w:iCs/>
          <w:color w:val="000000"/>
          <w:sz w:val="28"/>
          <w:szCs w:val="28"/>
          <w:u w:val="single"/>
        </w:rPr>
        <w:lastRenderedPageBreak/>
        <w:t>Результати фінансового аналізу</w:t>
      </w:r>
    </w:p>
    <w:p w14:paraId="60A170CB" w14:textId="77F77B9B" w:rsidR="00B153DC" w:rsidRPr="00356F5B" w:rsidRDefault="00E76A4D" w:rsidP="00191F58">
      <w:pPr>
        <w:pStyle w:val="ad"/>
        <w:shd w:val="clear" w:color="auto" w:fill="FFFFFF"/>
        <w:tabs>
          <w:tab w:val="num" w:pos="0"/>
        </w:tabs>
        <w:spacing w:beforeAutospacing="0" w:afterAutospacing="0"/>
        <w:jc w:val="both"/>
      </w:pPr>
      <w:r w:rsidRPr="00356F5B">
        <w:rPr>
          <w:color w:val="000000"/>
          <w:sz w:val="28"/>
          <w:szCs w:val="28"/>
        </w:rPr>
        <w:tab/>
      </w:r>
      <w:r w:rsidR="00FF2428" w:rsidRPr="00356F5B">
        <w:rPr>
          <w:color w:val="000000"/>
          <w:sz w:val="28"/>
          <w:szCs w:val="28"/>
        </w:rPr>
        <w:t xml:space="preserve">Фінансовий прогноз діяльності будівництва та завершення реалізації  </w:t>
      </w:r>
      <w:r w:rsidRPr="00356F5B">
        <w:rPr>
          <w:color w:val="000000"/>
          <w:sz w:val="28"/>
          <w:szCs w:val="28"/>
        </w:rPr>
        <w:t>об’єктів</w:t>
      </w:r>
      <w:r w:rsidR="00FF2428" w:rsidRPr="00356F5B">
        <w:rPr>
          <w:color w:val="000000"/>
          <w:sz w:val="28"/>
          <w:szCs w:val="28"/>
        </w:rPr>
        <w:t xml:space="preserve"> Компані</w:t>
      </w:r>
      <w:r w:rsidRPr="00356F5B">
        <w:rPr>
          <w:color w:val="000000"/>
          <w:sz w:val="28"/>
          <w:szCs w:val="28"/>
        </w:rPr>
        <w:t>ї</w:t>
      </w:r>
      <w:r w:rsidR="00FF2428" w:rsidRPr="00356F5B">
        <w:rPr>
          <w:color w:val="000000"/>
          <w:sz w:val="28"/>
          <w:szCs w:val="28"/>
        </w:rPr>
        <w:t xml:space="preserve"> показав, що майбутня операційна діяльність Компанії може бути перспективною за умови дотримання ключових умов перспективності та при ефективному управлінні вказаними нижче ризиками.</w:t>
      </w:r>
    </w:p>
    <w:p w14:paraId="2C710519" w14:textId="4CECA95F" w:rsidR="00B153DC" w:rsidRPr="00356F5B" w:rsidRDefault="00E76A4D" w:rsidP="00191F58">
      <w:pPr>
        <w:pStyle w:val="ad"/>
        <w:shd w:val="clear" w:color="auto" w:fill="FFFFFF"/>
        <w:tabs>
          <w:tab w:val="num" w:pos="0"/>
        </w:tabs>
        <w:spacing w:beforeAutospacing="0" w:afterAutospacing="0"/>
        <w:jc w:val="both"/>
      </w:pPr>
      <w:r w:rsidRPr="00356F5B">
        <w:rPr>
          <w:color w:val="000000"/>
          <w:sz w:val="28"/>
          <w:szCs w:val="28"/>
        </w:rPr>
        <w:tab/>
      </w:r>
      <w:r w:rsidR="00FF2428" w:rsidRPr="00356F5B">
        <w:rPr>
          <w:color w:val="000000"/>
          <w:sz w:val="28"/>
          <w:szCs w:val="28"/>
        </w:rPr>
        <w:t>Ключові умови перспективності:</w:t>
      </w:r>
    </w:p>
    <w:p w14:paraId="06DD5266" w14:textId="372B329B" w:rsidR="00B153DC" w:rsidRPr="00356F5B" w:rsidRDefault="00E76A4D" w:rsidP="00191F58">
      <w:pPr>
        <w:pStyle w:val="ad"/>
        <w:shd w:val="clear" w:color="auto" w:fill="FFFFFF"/>
        <w:tabs>
          <w:tab w:val="num" w:pos="0"/>
        </w:tabs>
        <w:spacing w:beforeAutospacing="0" w:afterAutospacing="0"/>
        <w:jc w:val="both"/>
      </w:pPr>
      <w:r w:rsidRPr="00356F5B">
        <w:rPr>
          <w:color w:val="000000"/>
          <w:sz w:val="28"/>
          <w:szCs w:val="28"/>
        </w:rPr>
        <w:t xml:space="preserve">       -</w:t>
      </w:r>
      <w:r w:rsidR="00FF2428" w:rsidRPr="00356F5B">
        <w:rPr>
          <w:color w:val="000000"/>
          <w:sz w:val="28"/>
          <w:szCs w:val="28"/>
        </w:rPr>
        <w:t xml:space="preserve"> </w:t>
      </w:r>
      <w:r w:rsidR="00C3726E" w:rsidRPr="00356F5B">
        <w:rPr>
          <w:color w:val="000000"/>
          <w:sz w:val="28"/>
          <w:szCs w:val="28"/>
        </w:rPr>
        <w:t>н</w:t>
      </w:r>
      <w:r w:rsidR="00FF2428" w:rsidRPr="00356F5B">
        <w:rPr>
          <w:color w:val="000000"/>
          <w:sz w:val="28"/>
          <w:szCs w:val="28"/>
        </w:rPr>
        <w:t>еобхідність покриття дефіциту коштів в перші періоди, коли необхідно ро</w:t>
      </w:r>
      <w:r w:rsidR="00C3726E" w:rsidRPr="00356F5B">
        <w:rPr>
          <w:color w:val="000000"/>
          <w:sz w:val="28"/>
          <w:szCs w:val="28"/>
        </w:rPr>
        <w:t>зпочати активне будівництво проє</w:t>
      </w:r>
      <w:r w:rsidR="00FF2428" w:rsidRPr="00356F5B">
        <w:rPr>
          <w:color w:val="000000"/>
          <w:sz w:val="28"/>
          <w:szCs w:val="28"/>
        </w:rPr>
        <w:t>ктів, а попит ще не відновився (</w:t>
      </w:r>
      <w:r w:rsidR="00C3726E" w:rsidRPr="00356F5B">
        <w:rPr>
          <w:color w:val="000000"/>
          <w:sz w:val="28"/>
          <w:szCs w:val="28"/>
        </w:rPr>
        <w:t>у</w:t>
      </w:r>
      <w:r w:rsidR="00FF2428" w:rsidRPr="00356F5B">
        <w:rPr>
          <w:color w:val="000000"/>
          <w:sz w:val="28"/>
          <w:szCs w:val="28"/>
        </w:rPr>
        <w:t xml:space="preserve"> періодах, </w:t>
      </w:r>
      <w:r w:rsidR="00C3726E" w:rsidRPr="00356F5B">
        <w:rPr>
          <w:color w:val="000000"/>
          <w:sz w:val="28"/>
          <w:szCs w:val="28"/>
        </w:rPr>
        <w:t>коли</w:t>
      </w:r>
      <w:r w:rsidR="00FF2428" w:rsidRPr="00356F5B">
        <w:rPr>
          <w:color w:val="000000"/>
          <w:sz w:val="28"/>
          <w:szCs w:val="28"/>
        </w:rPr>
        <w:t xml:space="preserve"> виникають касові розриви, коли прогнозовані витрати на будівництво перевищують прогнозні доходи від продажу нерухомості). Необхідний обсяг додаткового фінансування </w:t>
      </w:r>
      <w:r w:rsidR="00C3726E" w:rsidRPr="00356F5B">
        <w:rPr>
          <w:color w:val="000000"/>
          <w:sz w:val="28"/>
          <w:szCs w:val="28"/>
        </w:rPr>
        <w:t>показаний</w:t>
      </w:r>
      <w:r w:rsidR="00FF2428" w:rsidRPr="00356F5B">
        <w:rPr>
          <w:color w:val="000000"/>
          <w:sz w:val="28"/>
          <w:szCs w:val="28"/>
        </w:rPr>
        <w:t xml:space="preserve"> в таблиці нижче. Варто зазначити, що обсяг необхідного </w:t>
      </w:r>
      <w:proofErr w:type="spellStart"/>
      <w:r w:rsidR="00FF2428" w:rsidRPr="00356F5B">
        <w:rPr>
          <w:color w:val="000000"/>
          <w:sz w:val="28"/>
          <w:szCs w:val="28"/>
        </w:rPr>
        <w:t>дофінансування</w:t>
      </w:r>
      <w:proofErr w:type="spellEnd"/>
      <w:r w:rsidR="00FF2428" w:rsidRPr="00356F5B">
        <w:rPr>
          <w:color w:val="000000"/>
          <w:sz w:val="28"/>
          <w:szCs w:val="28"/>
        </w:rPr>
        <w:t xml:space="preserve"> представлений в цінах майбутніх періодів та буде необхідний протягом наступних 1-4 років в залежності від сценарію.</w:t>
      </w:r>
    </w:p>
    <w:p w14:paraId="16651DB8" w14:textId="77777777" w:rsidR="00E76A4D" w:rsidRPr="00356F5B" w:rsidRDefault="00E76A4D" w:rsidP="00E76A4D">
      <w:pPr>
        <w:pStyle w:val="ad"/>
        <w:shd w:val="clear" w:color="auto" w:fill="FFFFFF"/>
        <w:tabs>
          <w:tab w:val="num" w:pos="0"/>
        </w:tabs>
        <w:spacing w:beforeAutospacing="0" w:afterAutospacing="0"/>
        <w:jc w:val="both"/>
        <w:rPr>
          <w:color w:val="000000"/>
          <w:sz w:val="28"/>
          <w:szCs w:val="28"/>
        </w:rPr>
      </w:pPr>
      <w:r w:rsidRPr="00356F5B">
        <w:rPr>
          <w:color w:val="000000"/>
          <w:sz w:val="28"/>
          <w:szCs w:val="28"/>
        </w:rPr>
        <w:tab/>
      </w:r>
      <w:r w:rsidR="00FF2428" w:rsidRPr="00356F5B">
        <w:rPr>
          <w:color w:val="000000"/>
          <w:sz w:val="28"/>
          <w:szCs w:val="28"/>
        </w:rPr>
        <w:t>Ключові ризики перспективності:</w:t>
      </w:r>
    </w:p>
    <w:p w14:paraId="11961181" w14:textId="5D28A36A" w:rsidR="00B153DC" w:rsidRPr="00356F5B" w:rsidRDefault="00E76A4D" w:rsidP="00E76A4D">
      <w:pPr>
        <w:pStyle w:val="ad"/>
        <w:shd w:val="clear" w:color="auto" w:fill="FFFFFF"/>
        <w:spacing w:beforeAutospacing="0" w:afterAutospacing="0"/>
        <w:jc w:val="both"/>
        <w:rPr>
          <w:color w:val="000000"/>
          <w:sz w:val="28"/>
          <w:szCs w:val="28"/>
        </w:rPr>
      </w:pPr>
      <w:r w:rsidRPr="00356F5B">
        <w:rPr>
          <w:color w:val="000000"/>
          <w:sz w:val="28"/>
          <w:szCs w:val="28"/>
        </w:rPr>
        <w:t xml:space="preserve">       - т</w:t>
      </w:r>
      <w:r w:rsidR="00FF2428" w:rsidRPr="00356F5B">
        <w:rPr>
          <w:color w:val="000000"/>
          <w:sz w:val="28"/>
          <w:szCs w:val="28"/>
        </w:rPr>
        <w:t>ривалість та дата завершення військових дій, загальні темпи відновлення макроекономічних показників, що можуть негативно вплинути на подальше відновлення та розвиток ринку житлової нерухомості Києва;</w:t>
      </w:r>
    </w:p>
    <w:p w14:paraId="452A4D9E" w14:textId="4AD97F0B" w:rsidR="00B153DC" w:rsidRPr="00356F5B" w:rsidRDefault="00E76A4D" w:rsidP="00E76A4D">
      <w:pPr>
        <w:pStyle w:val="ae"/>
        <w:shd w:val="clear" w:color="auto" w:fill="FFFFFF"/>
        <w:ind w:left="0"/>
        <w:jc w:val="both"/>
      </w:pPr>
      <w:r w:rsidRPr="00356F5B">
        <w:rPr>
          <w:rFonts w:ascii="Times New Roman" w:eastAsia="Times New Roman" w:hAnsi="Times New Roman" w:cs="Times New Roman"/>
          <w:color w:val="000000"/>
          <w:kern w:val="0"/>
          <w:sz w:val="28"/>
          <w:szCs w:val="28"/>
          <w14:ligatures w14:val="none"/>
        </w:rPr>
        <w:t xml:space="preserve">       - н</w:t>
      </w:r>
      <w:r w:rsidR="00FF2428" w:rsidRPr="00356F5B">
        <w:rPr>
          <w:rFonts w:ascii="Times New Roman" w:eastAsia="Times New Roman" w:hAnsi="Times New Roman" w:cs="Times New Roman"/>
          <w:color w:val="000000"/>
          <w:kern w:val="0"/>
          <w:sz w:val="28"/>
          <w:szCs w:val="28"/>
          <w14:ligatures w14:val="none"/>
        </w:rPr>
        <w:t xml:space="preserve">едотримання очікуваних темпів та строків будівництва </w:t>
      </w:r>
      <w:r w:rsidRPr="00356F5B">
        <w:rPr>
          <w:rFonts w:ascii="Times New Roman" w:eastAsia="Times New Roman" w:hAnsi="Times New Roman" w:cs="Times New Roman"/>
          <w:color w:val="000000"/>
          <w:kern w:val="0"/>
          <w:sz w:val="28"/>
          <w:szCs w:val="28"/>
          <w14:ligatures w14:val="none"/>
        </w:rPr>
        <w:t>об’єктів</w:t>
      </w:r>
      <w:r w:rsidR="00FF2428" w:rsidRPr="00356F5B">
        <w:rPr>
          <w:rFonts w:ascii="Times New Roman" w:eastAsia="Times New Roman" w:hAnsi="Times New Roman" w:cs="Times New Roman"/>
          <w:color w:val="000000"/>
          <w:kern w:val="0"/>
          <w:sz w:val="28"/>
          <w:szCs w:val="28"/>
          <w14:ligatures w14:val="none"/>
        </w:rPr>
        <w:t>;</w:t>
      </w:r>
    </w:p>
    <w:p w14:paraId="02F07261" w14:textId="40D365C8" w:rsidR="00B153DC" w:rsidRPr="00356F5B" w:rsidRDefault="00E76A4D" w:rsidP="00E76A4D">
      <w:pPr>
        <w:pStyle w:val="ae"/>
        <w:shd w:val="clear" w:color="auto" w:fill="FFFFFF"/>
        <w:ind w:left="0"/>
        <w:jc w:val="both"/>
      </w:pPr>
      <w:r w:rsidRPr="00356F5B">
        <w:rPr>
          <w:rFonts w:ascii="Times New Roman" w:eastAsia="Times New Roman" w:hAnsi="Times New Roman" w:cs="Times New Roman"/>
          <w:color w:val="000000"/>
          <w:kern w:val="0"/>
          <w:sz w:val="28"/>
          <w:szCs w:val="28"/>
          <w14:ligatures w14:val="none"/>
        </w:rPr>
        <w:t xml:space="preserve">       - в</w:t>
      </w:r>
      <w:r w:rsidR="00FF2428" w:rsidRPr="00356F5B">
        <w:rPr>
          <w:rFonts w:ascii="Times New Roman" w:eastAsia="Times New Roman" w:hAnsi="Times New Roman" w:cs="Times New Roman"/>
          <w:color w:val="000000"/>
          <w:kern w:val="0"/>
          <w:sz w:val="28"/>
          <w:szCs w:val="28"/>
          <w14:ligatures w14:val="none"/>
        </w:rPr>
        <w:t>ідсутність джерел фінансування протягом прогнозного періоду;</w:t>
      </w:r>
    </w:p>
    <w:p w14:paraId="5D60ADC1" w14:textId="22B7C8CB" w:rsidR="00B153DC" w:rsidRPr="00356F5B" w:rsidRDefault="00E76A4D" w:rsidP="00E76A4D">
      <w:pPr>
        <w:pStyle w:val="ae"/>
        <w:shd w:val="clear" w:color="auto" w:fill="FFFFFF"/>
        <w:ind w:left="0"/>
        <w:jc w:val="both"/>
      </w:pPr>
      <w:r w:rsidRPr="00356F5B">
        <w:rPr>
          <w:rFonts w:ascii="Times New Roman" w:eastAsia="Times New Roman" w:hAnsi="Times New Roman" w:cs="Times New Roman"/>
          <w:color w:val="000000"/>
          <w:kern w:val="0"/>
          <w:sz w:val="28"/>
          <w:szCs w:val="28"/>
          <w14:ligatures w14:val="none"/>
        </w:rPr>
        <w:t xml:space="preserve">       - н</w:t>
      </w:r>
      <w:r w:rsidR="00FF2428" w:rsidRPr="00356F5B">
        <w:rPr>
          <w:rFonts w:ascii="Times New Roman" w:eastAsia="Times New Roman" w:hAnsi="Times New Roman" w:cs="Times New Roman"/>
          <w:color w:val="000000"/>
          <w:kern w:val="0"/>
          <w:sz w:val="28"/>
          <w:szCs w:val="28"/>
          <w14:ligatures w14:val="none"/>
        </w:rPr>
        <w:t>едосягнення очікуваних цін та динаміки продажів;</w:t>
      </w:r>
    </w:p>
    <w:p w14:paraId="0CB59227" w14:textId="39D9B198" w:rsidR="00191F58" w:rsidRPr="00356F5B" w:rsidRDefault="00E76A4D" w:rsidP="00E76A4D">
      <w:pPr>
        <w:pStyle w:val="ae"/>
        <w:shd w:val="clear" w:color="auto" w:fill="FFFFFF"/>
        <w:ind w:left="0"/>
        <w:jc w:val="both"/>
      </w:pPr>
      <w:r w:rsidRPr="00356F5B">
        <w:rPr>
          <w:rFonts w:ascii="Times New Roman" w:eastAsia="Times New Roman" w:hAnsi="Times New Roman" w:cs="Times New Roman"/>
          <w:color w:val="000000"/>
          <w:kern w:val="0"/>
          <w:sz w:val="28"/>
          <w:szCs w:val="28"/>
          <w14:ligatures w14:val="none"/>
        </w:rPr>
        <w:t xml:space="preserve">       - п</w:t>
      </w:r>
      <w:r w:rsidR="00FF2428" w:rsidRPr="00356F5B">
        <w:rPr>
          <w:rFonts w:ascii="Times New Roman" w:eastAsia="Times New Roman" w:hAnsi="Times New Roman" w:cs="Times New Roman"/>
          <w:color w:val="000000"/>
          <w:kern w:val="0"/>
          <w:sz w:val="28"/>
          <w:szCs w:val="28"/>
          <w14:ligatures w14:val="none"/>
        </w:rPr>
        <w:t xml:space="preserve">еревитрати коштів, необхідних на закінчення будівництва </w:t>
      </w:r>
      <w:r w:rsidRPr="00356F5B">
        <w:rPr>
          <w:rFonts w:ascii="Times New Roman" w:eastAsia="Times New Roman" w:hAnsi="Times New Roman" w:cs="Times New Roman"/>
          <w:color w:val="000000"/>
          <w:kern w:val="0"/>
          <w:sz w:val="28"/>
          <w:szCs w:val="28"/>
          <w14:ligatures w14:val="none"/>
        </w:rPr>
        <w:t>об’єктів</w:t>
      </w:r>
      <w:r w:rsidR="00FF2428" w:rsidRPr="00356F5B">
        <w:rPr>
          <w:rFonts w:ascii="Times New Roman" w:eastAsia="Times New Roman" w:hAnsi="Times New Roman" w:cs="Times New Roman"/>
          <w:color w:val="000000"/>
          <w:kern w:val="0"/>
          <w:sz w:val="28"/>
          <w:szCs w:val="28"/>
          <w14:ligatures w14:val="none"/>
        </w:rPr>
        <w:t xml:space="preserve">. </w:t>
      </w:r>
    </w:p>
    <w:p w14:paraId="6CE22536" w14:textId="77777777" w:rsidR="00191F58" w:rsidRPr="00356F5B" w:rsidRDefault="00191F58" w:rsidP="00191F58">
      <w:pPr>
        <w:pStyle w:val="ae"/>
        <w:shd w:val="clear" w:color="auto" w:fill="FFFFFF"/>
        <w:ind w:left="0"/>
        <w:jc w:val="both"/>
      </w:pPr>
    </w:p>
    <w:p w14:paraId="60F6BFFF" w14:textId="27B53000" w:rsidR="00B153DC" w:rsidRPr="00356F5B" w:rsidRDefault="00E76A4D" w:rsidP="00E76A4D">
      <w:pPr>
        <w:pStyle w:val="ae"/>
        <w:shd w:val="clear" w:color="auto" w:fill="FFFFFF"/>
        <w:ind w:left="0"/>
        <w:jc w:val="both"/>
      </w:pPr>
      <w:r w:rsidRPr="00356F5B">
        <w:rPr>
          <w:rFonts w:ascii="Times New Roman" w:hAnsi="Times New Roman" w:cs="Times New Roman"/>
          <w:color w:val="000000"/>
          <w:sz w:val="28"/>
          <w:szCs w:val="28"/>
          <w:shd w:val="clear" w:color="auto" w:fill="FFFFFF"/>
        </w:rPr>
        <w:tab/>
      </w:r>
      <w:r w:rsidR="00FF2428" w:rsidRPr="00356F5B">
        <w:rPr>
          <w:rFonts w:ascii="Times New Roman" w:hAnsi="Times New Roman" w:cs="Times New Roman"/>
          <w:color w:val="000000"/>
          <w:sz w:val="28"/>
          <w:szCs w:val="28"/>
          <w:shd w:val="clear" w:color="auto" w:fill="FFFFFF"/>
        </w:rPr>
        <w:t xml:space="preserve">Основні результати фінансового прогнозування </w:t>
      </w:r>
    </w:p>
    <w:p w14:paraId="0E43EE38" w14:textId="77777777" w:rsidR="00191F58" w:rsidRPr="00356F5B" w:rsidRDefault="00191F58">
      <w:pPr>
        <w:pStyle w:val="ad"/>
        <w:shd w:val="clear" w:color="auto" w:fill="FFFFFF"/>
        <w:spacing w:beforeAutospacing="0" w:afterAutospacing="0"/>
        <w:ind w:left="1080"/>
        <w:jc w:val="both"/>
        <w:rPr>
          <w:color w:val="000000"/>
          <w:sz w:val="28"/>
          <w:szCs w:val="28"/>
          <w:shd w:val="clear" w:color="auto" w:fill="FFFFFF"/>
        </w:rPr>
      </w:pPr>
    </w:p>
    <w:tbl>
      <w:tblPr>
        <w:tblStyle w:val="af3"/>
        <w:tblW w:w="9634" w:type="dxa"/>
        <w:jc w:val="center"/>
        <w:tblLayout w:type="fixed"/>
        <w:tblLook w:val="04A0" w:firstRow="1" w:lastRow="0" w:firstColumn="1" w:lastColumn="0" w:noHBand="0" w:noVBand="1"/>
      </w:tblPr>
      <w:tblGrid>
        <w:gridCol w:w="1838"/>
        <w:gridCol w:w="1276"/>
        <w:gridCol w:w="850"/>
        <w:gridCol w:w="1423"/>
        <w:gridCol w:w="1412"/>
        <w:gridCol w:w="1418"/>
        <w:gridCol w:w="1417"/>
      </w:tblGrid>
      <w:tr w:rsidR="00B153DC" w:rsidRPr="00356F5B" w14:paraId="4C86638F" w14:textId="77777777" w:rsidTr="00E76A4D">
        <w:trPr>
          <w:jc w:val="center"/>
        </w:trPr>
        <w:tc>
          <w:tcPr>
            <w:tcW w:w="1838" w:type="dxa"/>
            <w:shd w:val="clear" w:color="auto" w:fill="FFC000"/>
          </w:tcPr>
          <w:p w14:paraId="619C6088" w14:textId="77777777" w:rsidR="00B153DC" w:rsidRPr="00356F5B" w:rsidRDefault="00FF2428">
            <w:pPr>
              <w:widowControl w:val="0"/>
              <w:jc w:val="both"/>
              <w:rPr>
                <w:rFonts w:ascii="Times New Roman" w:hAnsi="Times New Roman" w:cs="Times New Roman"/>
              </w:rPr>
            </w:pPr>
            <w:r w:rsidRPr="00356F5B">
              <w:rPr>
                <w:rFonts w:ascii="Times New Roman" w:eastAsia="Calibri" w:hAnsi="Times New Roman" w:cs="Times New Roman"/>
              </w:rPr>
              <w:t>Сценарій</w:t>
            </w:r>
          </w:p>
        </w:tc>
        <w:tc>
          <w:tcPr>
            <w:tcW w:w="1276" w:type="dxa"/>
            <w:shd w:val="clear" w:color="auto" w:fill="FFC000"/>
          </w:tcPr>
          <w:p w14:paraId="47301C4B" w14:textId="3C116DE8" w:rsidR="00B153DC" w:rsidRPr="00356F5B" w:rsidRDefault="00C3726E" w:rsidP="00C3726E">
            <w:pPr>
              <w:widowControl w:val="0"/>
              <w:jc w:val="both"/>
              <w:rPr>
                <w:rFonts w:ascii="Times New Roman" w:hAnsi="Times New Roman" w:cs="Times New Roman"/>
              </w:rPr>
            </w:pPr>
            <w:r w:rsidRPr="00356F5B">
              <w:rPr>
                <w:rFonts w:ascii="Times New Roman" w:eastAsia="Calibri" w:hAnsi="Times New Roman" w:cs="Times New Roman"/>
              </w:rPr>
              <w:t>Час</w:t>
            </w:r>
            <w:r w:rsidR="00FF2428" w:rsidRPr="00356F5B">
              <w:rPr>
                <w:rFonts w:ascii="Times New Roman" w:eastAsia="Calibri" w:hAnsi="Times New Roman" w:cs="Times New Roman"/>
              </w:rPr>
              <w:t xml:space="preserve"> </w:t>
            </w:r>
            <w:proofErr w:type="spellStart"/>
            <w:r w:rsidR="00FF2428" w:rsidRPr="00356F5B">
              <w:rPr>
                <w:rFonts w:ascii="Times New Roman" w:eastAsia="Calibri" w:hAnsi="Times New Roman" w:cs="Times New Roman"/>
              </w:rPr>
              <w:t>заверш</w:t>
            </w:r>
            <w:r w:rsidR="00E76A4D" w:rsidRPr="00356F5B">
              <w:rPr>
                <w:rFonts w:ascii="Times New Roman" w:eastAsia="Calibri" w:hAnsi="Times New Roman" w:cs="Times New Roman"/>
              </w:rPr>
              <w:t>-</w:t>
            </w:r>
            <w:r w:rsidR="00FF2428" w:rsidRPr="00356F5B">
              <w:rPr>
                <w:rFonts w:ascii="Times New Roman" w:eastAsia="Calibri" w:hAnsi="Times New Roman" w:cs="Times New Roman"/>
              </w:rPr>
              <w:t>ення</w:t>
            </w:r>
            <w:proofErr w:type="spellEnd"/>
            <w:r w:rsidR="00FF2428" w:rsidRPr="00356F5B">
              <w:rPr>
                <w:rFonts w:ascii="Times New Roman" w:eastAsia="Calibri" w:hAnsi="Times New Roman" w:cs="Times New Roman"/>
              </w:rPr>
              <w:t xml:space="preserve"> активних військо</w:t>
            </w:r>
            <w:r w:rsidR="00E76A4D" w:rsidRPr="00356F5B">
              <w:rPr>
                <w:rFonts w:ascii="Times New Roman" w:eastAsia="Calibri" w:hAnsi="Times New Roman" w:cs="Times New Roman"/>
              </w:rPr>
              <w:t>-</w:t>
            </w:r>
            <w:proofErr w:type="spellStart"/>
            <w:r w:rsidR="00FF2428" w:rsidRPr="00356F5B">
              <w:rPr>
                <w:rFonts w:ascii="Times New Roman" w:eastAsia="Calibri" w:hAnsi="Times New Roman" w:cs="Times New Roman"/>
              </w:rPr>
              <w:t>вих</w:t>
            </w:r>
            <w:proofErr w:type="spellEnd"/>
            <w:r w:rsidR="00FF2428" w:rsidRPr="00356F5B">
              <w:rPr>
                <w:rFonts w:ascii="Times New Roman" w:eastAsia="Calibri" w:hAnsi="Times New Roman" w:cs="Times New Roman"/>
              </w:rPr>
              <w:t xml:space="preserve"> дій</w:t>
            </w:r>
          </w:p>
        </w:tc>
        <w:tc>
          <w:tcPr>
            <w:tcW w:w="850" w:type="dxa"/>
            <w:shd w:val="clear" w:color="auto" w:fill="FFC000"/>
          </w:tcPr>
          <w:p w14:paraId="1BBA4FC0" w14:textId="7908AC4F" w:rsidR="00B153DC" w:rsidRPr="00356F5B" w:rsidRDefault="00FF2428">
            <w:pPr>
              <w:widowControl w:val="0"/>
              <w:jc w:val="both"/>
              <w:rPr>
                <w:rFonts w:ascii="Times New Roman" w:hAnsi="Times New Roman" w:cs="Times New Roman"/>
              </w:rPr>
            </w:pPr>
            <w:r w:rsidRPr="00356F5B">
              <w:rPr>
                <w:rFonts w:ascii="Times New Roman" w:eastAsia="Calibri" w:hAnsi="Times New Roman" w:cs="Times New Roman"/>
              </w:rPr>
              <w:t>Три</w:t>
            </w:r>
            <w:r w:rsidR="00E76A4D" w:rsidRPr="00356F5B">
              <w:rPr>
                <w:rFonts w:ascii="Times New Roman" w:eastAsia="Calibri" w:hAnsi="Times New Roman" w:cs="Times New Roman"/>
              </w:rPr>
              <w:t>-</w:t>
            </w:r>
            <w:r w:rsidRPr="00356F5B">
              <w:rPr>
                <w:rFonts w:ascii="Times New Roman" w:eastAsia="Calibri" w:hAnsi="Times New Roman" w:cs="Times New Roman"/>
              </w:rPr>
              <w:t>ва</w:t>
            </w:r>
            <w:r w:rsidR="00E76A4D" w:rsidRPr="00356F5B">
              <w:rPr>
                <w:rFonts w:ascii="Times New Roman" w:eastAsia="Calibri" w:hAnsi="Times New Roman" w:cs="Times New Roman"/>
              </w:rPr>
              <w:t>-</w:t>
            </w:r>
            <w:proofErr w:type="spellStart"/>
            <w:r w:rsidRPr="00356F5B">
              <w:rPr>
                <w:rFonts w:ascii="Times New Roman" w:eastAsia="Calibri" w:hAnsi="Times New Roman" w:cs="Times New Roman"/>
              </w:rPr>
              <w:t>лість</w:t>
            </w:r>
            <w:proofErr w:type="spellEnd"/>
            <w:r w:rsidRPr="00356F5B">
              <w:rPr>
                <w:rFonts w:ascii="Times New Roman" w:eastAsia="Calibri" w:hAnsi="Times New Roman" w:cs="Times New Roman"/>
              </w:rPr>
              <w:t xml:space="preserve"> від</w:t>
            </w:r>
            <w:r w:rsidR="00E76A4D" w:rsidRPr="00356F5B">
              <w:rPr>
                <w:rFonts w:ascii="Times New Roman" w:eastAsia="Calibri" w:hAnsi="Times New Roman" w:cs="Times New Roman"/>
              </w:rPr>
              <w:t>-</w:t>
            </w:r>
            <w:proofErr w:type="spellStart"/>
            <w:r w:rsidRPr="00356F5B">
              <w:rPr>
                <w:rFonts w:ascii="Times New Roman" w:eastAsia="Calibri" w:hAnsi="Times New Roman" w:cs="Times New Roman"/>
              </w:rPr>
              <w:t>новлення</w:t>
            </w:r>
            <w:proofErr w:type="spellEnd"/>
            <w:r w:rsidRPr="00356F5B">
              <w:rPr>
                <w:rFonts w:ascii="Times New Roman" w:eastAsia="Calibri" w:hAnsi="Times New Roman" w:cs="Times New Roman"/>
              </w:rPr>
              <w:t xml:space="preserve"> по</w:t>
            </w:r>
            <w:r w:rsidR="00E76A4D" w:rsidRPr="00356F5B">
              <w:rPr>
                <w:rFonts w:ascii="Times New Roman" w:eastAsia="Calibri" w:hAnsi="Times New Roman" w:cs="Times New Roman"/>
              </w:rPr>
              <w:t>-</w:t>
            </w:r>
            <w:proofErr w:type="spellStart"/>
            <w:r w:rsidRPr="00356F5B">
              <w:rPr>
                <w:rFonts w:ascii="Times New Roman" w:eastAsia="Calibri" w:hAnsi="Times New Roman" w:cs="Times New Roman"/>
              </w:rPr>
              <w:t>питу</w:t>
            </w:r>
            <w:proofErr w:type="spellEnd"/>
          </w:p>
        </w:tc>
        <w:tc>
          <w:tcPr>
            <w:tcW w:w="1423" w:type="dxa"/>
            <w:shd w:val="clear" w:color="auto" w:fill="FFC000"/>
          </w:tcPr>
          <w:p w14:paraId="55923ECF" w14:textId="77777777" w:rsidR="00B153DC" w:rsidRPr="00356F5B" w:rsidRDefault="00FF2428">
            <w:pPr>
              <w:widowControl w:val="0"/>
              <w:jc w:val="both"/>
              <w:rPr>
                <w:rFonts w:ascii="Times New Roman" w:hAnsi="Times New Roman" w:cs="Times New Roman"/>
              </w:rPr>
            </w:pPr>
            <w:r w:rsidRPr="00356F5B">
              <w:rPr>
                <w:rFonts w:ascii="Times New Roman" w:eastAsia="Calibri" w:hAnsi="Times New Roman" w:cs="Times New Roman"/>
              </w:rPr>
              <w:t>Загальна виручка від реалізації проєктів</w:t>
            </w:r>
          </w:p>
        </w:tc>
        <w:tc>
          <w:tcPr>
            <w:tcW w:w="1412" w:type="dxa"/>
            <w:shd w:val="clear" w:color="auto" w:fill="FFC000"/>
          </w:tcPr>
          <w:p w14:paraId="66805EAB" w14:textId="77777777" w:rsidR="00B153DC" w:rsidRPr="00356F5B" w:rsidRDefault="00FF2428">
            <w:pPr>
              <w:widowControl w:val="0"/>
              <w:jc w:val="both"/>
              <w:rPr>
                <w:rFonts w:ascii="Times New Roman" w:hAnsi="Times New Roman" w:cs="Times New Roman"/>
              </w:rPr>
            </w:pPr>
            <w:r w:rsidRPr="00356F5B">
              <w:rPr>
                <w:rFonts w:ascii="Times New Roman" w:eastAsia="Calibri" w:hAnsi="Times New Roman" w:cs="Times New Roman"/>
              </w:rPr>
              <w:t>Загальні витрати для реалізації проєктів</w:t>
            </w:r>
          </w:p>
        </w:tc>
        <w:tc>
          <w:tcPr>
            <w:tcW w:w="1418" w:type="dxa"/>
            <w:shd w:val="clear" w:color="auto" w:fill="FFC000"/>
          </w:tcPr>
          <w:p w14:paraId="65BCAD4C" w14:textId="77777777" w:rsidR="00B153DC" w:rsidRPr="00356F5B" w:rsidRDefault="00FF2428">
            <w:pPr>
              <w:widowControl w:val="0"/>
              <w:jc w:val="both"/>
              <w:rPr>
                <w:rFonts w:ascii="Times New Roman" w:hAnsi="Times New Roman" w:cs="Times New Roman"/>
              </w:rPr>
            </w:pPr>
            <w:r w:rsidRPr="00356F5B">
              <w:rPr>
                <w:rFonts w:ascii="Times New Roman" w:eastAsia="Calibri" w:hAnsi="Times New Roman" w:cs="Times New Roman"/>
              </w:rPr>
              <w:t xml:space="preserve">Чистий дохід від реалізації проєктів </w:t>
            </w:r>
          </w:p>
        </w:tc>
        <w:tc>
          <w:tcPr>
            <w:tcW w:w="1417" w:type="dxa"/>
            <w:shd w:val="clear" w:color="auto" w:fill="FFC000"/>
          </w:tcPr>
          <w:p w14:paraId="12511B06" w14:textId="3ABFA097" w:rsidR="00B153DC" w:rsidRPr="00356F5B" w:rsidRDefault="00FF2428">
            <w:pPr>
              <w:widowControl w:val="0"/>
              <w:jc w:val="both"/>
              <w:rPr>
                <w:rFonts w:ascii="Times New Roman" w:hAnsi="Times New Roman" w:cs="Times New Roman"/>
              </w:rPr>
            </w:pPr>
            <w:proofErr w:type="spellStart"/>
            <w:r w:rsidRPr="00356F5B">
              <w:rPr>
                <w:rFonts w:ascii="Times New Roman" w:eastAsia="Calibri" w:hAnsi="Times New Roman" w:cs="Times New Roman"/>
              </w:rPr>
              <w:t>Необхід</w:t>
            </w:r>
            <w:proofErr w:type="spellEnd"/>
            <w:r w:rsidR="00E76A4D" w:rsidRPr="00356F5B">
              <w:rPr>
                <w:rFonts w:ascii="Times New Roman" w:eastAsia="Calibri" w:hAnsi="Times New Roman" w:cs="Times New Roman"/>
              </w:rPr>
              <w:t>-</w:t>
            </w:r>
            <w:r w:rsidRPr="00356F5B">
              <w:rPr>
                <w:rFonts w:ascii="Times New Roman" w:eastAsia="Calibri" w:hAnsi="Times New Roman" w:cs="Times New Roman"/>
              </w:rPr>
              <w:t xml:space="preserve">ний обсяг </w:t>
            </w:r>
            <w:proofErr w:type="spellStart"/>
            <w:r w:rsidRPr="00356F5B">
              <w:rPr>
                <w:rFonts w:ascii="Times New Roman" w:eastAsia="Calibri" w:hAnsi="Times New Roman" w:cs="Times New Roman"/>
              </w:rPr>
              <w:t>дофінан</w:t>
            </w:r>
            <w:r w:rsidR="00E76A4D" w:rsidRPr="00356F5B">
              <w:rPr>
                <w:rFonts w:ascii="Times New Roman" w:eastAsia="Calibri" w:hAnsi="Times New Roman" w:cs="Times New Roman"/>
              </w:rPr>
              <w:t>-</w:t>
            </w:r>
            <w:r w:rsidRPr="00356F5B">
              <w:rPr>
                <w:rFonts w:ascii="Times New Roman" w:eastAsia="Calibri" w:hAnsi="Times New Roman" w:cs="Times New Roman"/>
              </w:rPr>
              <w:t>сування</w:t>
            </w:r>
            <w:proofErr w:type="spellEnd"/>
            <w:r w:rsidRPr="00356F5B">
              <w:rPr>
                <w:rFonts w:ascii="Times New Roman" w:eastAsia="Calibri" w:hAnsi="Times New Roman" w:cs="Times New Roman"/>
              </w:rPr>
              <w:t xml:space="preserve"> для покриття дефіциту коштів</w:t>
            </w:r>
          </w:p>
        </w:tc>
      </w:tr>
      <w:tr w:rsidR="00B153DC" w:rsidRPr="00356F5B" w14:paraId="389E2BB3" w14:textId="77777777" w:rsidTr="00E76A4D">
        <w:trPr>
          <w:trHeight w:val="615"/>
          <w:jc w:val="center"/>
        </w:trPr>
        <w:tc>
          <w:tcPr>
            <w:tcW w:w="1838" w:type="dxa"/>
            <w:vAlign w:val="center"/>
          </w:tcPr>
          <w:p w14:paraId="5AA64F7F"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Консервативний</w:t>
            </w:r>
          </w:p>
        </w:tc>
        <w:tc>
          <w:tcPr>
            <w:tcW w:w="1276" w:type="dxa"/>
            <w:vAlign w:val="center"/>
          </w:tcPr>
          <w:p w14:paraId="3944A037" w14:textId="5B36E00D" w:rsidR="00B153DC" w:rsidRPr="00356F5B" w:rsidRDefault="00FF2428" w:rsidP="00E76A4D">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 xml:space="preserve">Квітень 2025 </w:t>
            </w:r>
          </w:p>
        </w:tc>
        <w:tc>
          <w:tcPr>
            <w:tcW w:w="850" w:type="dxa"/>
            <w:vAlign w:val="center"/>
          </w:tcPr>
          <w:p w14:paraId="18C33919" w14:textId="1294F7EC"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24 міс</w:t>
            </w:r>
            <w:r w:rsidR="00E76A4D" w:rsidRPr="00356F5B">
              <w:rPr>
                <w:color w:val="000000"/>
                <w:sz w:val="21"/>
                <w:szCs w:val="21"/>
                <w:shd w:val="clear" w:color="auto" w:fill="FFFFFF"/>
              </w:rPr>
              <w:t>.</w:t>
            </w:r>
          </w:p>
        </w:tc>
        <w:tc>
          <w:tcPr>
            <w:tcW w:w="1423" w:type="dxa"/>
            <w:vAlign w:val="center"/>
          </w:tcPr>
          <w:p w14:paraId="147222C4"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$829 049 959</w:t>
            </w:r>
          </w:p>
        </w:tc>
        <w:tc>
          <w:tcPr>
            <w:tcW w:w="1412" w:type="dxa"/>
            <w:vAlign w:val="center"/>
          </w:tcPr>
          <w:p w14:paraId="79AC72E5"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$641 566 427</w:t>
            </w:r>
          </w:p>
        </w:tc>
        <w:tc>
          <w:tcPr>
            <w:tcW w:w="1418" w:type="dxa"/>
            <w:vAlign w:val="center"/>
          </w:tcPr>
          <w:p w14:paraId="67C0B626"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$187 480 532</w:t>
            </w:r>
          </w:p>
        </w:tc>
        <w:tc>
          <w:tcPr>
            <w:tcW w:w="1417" w:type="dxa"/>
            <w:vAlign w:val="center"/>
          </w:tcPr>
          <w:p w14:paraId="6718AC7D"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$272 492 527</w:t>
            </w:r>
          </w:p>
        </w:tc>
      </w:tr>
      <w:tr w:rsidR="00B153DC" w:rsidRPr="00356F5B" w14:paraId="3F5A7C4F" w14:textId="77777777" w:rsidTr="00E76A4D">
        <w:trPr>
          <w:trHeight w:val="553"/>
          <w:jc w:val="center"/>
        </w:trPr>
        <w:tc>
          <w:tcPr>
            <w:tcW w:w="1838" w:type="dxa"/>
            <w:vAlign w:val="center"/>
          </w:tcPr>
          <w:p w14:paraId="26FF4846"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Базовий</w:t>
            </w:r>
          </w:p>
        </w:tc>
        <w:tc>
          <w:tcPr>
            <w:tcW w:w="1276" w:type="dxa"/>
            <w:vAlign w:val="center"/>
          </w:tcPr>
          <w:p w14:paraId="2A845B88" w14:textId="2739A608" w:rsidR="00B153DC" w:rsidRPr="00356F5B" w:rsidRDefault="00FF2428" w:rsidP="00E76A4D">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Листопад 2024.</w:t>
            </w:r>
          </w:p>
        </w:tc>
        <w:tc>
          <w:tcPr>
            <w:tcW w:w="850" w:type="dxa"/>
            <w:vAlign w:val="center"/>
          </w:tcPr>
          <w:p w14:paraId="32B8296E"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18 міс.</w:t>
            </w:r>
          </w:p>
        </w:tc>
        <w:tc>
          <w:tcPr>
            <w:tcW w:w="1423" w:type="dxa"/>
            <w:vAlign w:val="center"/>
          </w:tcPr>
          <w:p w14:paraId="5E1A1D34"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$811 508 286</w:t>
            </w:r>
          </w:p>
        </w:tc>
        <w:tc>
          <w:tcPr>
            <w:tcW w:w="1412" w:type="dxa"/>
            <w:vAlign w:val="center"/>
          </w:tcPr>
          <w:p w14:paraId="2ADF2F3B"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$634 756 165</w:t>
            </w:r>
          </w:p>
        </w:tc>
        <w:tc>
          <w:tcPr>
            <w:tcW w:w="1418" w:type="dxa"/>
            <w:vAlign w:val="center"/>
          </w:tcPr>
          <w:p w14:paraId="4F23AE05"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$176 752 121</w:t>
            </w:r>
          </w:p>
        </w:tc>
        <w:tc>
          <w:tcPr>
            <w:tcW w:w="1417" w:type="dxa"/>
            <w:vAlign w:val="center"/>
          </w:tcPr>
          <w:p w14:paraId="26D7C983"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$107 569 366</w:t>
            </w:r>
          </w:p>
        </w:tc>
      </w:tr>
      <w:tr w:rsidR="00B153DC" w:rsidRPr="00356F5B" w14:paraId="4CE1649D" w14:textId="77777777" w:rsidTr="00E76A4D">
        <w:trPr>
          <w:trHeight w:val="561"/>
          <w:jc w:val="center"/>
        </w:trPr>
        <w:tc>
          <w:tcPr>
            <w:tcW w:w="1838" w:type="dxa"/>
            <w:vAlign w:val="center"/>
          </w:tcPr>
          <w:p w14:paraId="0D5FB4C0"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Оптимістичний</w:t>
            </w:r>
          </w:p>
        </w:tc>
        <w:tc>
          <w:tcPr>
            <w:tcW w:w="1276" w:type="dxa"/>
            <w:vAlign w:val="center"/>
          </w:tcPr>
          <w:p w14:paraId="2BA5D942" w14:textId="0F94DC68" w:rsidR="00B153DC" w:rsidRPr="00356F5B" w:rsidRDefault="00FF2428" w:rsidP="00E76A4D">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 xml:space="preserve">Липень 2024 </w:t>
            </w:r>
          </w:p>
        </w:tc>
        <w:tc>
          <w:tcPr>
            <w:tcW w:w="850" w:type="dxa"/>
            <w:vAlign w:val="center"/>
          </w:tcPr>
          <w:p w14:paraId="148C7299"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12 міс.</w:t>
            </w:r>
          </w:p>
        </w:tc>
        <w:tc>
          <w:tcPr>
            <w:tcW w:w="1423" w:type="dxa"/>
            <w:vAlign w:val="center"/>
          </w:tcPr>
          <w:p w14:paraId="6B152535"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$798 717 111</w:t>
            </w:r>
          </w:p>
        </w:tc>
        <w:tc>
          <w:tcPr>
            <w:tcW w:w="1412" w:type="dxa"/>
            <w:vAlign w:val="center"/>
          </w:tcPr>
          <w:p w14:paraId="254142FD"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631 362 002</w:t>
            </w:r>
          </w:p>
        </w:tc>
        <w:tc>
          <w:tcPr>
            <w:tcW w:w="1418" w:type="dxa"/>
            <w:vAlign w:val="center"/>
          </w:tcPr>
          <w:p w14:paraId="53B3AA91"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$167 355 109</w:t>
            </w:r>
          </w:p>
        </w:tc>
        <w:tc>
          <w:tcPr>
            <w:tcW w:w="1417" w:type="dxa"/>
            <w:vAlign w:val="center"/>
          </w:tcPr>
          <w:p w14:paraId="2EA36188" w14:textId="77777777" w:rsidR="00B153DC" w:rsidRPr="00356F5B" w:rsidRDefault="00FF2428">
            <w:pPr>
              <w:pStyle w:val="ad"/>
              <w:widowControl w:val="0"/>
              <w:spacing w:beforeAutospacing="0" w:afterAutospacing="0"/>
              <w:jc w:val="both"/>
              <w:rPr>
                <w:color w:val="000000"/>
                <w:sz w:val="21"/>
                <w:szCs w:val="21"/>
                <w:shd w:val="clear" w:color="auto" w:fill="FFFFFF"/>
              </w:rPr>
            </w:pPr>
            <w:r w:rsidRPr="00356F5B">
              <w:rPr>
                <w:color w:val="000000"/>
                <w:sz w:val="21"/>
                <w:szCs w:val="21"/>
                <w:shd w:val="clear" w:color="auto" w:fill="FFFFFF"/>
              </w:rPr>
              <w:t>$10 241 087</w:t>
            </w:r>
          </w:p>
        </w:tc>
      </w:tr>
    </w:tbl>
    <w:p w14:paraId="7DDDBC70" w14:textId="77777777" w:rsidR="00B153DC" w:rsidRPr="00356F5B" w:rsidRDefault="00B153DC">
      <w:pPr>
        <w:pStyle w:val="ad"/>
        <w:shd w:val="clear" w:color="auto" w:fill="FFFFFF"/>
        <w:spacing w:beforeAutospacing="0" w:afterAutospacing="0"/>
        <w:ind w:left="1080"/>
        <w:jc w:val="both"/>
        <w:rPr>
          <w:color w:val="000000"/>
          <w:sz w:val="21"/>
          <w:szCs w:val="21"/>
          <w:shd w:val="clear" w:color="auto" w:fill="FFFFFF"/>
        </w:rPr>
      </w:pPr>
    </w:p>
    <w:p w14:paraId="3E9319FC" w14:textId="77777777" w:rsidR="00B153DC" w:rsidRPr="00356F5B" w:rsidRDefault="00FF2428" w:rsidP="00160F54">
      <w:pPr>
        <w:jc w:val="center"/>
      </w:pPr>
      <w:r w:rsidRPr="00356F5B">
        <w:rPr>
          <w:rFonts w:ascii="Arial" w:hAnsi="Arial" w:cs="Arial"/>
          <w:color w:val="000000"/>
          <w:sz w:val="21"/>
          <w:szCs w:val="21"/>
          <w:shd w:val="clear" w:color="auto" w:fill="FFFFFF"/>
        </w:rPr>
        <w:br/>
      </w:r>
      <w:r w:rsidRPr="00356F5B">
        <w:rPr>
          <w:rFonts w:ascii="Times New Roman" w:eastAsia="Times New Roman" w:hAnsi="Times New Roman" w:cs="Times New Roman"/>
          <w:b/>
          <w:bCs/>
          <w:color w:val="000000"/>
          <w:kern w:val="0"/>
          <w:sz w:val="28"/>
          <w:szCs w:val="28"/>
          <w:lang w:eastAsia="en-GB"/>
          <w14:ligatures w14:val="none"/>
        </w:rPr>
        <w:t>Факти й обставини, які не були перевірені, із зазначенням обставин, які цьому завадили</w:t>
      </w:r>
    </w:p>
    <w:p w14:paraId="2C58B7C8" w14:textId="77777777" w:rsidR="00B153DC" w:rsidRPr="00356F5B" w:rsidRDefault="00B153DC">
      <w:pPr>
        <w:jc w:val="both"/>
        <w:rPr>
          <w:rFonts w:ascii="Times New Roman" w:eastAsia="Times New Roman" w:hAnsi="Times New Roman" w:cs="Times New Roman"/>
          <w:b/>
          <w:bCs/>
          <w:color w:val="000000"/>
          <w:kern w:val="0"/>
          <w:sz w:val="28"/>
          <w:szCs w:val="28"/>
          <w:lang w:eastAsia="en-GB"/>
          <w14:ligatures w14:val="none"/>
        </w:rPr>
      </w:pPr>
    </w:p>
    <w:p w14:paraId="628F4853" w14:textId="0E49911A" w:rsidR="00B153DC" w:rsidRPr="00356F5B" w:rsidRDefault="00FF2428">
      <w:pPr>
        <w:jc w:val="both"/>
        <w:rPr>
          <w:rFonts w:ascii="Times New Roman" w:eastAsia="Times New Roman" w:hAnsi="Times New Roman" w:cs="Times New Roman"/>
          <w:color w:val="000000"/>
          <w:kern w:val="0"/>
          <w:sz w:val="28"/>
          <w:szCs w:val="28"/>
          <w:lang w:eastAsia="en-GB"/>
          <w14:ligatures w14:val="none"/>
        </w:rPr>
      </w:pPr>
      <w:r w:rsidRPr="00356F5B">
        <w:rPr>
          <w:rFonts w:ascii="Times New Roman" w:eastAsia="Times New Roman" w:hAnsi="Times New Roman" w:cs="Times New Roman"/>
          <w:b/>
          <w:bCs/>
          <w:color w:val="000000"/>
          <w:kern w:val="0"/>
          <w:sz w:val="28"/>
          <w:szCs w:val="28"/>
          <w:lang w:eastAsia="en-GB"/>
          <w14:ligatures w14:val="none"/>
        </w:rPr>
        <w:tab/>
      </w:r>
      <w:r w:rsidRPr="00356F5B">
        <w:rPr>
          <w:rFonts w:ascii="Times New Roman" w:eastAsia="Times New Roman" w:hAnsi="Times New Roman" w:cs="Times New Roman"/>
          <w:color w:val="000000"/>
          <w:kern w:val="0"/>
          <w:sz w:val="28"/>
          <w:szCs w:val="28"/>
          <w:lang w:eastAsia="en-GB"/>
          <w14:ligatures w14:val="none"/>
        </w:rPr>
        <w:t xml:space="preserve">Тимчасовою контрольною комісією було повно та всебічно досліджено обставини справи та надано належну оцінку доказам та фактам, отриманим </w:t>
      </w:r>
      <w:r w:rsidR="00E76A4D" w:rsidRPr="00356F5B">
        <w:rPr>
          <w:rFonts w:ascii="Times New Roman" w:eastAsia="Times New Roman" w:hAnsi="Times New Roman" w:cs="Times New Roman"/>
          <w:color w:val="000000"/>
          <w:kern w:val="0"/>
          <w:sz w:val="28"/>
          <w:szCs w:val="28"/>
          <w:lang w:eastAsia="en-GB"/>
          <w14:ligatures w14:val="none"/>
        </w:rPr>
        <w:t>у</w:t>
      </w:r>
      <w:r w:rsidRPr="00356F5B">
        <w:rPr>
          <w:rFonts w:ascii="Times New Roman" w:eastAsia="Times New Roman" w:hAnsi="Times New Roman" w:cs="Times New Roman"/>
          <w:color w:val="000000"/>
          <w:kern w:val="0"/>
          <w:sz w:val="28"/>
          <w:szCs w:val="28"/>
          <w:lang w:eastAsia="en-GB"/>
          <w14:ligatures w14:val="none"/>
        </w:rPr>
        <w:t xml:space="preserve"> процесі роботи членів </w:t>
      </w:r>
      <w:r w:rsidR="00C3726E" w:rsidRPr="00356F5B">
        <w:rPr>
          <w:rFonts w:ascii="Times New Roman" w:eastAsia="Times New Roman" w:hAnsi="Times New Roman" w:cs="Times New Roman"/>
          <w:color w:val="000000"/>
          <w:kern w:val="0"/>
          <w:sz w:val="28"/>
          <w:szCs w:val="28"/>
          <w:lang w:eastAsia="en-GB"/>
          <w14:ligatures w14:val="none"/>
        </w:rPr>
        <w:t xml:space="preserve"> тимчасової контрольної </w:t>
      </w:r>
      <w:r w:rsidRPr="00356F5B">
        <w:rPr>
          <w:rFonts w:ascii="Times New Roman" w:eastAsia="Times New Roman" w:hAnsi="Times New Roman" w:cs="Times New Roman"/>
          <w:color w:val="000000"/>
          <w:kern w:val="0"/>
          <w:sz w:val="28"/>
          <w:szCs w:val="28"/>
          <w:lang w:eastAsia="en-GB"/>
          <w14:ligatures w14:val="none"/>
        </w:rPr>
        <w:t xml:space="preserve">комісії. </w:t>
      </w:r>
    </w:p>
    <w:p w14:paraId="38DF3EEB" w14:textId="77777777" w:rsidR="00BC4DA8" w:rsidRPr="00356F5B" w:rsidRDefault="00BC4DA8">
      <w:pPr>
        <w:jc w:val="both"/>
      </w:pPr>
    </w:p>
    <w:p w14:paraId="2DD67BBC" w14:textId="77777777" w:rsidR="00B153DC" w:rsidRPr="00356F5B" w:rsidRDefault="00B153DC">
      <w:pPr>
        <w:jc w:val="both"/>
        <w:rPr>
          <w:rFonts w:ascii="Times New Roman" w:eastAsia="Times New Roman" w:hAnsi="Times New Roman" w:cs="Times New Roman"/>
          <w:color w:val="000000"/>
          <w:kern w:val="0"/>
          <w:sz w:val="28"/>
          <w:szCs w:val="28"/>
          <w:lang w:eastAsia="en-GB"/>
          <w14:ligatures w14:val="none"/>
        </w:rPr>
      </w:pPr>
    </w:p>
    <w:p w14:paraId="18559E23" w14:textId="77777777" w:rsidR="00B153DC" w:rsidRPr="00356F5B" w:rsidRDefault="00FF2428" w:rsidP="00160F54">
      <w:pPr>
        <w:jc w:val="center"/>
      </w:pPr>
      <w:r w:rsidRPr="00356F5B">
        <w:rPr>
          <w:rFonts w:ascii="Times New Roman" w:eastAsia="Times New Roman" w:hAnsi="Times New Roman" w:cs="Times New Roman"/>
          <w:b/>
          <w:bCs/>
          <w:color w:val="000000"/>
          <w:kern w:val="0"/>
          <w:sz w:val="28"/>
          <w:szCs w:val="28"/>
          <w:lang w:eastAsia="en-GB"/>
          <w14:ligatures w14:val="none"/>
        </w:rPr>
        <w:t>Рекомендації та пропозиції</w:t>
      </w:r>
    </w:p>
    <w:p w14:paraId="27A05917" w14:textId="77777777" w:rsidR="00B153DC" w:rsidRPr="00356F5B" w:rsidRDefault="00B153DC" w:rsidP="00160F54">
      <w:pPr>
        <w:jc w:val="both"/>
        <w:rPr>
          <w:rFonts w:ascii="Times New Roman" w:eastAsia="Times New Roman" w:hAnsi="Times New Roman" w:cs="Times New Roman"/>
          <w:color w:val="000000"/>
          <w:kern w:val="0"/>
          <w:sz w:val="28"/>
          <w:szCs w:val="28"/>
          <w:lang w:eastAsia="en-GB"/>
          <w14:ligatures w14:val="none"/>
        </w:rPr>
      </w:pPr>
    </w:p>
    <w:p w14:paraId="085316B6" w14:textId="35BB3EA1" w:rsidR="00160F54" w:rsidRPr="00356F5B" w:rsidRDefault="00160F54" w:rsidP="00160F54">
      <w:pPr>
        <w:jc w:val="both"/>
        <w:rPr>
          <w:rFonts w:ascii="Times New Roman" w:hAnsi="Times New Roman" w:cs="Times New Roman"/>
          <w:color w:val="151515"/>
          <w:sz w:val="28"/>
          <w:szCs w:val="28"/>
        </w:rPr>
      </w:pPr>
      <w:r w:rsidRPr="00356F5B">
        <w:rPr>
          <w:rFonts w:ascii="Times New Roman" w:hAnsi="Times New Roman" w:cs="Times New Roman"/>
          <w:sz w:val="28"/>
          <w:szCs w:val="28"/>
        </w:rPr>
        <w:tab/>
        <w:t>1</w:t>
      </w:r>
      <w:r w:rsidRPr="00356F5B">
        <w:rPr>
          <w:rFonts w:ascii="Times New Roman" w:hAnsi="Times New Roman" w:cs="Times New Roman"/>
          <w:b/>
          <w:sz w:val="28"/>
          <w:szCs w:val="28"/>
        </w:rPr>
        <w:t xml:space="preserve">. </w:t>
      </w:r>
      <w:r w:rsidRPr="00356F5B">
        <w:rPr>
          <w:rFonts w:ascii="Times New Roman" w:hAnsi="Times New Roman" w:cs="Times New Roman"/>
          <w:color w:val="151515"/>
          <w:sz w:val="28"/>
          <w:szCs w:val="28"/>
        </w:rPr>
        <w:t>Наглядовій раді ПрАТ «ХК «Київміськбуд»:</w:t>
      </w:r>
    </w:p>
    <w:p w14:paraId="769AF0FF" w14:textId="77777777" w:rsidR="00160F54" w:rsidRPr="00356F5B" w:rsidRDefault="00160F54" w:rsidP="00160F54">
      <w:pPr>
        <w:jc w:val="both"/>
        <w:rPr>
          <w:rFonts w:ascii="Times New Roman" w:hAnsi="Times New Roman" w:cs="Times New Roman"/>
          <w:color w:val="151515"/>
          <w:sz w:val="28"/>
          <w:szCs w:val="28"/>
        </w:rPr>
      </w:pPr>
      <w:r w:rsidRPr="00356F5B">
        <w:rPr>
          <w:rFonts w:ascii="Times New Roman" w:hAnsi="Times New Roman" w:cs="Times New Roman"/>
          <w:color w:val="151515"/>
          <w:sz w:val="28"/>
          <w:szCs w:val="28"/>
        </w:rPr>
        <w:tab/>
        <w:t>-  у межах компетенції Наглядової ради посилити контроль за фінансово-економічною діяльністю Компанії з обов’язковим прийняттям відповідних кадрових рішень у випадку її порушення;</w:t>
      </w:r>
    </w:p>
    <w:p w14:paraId="311C5F46" w14:textId="77777777" w:rsidR="00160F54" w:rsidRPr="00356F5B" w:rsidRDefault="00160F54" w:rsidP="00160F54">
      <w:pPr>
        <w:jc w:val="both"/>
        <w:rPr>
          <w:rFonts w:ascii="Times New Roman" w:hAnsi="Times New Roman" w:cs="Times New Roman"/>
          <w:color w:val="151515"/>
          <w:sz w:val="21"/>
          <w:szCs w:val="21"/>
        </w:rPr>
      </w:pPr>
      <w:r w:rsidRPr="00356F5B">
        <w:rPr>
          <w:rFonts w:ascii="Times New Roman" w:hAnsi="Times New Roman" w:cs="Times New Roman"/>
          <w:color w:val="151515"/>
          <w:sz w:val="28"/>
          <w:szCs w:val="28"/>
        </w:rPr>
        <w:tab/>
        <w:t>- забезпечити належну діяльність підрозділу внутрішнього фінансового контролю та аудиту Компанії.</w:t>
      </w:r>
    </w:p>
    <w:p w14:paraId="287FC4FE" w14:textId="77777777" w:rsidR="00160F54" w:rsidRPr="00356F5B" w:rsidRDefault="00160F54" w:rsidP="00160F54">
      <w:pPr>
        <w:pStyle w:val="western"/>
        <w:shd w:val="clear" w:color="auto" w:fill="FFFFFF"/>
        <w:spacing w:before="0" w:beforeAutospacing="0" w:after="0" w:afterAutospacing="0"/>
        <w:jc w:val="both"/>
        <w:rPr>
          <w:color w:val="151515"/>
          <w:sz w:val="21"/>
          <w:szCs w:val="21"/>
        </w:rPr>
      </w:pPr>
      <w:r w:rsidRPr="00356F5B">
        <w:rPr>
          <w:color w:val="151515"/>
          <w:sz w:val="28"/>
          <w:szCs w:val="28"/>
        </w:rPr>
        <w:tab/>
        <w:t>2. Департаменту комунальної власності м. Києва виконавчого органу Київської міської ради (Київської міської державної адміністрації) прийняти рішення щодо збільшення складу Наглядової ради Компанії до 5 осіб.</w:t>
      </w:r>
    </w:p>
    <w:p w14:paraId="48B4FF77" w14:textId="77777777" w:rsidR="00160F54" w:rsidRPr="00356F5B" w:rsidRDefault="00160F54" w:rsidP="00160F54">
      <w:pPr>
        <w:pStyle w:val="western"/>
        <w:shd w:val="clear" w:color="auto" w:fill="FFFFFF"/>
        <w:spacing w:before="0" w:beforeAutospacing="0" w:after="0" w:afterAutospacing="0"/>
        <w:jc w:val="both"/>
        <w:rPr>
          <w:color w:val="151515"/>
          <w:sz w:val="28"/>
          <w:szCs w:val="28"/>
        </w:rPr>
      </w:pPr>
      <w:r w:rsidRPr="00356F5B">
        <w:rPr>
          <w:color w:val="151515"/>
          <w:sz w:val="28"/>
          <w:szCs w:val="28"/>
        </w:rPr>
        <w:tab/>
        <w:t xml:space="preserve">3. Виконавчому органу Київської міської ради (Київській міській державній адміністрації) / Київській міській військовій адміністрації та їх структурним підрозділам: </w:t>
      </w:r>
    </w:p>
    <w:p w14:paraId="62B96519" w14:textId="77777777" w:rsidR="00160F54" w:rsidRPr="00356F5B" w:rsidRDefault="00160F54" w:rsidP="00160F54">
      <w:pPr>
        <w:pStyle w:val="western"/>
        <w:shd w:val="clear" w:color="auto" w:fill="FFFFFF"/>
        <w:spacing w:before="0" w:beforeAutospacing="0" w:after="0" w:afterAutospacing="0"/>
        <w:jc w:val="both"/>
        <w:rPr>
          <w:color w:val="151515"/>
          <w:sz w:val="28"/>
          <w:szCs w:val="28"/>
        </w:rPr>
      </w:pPr>
      <w:r w:rsidRPr="00356F5B">
        <w:rPr>
          <w:color w:val="151515"/>
          <w:sz w:val="28"/>
          <w:szCs w:val="28"/>
        </w:rPr>
        <w:tab/>
        <w:t xml:space="preserve">- здійснювати закупівлю об’єктів нерухомого майна, зокрема, житла та об’єктів соціальної інфраструктури у ПрАТ «ХК «Київміськбуд» в обсягах, передбачених основними результатами фінансового прогнозування, здійсненого аудиторською компанією </w:t>
      </w:r>
      <w:proofErr w:type="spellStart"/>
      <w:r w:rsidRPr="00356F5B">
        <w:rPr>
          <w:color w:val="151515"/>
          <w:sz w:val="28"/>
          <w:szCs w:val="28"/>
        </w:rPr>
        <w:t>Ernst</w:t>
      </w:r>
      <w:proofErr w:type="spellEnd"/>
      <w:r w:rsidRPr="00356F5B">
        <w:rPr>
          <w:color w:val="151515"/>
          <w:sz w:val="28"/>
          <w:szCs w:val="28"/>
        </w:rPr>
        <w:t xml:space="preserve"> &amp; </w:t>
      </w:r>
      <w:proofErr w:type="spellStart"/>
      <w:r w:rsidRPr="00356F5B">
        <w:rPr>
          <w:color w:val="151515"/>
          <w:sz w:val="28"/>
          <w:szCs w:val="28"/>
        </w:rPr>
        <w:t>Young</w:t>
      </w:r>
      <w:proofErr w:type="spellEnd"/>
      <w:r w:rsidRPr="00356F5B">
        <w:rPr>
          <w:color w:val="151515"/>
          <w:sz w:val="28"/>
          <w:szCs w:val="28"/>
        </w:rPr>
        <w:t>;</w:t>
      </w:r>
    </w:p>
    <w:p w14:paraId="7D686D5C" w14:textId="77777777" w:rsidR="00160F54" w:rsidRPr="00356F5B" w:rsidRDefault="00160F54" w:rsidP="00160F54">
      <w:pPr>
        <w:pStyle w:val="ae"/>
        <w:widowControl w:val="0"/>
        <w:autoSpaceDN w:val="0"/>
        <w:snapToGrid w:val="0"/>
        <w:ind w:left="0"/>
        <w:jc w:val="both"/>
        <w:textAlignment w:val="baseline"/>
        <w:rPr>
          <w:rFonts w:ascii="Times New Roman" w:hAnsi="Times New Roman" w:cs="Times New Roman"/>
          <w:sz w:val="28"/>
          <w:szCs w:val="28"/>
        </w:rPr>
      </w:pPr>
      <w:r w:rsidRPr="00356F5B">
        <w:rPr>
          <w:rFonts w:ascii="Times New Roman" w:hAnsi="Times New Roman" w:cs="Times New Roman"/>
          <w:sz w:val="28"/>
          <w:szCs w:val="28"/>
        </w:rPr>
        <w:tab/>
        <w:t>- опрацювати  механізм щодо  закупівлі об’єктів нерухомого майна, зокрема, житла та об’єктів соціальної інфраструктури у ПрАТ «ХК «Київміськбуд» із урахуванням вимог антимонопольного законодавства України;</w:t>
      </w:r>
    </w:p>
    <w:p w14:paraId="2A38573D" w14:textId="2A119AC0" w:rsidR="00160F54" w:rsidRPr="00356F5B" w:rsidRDefault="00160F54" w:rsidP="00160F54">
      <w:pPr>
        <w:pStyle w:val="western"/>
        <w:shd w:val="clear" w:color="auto" w:fill="FFFFFF"/>
        <w:spacing w:before="0" w:beforeAutospacing="0" w:after="0" w:afterAutospacing="0"/>
        <w:jc w:val="both"/>
        <w:rPr>
          <w:color w:val="151515"/>
          <w:sz w:val="28"/>
          <w:szCs w:val="28"/>
        </w:rPr>
      </w:pPr>
      <w:r w:rsidRPr="00356F5B">
        <w:rPr>
          <w:color w:val="151515"/>
          <w:sz w:val="28"/>
          <w:szCs w:val="28"/>
        </w:rPr>
        <w:tab/>
        <w:t xml:space="preserve">- розглянути можливість виділення фінансової позики або </w:t>
      </w:r>
      <w:proofErr w:type="spellStart"/>
      <w:r w:rsidRPr="00356F5B">
        <w:rPr>
          <w:color w:val="151515"/>
          <w:sz w:val="28"/>
          <w:szCs w:val="28"/>
        </w:rPr>
        <w:t>докапіталізації</w:t>
      </w:r>
      <w:proofErr w:type="spellEnd"/>
      <w:r w:rsidRPr="00356F5B">
        <w:rPr>
          <w:color w:val="151515"/>
          <w:sz w:val="28"/>
          <w:szCs w:val="28"/>
        </w:rPr>
        <w:t xml:space="preserve"> К</w:t>
      </w:r>
      <w:r w:rsidR="00356F5B" w:rsidRPr="00356F5B">
        <w:rPr>
          <w:color w:val="151515"/>
          <w:sz w:val="28"/>
          <w:szCs w:val="28"/>
        </w:rPr>
        <w:t>омпанії;</w:t>
      </w:r>
    </w:p>
    <w:p w14:paraId="3BB941CC" w14:textId="1D3272E8" w:rsidR="00356F5B" w:rsidRPr="00356F5B" w:rsidRDefault="00356F5B" w:rsidP="00356F5B">
      <w:pPr>
        <w:pStyle w:val="tj"/>
        <w:spacing w:beforeAutospacing="0" w:afterAutospacing="0"/>
        <w:jc w:val="both"/>
      </w:pPr>
      <w:r w:rsidRPr="00356F5B">
        <w:rPr>
          <w:sz w:val="28"/>
          <w:szCs w:val="28"/>
        </w:rPr>
        <w:tab/>
        <w:t>- Київській міській ради звернутись до правоохоронних органів  щодо фактів, викладених у журналістському розслідуванні «Президентський люкс» Анастасії Усенко (Bihus.info);</w:t>
      </w:r>
    </w:p>
    <w:p w14:paraId="0D707061" w14:textId="0EFD344A" w:rsidR="00571491" w:rsidRPr="005F391B" w:rsidRDefault="00571491" w:rsidP="00571491">
      <w:pPr>
        <w:ind w:firstLine="709"/>
        <w:jc w:val="both"/>
        <w:rPr>
          <w:rFonts w:ascii="Times New Roman" w:hAnsi="Times New Roman" w:cs="Times New Roman"/>
          <w:sz w:val="28"/>
          <w:szCs w:val="28"/>
        </w:rPr>
      </w:pPr>
      <w:r w:rsidRPr="005F391B">
        <w:rPr>
          <w:rFonts w:ascii="Times New Roman" w:hAnsi="Times New Roman" w:cs="Times New Roman"/>
          <w:sz w:val="28"/>
          <w:szCs w:val="28"/>
        </w:rPr>
        <w:t xml:space="preserve">- </w:t>
      </w:r>
      <w:r w:rsidRPr="00DB1268">
        <w:rPr>
          <w:rFonts w:ascii="Times New Roman" w:hAnsi="Times New Roman" w:cs="Times New Roman"/>
          <w:sz w:val="28"/>
          <w:szCs w:val="28"/>
        </w:rPr>
        <w:t>Наглядов</w:t>
      </w:r>
      <w:r>
        <w:rPr>
          <w:rFonts w:ascii="Times New Roman" w:hAnsi="Times New Roman" w:cs="Times New Roman"/>
          <w:sz w:val="28"/>
          <w:szCs w:val="28"/>
        </w:rPr>
        <w:t>ій</w:t>
      </w:r>
      <w:r w:rsidRPr="00DB1268">
        <w:rPr>
          <w:rFonts w:ascii="Times New Roman" w:hAnsi="Times New Roman" w:cs="Times New Roman"/>
          <w:sz w:val="28"/>
          <w:szCs w:val="28"/>
        </w:rPr>
        <w:t xml:space="preserve"> рад</w:t>
      </w:r>
      <w:r>
        <w:rPr>
          <w:rFonts w:ascii="Times New Roman" w:hAnsi="Times New Roman" w:cs="Times New Roman"/>
          <w:sz w:val="28"/>
          <w:szCs w:val="28"/>
        </w:rPr>
        <w:t>і</w:t>
      </w:r>
      <w:r w:rsidRPr="00DB1268">
        <w:rPr>
          <w:rFonts w:ascii="Times New Roman" w:hAnsi="Times New Roman" w:cs="Times New Roman"/>
          <w:sz w:val="28"/>
          <w:szCs w:val="28"/>
        </w:rPr>
        <w:t xml:space="preserve"> ПрАТ «ХК «Київміськбуд»</w:t>
      </w:r>
      <w:r>
        <w:rPr>
          <w:rFonts w:ascii="Times New Roman" w:hAnsi="Times New Roman" w:cs="Times New Roman"/>
          <w:sz w:val="28"/>
          <w:szCs w:val="28"/>
        </w:rPr>
        <w:t xml:space="preserve"> розглянути можливість </w:t>
      </w:r>
      <w:r w:rsidRPr="005F391B">
        <w:rPr>
          <w:rFonts w:ascii="Times New Roman" w:hAnsi="Times New Roman" w:cs="Times New Roman"/>
          <w:sz w:val="28"/>
          <w:szCs w:val="28"/>
        </w:rPr>
        <w:t>включ</w:t>
      </w:r>
      <w:r>
        <w:rPr>
          <w:rFonts w:ascii="Times New Roman" w:hAnsi="Times New Roman" w:cs="Times New Roman"/>
          <w:sz w:val="28"/>
          <w:szCs w:val="28"/>
        </w:rPr>
        <w:t>ення</w:t>
      </w:r>
      <w:r w:rsidRPr="005F391B">
        <w:rPr>
          <w:rFonts w:ascii="Times New Roman" w:hAnsi="Times New Roman" w:cs="Times New Roman"/>
          <w:sz w:val="28"/>
          <w:szCs w:val="28"/>
        </w:rPr>
        <w:t xml:space="preserve"> в перелік недобудованих об’єктів </w:t>
      </w:r>
      <w:r w:rsidRPr="005F391B">
        <w:rPr>
          <w:rFonts w:ascii="Times New Roman" w:hAnsi="Times New Roman" w:cs="Times New Roman"/>
          <w:color w:val="000000"/>
          <w:sz w:val="28"/>
          <w:szCs w:val="28"/>
          <w:shd w:val="clear" w:color="auto" w:fill="FFFFFF"/>
        </w:rPr>
        <w:t xml:space="preserve"> УДБК «</w:t>
      </w:r>
      <w:proofErr w:type="spellStart"/>
      <w:r w:rsidRPr="005F391B">
        <w:rPr>
          <w:rFonts w:ascii="Times New Roman" w:hAnsi="Times New Roman" w:cs="Times New Roman"/>
          <w:color w:val="000000"/>
          <w:sz w:val="28"/>
          <w:szCs w:val="28"/>
          <w:shd w:val="clear" w:color="auto" w:fill="FFFFFF"/>
        </w:rPr>
        <w:t>Укрбуд</w:t>
      </w:r>
      <w:proofErr w:type="spellEnd"/>
      <w:r w:rsidRPr="005F391B">
        <w:rPr>
          <w:rFonts w:ascii="Times New Roman" w:hAnsi="Times New Roman" w:cs="Times New Roman"/>
          <w:color w:val="000000"/>
          <w:sz w:val="28"/>
          <w:szCs w:val="28"/>
          <w:shd w:val="clear" w:color="auto" w:fill="FFFFFF"/>
        </w:rPr>
        <w:t>»</w:t>
      </w:r>
      <w:r w:rsidRPr="005F391B">
        <w:rPr>
          <w:rFonts w:ascii="Times New Roman" w:hAnsi="Times New Roman" w:cs="Times New Roman"/>
          <w:sz w:val="28"/>
          <w:szCs w:val="28"/>
        </w:rPr>
        <w:t xml:space="preserve">   ЖК «</w:t>
      </w:r>
      <w:proofErr w:type="spellStart"/>
      <w:r w:rsidRPr="005F391B">
        <w:rPr>
          <w:rFonts w:ascii="Times New Roman" w:hAnsi="Times New Roman" w:cs="Times New Roman"/>
          <w:sz w:val="28"/>
          <w:szCs w:val="28"/>
        </w:rPr>
        <w:t>Солар</w:t>
      </w:r>
      <w:proofErr w:type="spellEnd"/>
      <w:r w:rsidRPr="005F391B">
        <w:rPr>
          <w:rFonts w:ascii="Times New Roman" w:hAnsi="Times New Roman" w:cs="Times New Roman"/>
          <w:sz w:val="28"/>
          <w:szCs w:val="28"/>
        </w:rPr>
        <w:t xml:space="preserve"> Сіті»</w:t>
      </w:r>
      <w:r>
        <w:rPr>
          <w:rFonts w:ascii="Times New Roman" w:hAnsi="Times New Roman" w:cs="Times New Roman"/>
          <w:sz w:val="28"/>
          <w:szCs w:val="28"/>
        </w:rPr>
        <w:t xml:space="preserve"> </w:t>
      </w:r>
      <w:r w:rsidRPr="005F391B">
        <w:rPr>
          <w:rFonts w:ascii="Times New Roman" w:hAnsi="Times New Roman" w:cs="Times New Roman"/>
          <w:sz w:val="28"/>
          <w:szCs w:val="28"/>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r w:rsidRPr="005F391B">
        <w:rPr>
          <w:rFonts w:ascii="Times New Roman" w:hAnsi="Times New Roman" w:cs="Times New Roman"/>
          <w:sz w:val="28"/>
          <w:szCs w:val="28"/>
        </w:rPr>
        <w:t xml:space="preserve">  Святошинській площі, 1</w:t>
      </w:r>
      <w:r>
        <w:rPr>
          <w:rFonts w:ascii="Times New Roman" w:hAnsi="Times New Roman" w:cs="Times New Roman"/>
          <w:sz w:val="28"/>
          <w:szCs w:val="28"/>
        </w:rPr>
        <w:t>.</w:t>
      </w:r>
    </w:p>
    <w:p w14:paraId="4E777987" w14:textId="6558743F" w:rsidR="00160F54" w:rsidRPr="00571491" w:rsidRDefault="00160F54" w:rsidP="00571491">
      <w:pPr>
        <w:jc w:val="both"/>
        <w:rPr>
          <w:rFonts w:ascii="Times New Roman" w:hAnsi="Times New Roman" w:cs="Times New Roman"/>
          <w:color w:val="151515"/>
          <w:sz w:val="28"/>
          <w:szCs w:val="28"/>
        </w:rPr>
      </w:pPr>
      <w:r w:rsidRPr="00356F5B">
        <w:rPr>
          <w:color w:val="151515"/>
          <w:sz w:val="28"/>
          <w:szCs w:val="28"/>
        </w:rPr>
        <w:tab/>
      </w:r>
      <w:r w:rsidRPr="00571491">
        <w:rPr>
          <w:rFonts w:ascii="Times New Roman" w:hAnsi="Times New Roman" w:cs="Times New Roman"/>
          <w:color w:val="151515"/>
          <w:sz w:val="28"/>
          <w:szCs w:val="28"/>
        </w:rPr>
        <w:t xml:space="preserve">4. Київській міській раді звернутись до Кабінету Міністрів України з вимогою щодо компенсації ПрАТ «ХК «Київміськбуд» сумарного запланованого збитку, пов’язаного з добудовою проєктів </w:t>
      </w:r>
      <w:r w:rsidRPr="00571491">
        <w:rPr>
          <w:rFonts w:ascii="Times New Roman" w:hAnsi="Times New Roman" w:cs="Times New Roman"/>
          <w:sz w:val="28"/>
          <w:szCs w:val="28"/>
        </w:rPr>
        <w:t>будівельної корпорації «</w:t>
      </w:r>
      <w:proofErr w:type="spellStart"/>
      <w:r w:rsidRPr="00571491">
        <w:rPr>
          <w:rFonts w:ascii="Times New Roman" w:hAnsi="Times New Roman" w:cs="Times New Roman"/>
          <w:sz w:val="28"/>
          <w:szCs w:val="28"/>
        </w:rPr>
        <w:t>Укрбуд</w:t>
      </w:r>
      <w:proofErr w:type="spellEnd"/>
      <w:r w:rsidRPr="00571491">
        <w:rPr>
          <w:rFonts w:ascii="Times New Roman" w:hAnsi="Times New Roman" w:cs="Times New Roman"/>
          <w:sz w:val="28"/>
          <w:szCs w:val="28"/>
        </w:rPr>
        <w:t xml:space="preserve">» </w:t>
      </w:r>
      <w:r w:rsidRPr="00571491">
        <w:rPr>
          <w:rFonts w:ascii="Times New Roman" w:hAnsi="Times New Roman" w:cs="Times New Roman"/>
          <w:color w:val="151515"/>
          <w:sz w:val="28"/>
          <w:szCs w:val="28"/>
        </w:rPr>
        <w:t>у сумі 2,28 млрд грн.</w:t>
      </w:r>
    </w:p>
    <w:p w14:paraId="1DE10F30" w14:textId="354CE4B7" w:rsidR="00B153DC" w:rsidRPr="00356F5B" w:rsidRDefault="00B153DC" w:rsidP="00160F54">
      <w:pPr>
        <w:pStyle w:val="ae"/>
        <w:jc w:val="both"/>
        <w:rPr>
          <w:rFonts w:ascii="Times New Roman" w:eastAsia="Times New Roman" w:hAnsi="Times New Roman" w:cs="Times New Roman"/>
          <w:b/>
          <w:bCs/>
          <w:color w:val="000000"/>
          <w:kern w:val="0"/>
          <w:sz w:val="28"/>
          <w:szCs w:val="28"/>
          <w:shd w:val="clear" w:color="auto" w:fill="FFFFFF"/>
          <w:lang w:eastAsia="en-GB"/>
          <w14:ligatures w14:val="none"/>
        </w:rPr>
      </w:pPr>
    </w:p>
    <w:p w14:paraId="5E1058BC" w14:textId="77777777" w:rsidR="00B153DC" w:rsidRPr="00356F5B" w:rsidRDefault="00B153DC">
      <w:pPr>
        <w:ind w:firstLine="708"/>
        <w:jc w:val="both"/>
        <w:rPr>
          <w:rFonts w:ascii="Times New Roman" w:eastAsia="Times New Roman" w:hAnsi="Times New Roman" w:cs="Times New Roman"/>
          <w:color w:val="000000"/>
          <w:kern w:val="0"/>
          <w:sz w:val="28"/>
          <w:szCs w:val="28"/>
          <w:lang w:eastAsia="en-GB"/>
          <w14:ligatures w14:val="none"/>
        </w:rPr>
      </w:pPr>
    </w:p>
    <w:p w14:paraId="34291C42" w14:textId="77777777" w:rsidR="00B153DC" w:rsidRPr="00356F5B" w:rsidRDefault="00B153DC">
      <w:pPr>
        <w:spacing w:after="240"/>
        <w:jc w:val="both"/>
        <w:rPr>
          <w:rFonts w:ascii="Times New Roman" w:eastAsia="Times New Roman" w:hAnsi="Times New Roman" w:cs="Times New Roman"/>
          <w:color w:val="000000"/>
          <w:kern w:val="0"/>
          <w:sz w:val="28"/>
          <w:szCs w:val="28"/>
          <w:lang w:eastAsia="en-GB"/>
          <w14:ligatures w14:val="none"/>
        </w:rPr>
      </w:pPr>
    </w:p>
    <w:p w14:paraId="688C4984" w14:textId="77777777" w:rsidR="00E76A4D" w:rsidRPr="00356F5B" w:rsidRDefault="00FF2428">
      <w:pPr>
        <w:jc w:val="both"/>
        <w:rPr>
          <w:rFonts w:ascii="Times New Roman" w:eastAsia="Times New Roman" w:hAnsi="Times New Roman" w:cs="Times New Roman"/>
          <w:bCs/>
          <w:color w:val="000000"/>
          <w:kern w:val="0"/>
          <w:sz w:val="28"/>
          <w:szCs w:val="28"/>
          <w:lang w:eastAsia="en-GB"/>
          <w14:ligatures w14:val="none"/>
        </w:rPr>
      </w:pPr>
      <w:r w:rsidRPr="00356F5B">
        <w:rPr>
          <w:rFonts w:ascii="Times New Roman" w:eastAsia="Times New Roman" w:hAnsi="Times New Roman" w:cs="Times New Roman"/>
          <w:bCs/>
          <w:color w:val="000000"/>
          <w:kern w:val="0"/>
          <w:sz w:val="28"/>
          <w:szCs w:val="28"/>
          <w:lang w:eastAsia="en-GB"/>
          <w14:ligatures w14:val="none"/>
        </w:rPr>
        <w:t xml:space="preserve">Голова тимчасової контрольної комісії,  </w:t>
      </w:r>
      <w:r w:rsidRPr="00356F5B">
        <w:rPr>
          <w:rFonts w:ascii="Times New Roman" w:eastAsia="Times New Roman" w:hAnsi="Times New Roman" w:cs="Times New Roman"/>
          <w:bCs/>
          <w:color w:val="000000"/>
          <w:kern w:val="0"/>
          <w:sz w:val="28"/>
          <w:szCs w:val="28"/>
          <w:lang w:eastAsia="en-GB"/>
          <w14:ligatures w14:val="none"/>
        </w:rPr>
        <w:tab/>
      </w:r>
      <w:r w:rsidRPr="00356F5B">
        <w:rPr>
          <w:rFonts w:ascii="Times New Roman" w:eastAsia="Times New Roman" w:hAnsi="Times New Roman" w:cs="Times New Roman"/>
          <w:bCs/>
          <w:color w:val="000000"/>
          <w:kern w:val="0"/>
          <w:sz w:val="28"/>
          <w:szCs w:val="28"/>
          <w:lang w:eastAsia="en-GB"/>
          <w14:ligatures w14:val="none"/>
        </w:rPr>
        <w:tab/>
      </w:r>
      <w:r w:rsidRPr="00356F5B">
        <w:rPr>
          <w:rFonts w:ascii="Times New Roman" w:eastAsia="Times New Roman" w:hAnsi="Times New Roman" w:cs="Times New Roman"/>
          <w:bCs/>
          <w:color w:val="000000"/>
          <w:kern w:val="0"/>
          <w:sz w:val="28"/>
          <w:szCs w:val="28"/>
          <w:lang w:eastAsia="en-GB"/>
          <w14:ligatures w14:val="none"/>
        </w:rPr>
        <w:tab/>
      </w:r>
      <w:r w:rsidRPr="00356F5B">
        <w:rPr>
          <w:rFonts w:ascii="Times New Roman" w:eastAsia="Times New Roman" w:hAnsi="Times New Roman" w:cs="Times New Roman"/>
          <w:bCs/>
          <w:color w:val="000000"/>
          <w:kern w:val="0"/>
          <w:sz w:val="28"/>
          <w:szCs w:val="28"/>
          <w:lang w:eastAsia="en-GB"/>
          <w14:ligatures w14:val="none"/>
        </w:rPr>
        <w:tab/>
        <w:t xml:space="preserve">          </w:t>
      </w:r>
    </w:p>
    <w:p w14:paraId="282DE266" w14:textId="30EC794D" w:rsidR="00B153DC" w:rsidRPr="00356F5B" w:rsidRDefault="00FF2428">
      <w:pPr>
        <w:jc w:val="both"/>
      </w:pPr>
      <w:r w:rsidRPr="00356F5B">
        <w:rPr>
          <w:rFonts w:ascii="Times New Roman" w:eastAsia="Times New Roman" w:hAnsi="Times New Roman" w:cs="Times New Roman"/>
          <w:bCs/>
          <w:color w:val="000000"/>
          <w:kern w:val="0"/>
          <w:sz w:val="28"/>
          <w:szCs w:val="28"/>
          <w:lang w:eastAsia="en-GB"/>
          <w14:ligatures w14:val="none"/>
        </w:rPr>
        <w:t xml:space="preserve">депутатка Київської міської ради                     </w:t>
      </w:r>
      <w:r w:rsidR="00BF28E2" w:rsidRPr="00356F5B">
        <w:rPr>
          <w:rFonts w:ascii="Times New Roman" w:eastAsia="Times New Roman" w:hAnsi="Times New Roman" w:cs="Times New Roman"/>
          <w:bCs/>
          <w:color w:val="000000"/>
          <w:kern w:val="0"/>
          <w:sz w:val="28"/>
          <w:szCs w:val="28"/>
          <w:lang w:eastAsia="en-GB"/>
          <w14:ligatures w14:val="none"/>
        </w:rPr>
        <w:t xml:space="preserve">          </w:t>
      </w:r>
      <w:r w:rsidRPr="00356F5B">
        <w:rPr>
          <w:rFonts w:ascii="Times New Roman" w:eastAsia="Times New Roman" w:hAnsi="Times New Roman" w:cs="Times New Roman"/>
          <w:bCs/>
          <w:color w:val="000000"/>
          <w:kern w:val="0"/>
          <w:sz w:val="28"/>
          <w:szCs w:val="28"/>
          <w:lang w:eastAsia="en-GB"/>
          <w14:ligatures w14:val="none"/>
        </w:rPr>
        <w:t xml:space="preserve"> </w:t>
      </w:r>
      <w:r w:rsidR="00E76A4D" w:rsidRPr="00356F5B">
        <w:rPr>
          <w:rFonts w:ascii="Times New Roman" w:eastAsia="Times New Roman" w:hAnsi="Times New Roman" w:cs="Times New Roman"/>
          <w:bCs/>
          <w:color w:val="000000"/>
          <w:kern w:val="0"/>
          <w:sz w:val="28"/>
          <w:szCs w:val="28"/>
          <w:lang w:eastAsia="en-GB"/>
          <w14:ligatures w14:val="none"/>
        </w:rPr>
        <w:t xml:space="preserve">       </w:t>
      </w:r>
      <w:r w:rsidRPr="00356F5B">
        <w:rPr>
          <w:rFonts w:ascii="Times New Roman" w:eastAsia="Times New Roman" w:hAnsi="Times New Roman" w:cs="Times New Roman"/>
          <w:bCs/>
          <w:color w:val="000000"/>
          <w:kern w:val="0"/>
          <w:sz w:val="28"/>
          <w:szCs w:val="28"/>
          <w:lang w:eastAsia="en-GB"/>
          <w14:ligatures w14:val="none"/>
        </w:rPr>
        <w:t>Мирослава СМІРНОВА</w:t>
      </w:r>
    </w:p>
    <w:p w14:paraId="03533568" w14:textId="77777777" w:rsidR="00B153DC" w:rsidRPr="00356F5B" w:rsidRDefault="00B153DC">
      <w:pPr>
        <w:jc w:val="both"/>
      </w:pPr>
    </w:p>
    <w:sectPr w:rsidR="00B153DC" w:rsidRPr="00356F5B" w:rsidSect="00191F58">
      <w:footerReference w:type="default" r:id="rId15"/>
      <w:pgSz w:w="12240" w:h="15840"/>
      <w:pgMar w:top="567" w:right="851" w:bottom="709" w:left="1701"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A4C9" w14:textId="77777777" w:rsidR="00191F58" w:rsidRDefault="00191F58" w:rsidP="00191F58">
      <w:r>
        <w:separator/>
      </w:r>
    </w:p>
  </w:endnote>
  <w:endnote w:type="continuationSeparator" w:id="0">
    <w:p w14:paraId="2C8524EF" w14:textId="77777777" w:rsidR="00191F58" w:rsidRDefault="00191F58" w:rsidP="0019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09676"/>
      <w:docPartObj>
        <w:docPartGallery w:val="Page Numbers (Bottom of Page)"/>
        <w:docPartUnique/>
      </w:docPartObj>
    </w:sdtPr>
    <w:sdtEndPr/>
    <w:sdtContent>
      <w:p w14:paraId="676DB48D" w14:textId="48583717" w:rsidR="00191F58" w:rsidRDefault="00191F58">
        <w:pPr>
          <w:pStyle w:val="af6"/>
          <w:jc w:val="right"/>
        </w:pPr>
        <w:r>
          <w:fldChar w:fldCharType="begin"/>
        </w:r>
        <w:r>
          <w:instrText>PAGE   \* MERGEFORMAT</w:instrText>
        </w:r>
        <w:r>
          <w:fldChar w:fldCharType="separate"/>
        </w:r>
        <w:r w:rsidR="007324E3">
          <w:rPr>
            <w:noProof/>
          </w:rPr>
          <w:t>16</w:t>
        </w:r>
        <w:r>
          <w:fldChar w:fldCharType="end"/>
        </w:r>
      </w:p>
    </w:sdtContent>
  </w:sdt>
  <w:p w14:paraId="19A0416E" w14:textId="77777777" w:rsidR="00191F58" w:rsidRDefault="00191F5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0D82E" w14:textId="77777777" w:rsidR="00191F58" w:rsidRDefault="00191F58" w:rsidP="00191F58">
      <w:r>
        <w:separator/>
      </w:r>
    </w:p>
  </w:footnote>
  <w:footnote w:type="continuationSeparator" w:id="0">
    <w:p w14:paraId="52005728" w14:textId="77777777" w:rsidR="00191F58" w:rsidRDefault="00191F58" w:rsidP="0019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D9E"/>
    <w:multiLevelType w:val="multilevel"/>
    <w:tmpl w:val="2D74141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A034702"/>
    <w:multiLevelType w:val="multilevel"/>
    <w:tmpl w:val="9B106266"/>
    <w:lvl w:ilvl="0">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 w15:restartNumberingAfterBreak="0">
    <w:nsid w:val="1F63563E"/>
    <w:multiLevelType w:val="multilevel"/>
    <w:tmpl w:val="9E92F7E6"/>
    <w:lvl w:ilvl="0">
      <w:start w:val="15"/>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26857A2A"/>
    <w:multiLevelType w:val="multilevel"/>
    <w:tmpl w:val="D3B447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34205E9"/>
    <w:multiLevelType w:val="multilevel"/>
    <w:tmpl w:val="E9E482AE"/>
    <w:lvl w:ilvl="0">
      <w:start w:val="1"/>
      <w:numFmt w:val="lowerLetter"/>
      <w:lvlText w:val="%1."/>
      <w:lvlJc w:val="left"/>
      <w:pPr>
        <w:tabs>
          <w:tab w:val="num" w:pos="0"/>
        </w:tabs>
        <w:ind w:left="1080" w:hanging="360"/>
      </w:pPr>
      <w:rPr>
        <w:rFonts w:ascii="Times New Roman" w:hAnsi="Times New Roman"/>
        <w:b/>
        <w:sz w:val="2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C4B0C77"/>
    <w:multiLevelType w:val="multilevel"/>
    <w:tmpl w:val="B8A66402"/>
    <w:lvl w:ilvl="0">
      <w:start w:val="1"/>
      <w:numFmt w:val="lowerLetter"/>
      <w:lvlText w:val="%1."/>
      <w:lvlJc w:val="left"/>
      <w:pPr>
        <w:tabs>
          <w:tab w:val="num" w:pos="557"/>
        </w:tabs>
        <w:ind w:left="1637"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7A9B4DD6"/>
    <w:multiLevelType w:val="multilevel"/>
    <w:tmpl w:val="A18054C4"/>
    <w:lvl w:ilvl="0">
      <w:start w:val="1"/>
      <w:numFmt w:val="bullet"/>
      <w:lvlText w:val=""/>
      <w:lvlJc w:val="left"/>
      <w:pPr>
        <w:tabs>
          <w:tab w:val="num" w:pos="-512"/>
        </w:tabs>
        <w:ind w:left="928" w:hanging="360"/>
      </w:pPr>
      <w:rPr>
        <w:rFonts w:ascii="Wingdings" w:hAnsi="Wingdings" w:cs="Wingdings" w:hint="default"/>
      </w:rPr>
    </w:lvl>
    <w:lvl w:ilvl="1">
      <w:start w:val="1"/>
      <w:numFmt w:val="bullet"/>
      <w:lvlText w:val="o"/>
      <w:lvlJc w:val="left"/>
      <w:pPr>
        <w:tabs>
          <w:tab w:val="num" w:pos="-512"/>
        </w:tabs>
        <w:ind w:left="1648" w:hanging="360"/>
      </w:pPr>
      <w:rPr>
        <w:rFonts w:ascii="Courier New" w:hAnsi="Courier New" w:cs="Courier New" w:hint="default"/>
      </w:rPr>
    </w:lvl>
    <w:lvl w:ilvl="2">
      <w:start w:val="1"/>
      <w:numFmt w:val="bullet"/>
      <w:lvlText w:val=""/>
      <w:lvlJc w:val="left"/>
      <w:pPr>
        <w:tabs>
          <w:tab w:val="num" w:pos="-512"/>
        </w:tabs>
        <w:ind w:left="2368" w:hanging="360"/>
      </w:pPr>
      <w:rPr>
        <w:rFonts w:ascii="Wingdings" w:hAnsi="Wingdings" w:cs="Wingdings" w:hint="default"/>
      </w:rPr>
    </w:lvl>
    <w:lvl w:ilvl="3">
      <w:start w:val="1"/>
      <w:numFmt w:val="bullet"/>
      <w:lvlText w:val=""/>
      <w:lvlJc w:val="left"/>
      <w:pPr>
        <w:tabs>
          <w:tab w:val="num" w:pos="-512"/>
        </w:tabs>
        <w:ind w:left="3088" w:hanging="360"/>
      </w:pPr>
      <w:rPr>
        <w:rFonts w:ascii="Symbol" w:hAnsi="Symbol" w:cs="Symbol" w:hint="default"/>
      </w:rPr>
    </w:lvl>
    <w:lvl w:ilvl="4">
      <w:start w:val="1"/>
      <w:numFmt w:val="bullet"/>
      <w:lvlText w:val="o"/>
      <w:lvlJc w:val="left"/>
      <w:pPr>
        <w:tabs>
          <w:tab w:val="num" w:pos="-512"/>
        </w:tabs>
        <w:ind w:left="3808" w:hanging="360"/>
      </w:pPr>
      <w:rPr>
        <w:rFonts w:ascii="Courier New" w:hAnsi="Courier New" w:cs="Courier New" w:hint="default"/>
      </w:rPr>
    </w:lvl>
    <w:lvl w:ilvl="5">
      <w:start w:val="1"/>
      <w:numFmt w:val="bullet"/>
      <w:lvlText w:val=""/>
      <w:lvlJc w:val="left"/>
      <w:pPr>
        <w:tabs>
          <w:tab w:val="num" w:pos="-512"/>
        </w:tabs>
        <w:ind w:left="4528" w:hanging="360"/>
      </w:pPr>
      <w:rPr>
        <w:rFonts w:ascii="Wingdings" w:hAnsi="Wingdings" w:cs="Wingdings" w:hint="default"/>
      </w:rPr>
    </w:lvl>
    <w:lvl w:ilvl="6">
      <w:start w:val="1"/>
      <w:numFmt w:val="bullet"/>
      <w:lvlText w:val=""/>
      <w:lvlJc w:val="left"/>
      <w:pPr>
        <w:tabs>
          <w:tab w:val="num" w:pos="-512"/>
        </w:tabs>
        <w:ind w:left="5248" w:hanging="360"/>
      </w:pPr>
      <w:rPr>
        <w:rFonts w:ascii="Symbol" w:hAnsi="Symbol" w:cs="Symbol" w:hint="default"/>
      </w:rPr>
    </w:lvl>
    <w:lvl w:ilvl="7">
      <w:start w:val="1"/>
      <w:numFmt w:val="bullet"/>
      <w:lvlText w:val="o"/>
      <w:lvlJc w:val="left"/>
      <w:pPr>
        <w:tabs>
          <w:tab w:val="num" w:pos="-512"/>
        </w:tabs>
        <w:ind w:left="5968" w:hanging="360"/>
      </w:pPr>
      <w:rPr>
        <w:rFonts w:ascii="Courier New" w:hAnsi="Courier New" w:cs="Courier New" w:hint="default"/>
      </w:rPr>
    </w:lvl>
    <w:lvl w:ilvl="8">
      <w:start w:val="1"/>
      <w:numFmt w:val="bullet"/>
      <w:lvlText w:val=""/>
      <w:lvlJc w:val="left"/>
      <w:pPr>
        <w:tabs>
          <w:tab w:val="num" w:pos="-512"/>
        </w:tabs>
        <w:ind w:left="6688" w:hanging="360"/>
      </w:pPr>
      <w:rPr>
        <w:rFonts w:ascii="Wingdings" w:hAnsi="Wingdings" w:cs="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DC"/>
    <w:rsid w:val="000154B7"/>
    <w:rsid w:val="00061D7A"/>
    <w:rsid w:val="00144103"/>
    <w:rsid w:val="00160F54"/>
    <w:rsid w:val="00191F58"/>
    <w:rsid w:val="00254C66"/>
    <w:rsid w:val="00281164"/>
    <w:rsid w:val="00282812"/>
    <w:rsid w:val="00356F5B"/>
    <w:rsid w:val="003E5D32"/>
    <w:rsid w:val="0040293F"/>
    <w:rsid w:val="00476D22"/>
    <w:rsid w:val="00486D16"/>
    <w:rsid w:val="004F19DC"/>
    <w:rsid w:val="00571491"/>
    <w:rsid w:val="00631C20"/>
    <w:rsid w:val="007324E3"/>
    <w:rsid w:val="00755C2B"/>
    <w:rsid w:val="008C034C"/>
    <w:rsid w:val="008F3C82"/>
    <w:rsid w:val="00B153DC"/>
    <w:rsid w:val="00B23498"/>
    <w:rsid w:val="00BC4DA8"/>
    <w:rsid w:val="00BF28E2"/>
    <w:rsid w:val="00C3726E"/>
    <w:rsid w:val="00CF24E5"/>
    <w:rsid w:val="00DA552D"/>
    <w:rsid w:val="00DC2578"/>
    <w:rsid w:val="00DE4056"/>
    <w:rsid w:val="00E37881"/>
    <w:rsid w:val="00E76A4D"/>
    <w:rsid w:val="00EB72CA"/>
    <w:rsid w:val="00FF242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E9FE"/>
  <w15:docId w15:val="{44794D15-5E4B-5D42-9DCC-96D92A7C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3206B1"/>
  </w:style>
  <w:style w:type="character" w:customStyle="1" w:styleId="a3">
    <w:name w:val="Текст выноски Знак"/>
    <w:basedOn w:val="a0"/>
    <w:uiPriority w:val="99"/>
    <w:semiHidden/>
    <w:qFormat/>
    <w:rsid w:val="002A4732"/>
    <w:rPr>
      <w:rFonts w:ascii="Tahoma" w:hAnsi="Tahoma" w:cs="Tahoma"/>
      <w:sz w:val="16"/>
      <w:szCs w:val="16"/>
    </w:rPr>
  </w:style>
  <w:style w:type="character" w:customStyle="1" w:styleId="a4">
    <w:name w:val="Абзац списка Знак"/>
    <w:uiPriority w:val="34"/>
    <w:qFormat/>
    <w:locked/>
    <w:rsid w:val="00DB7F51"/>
  </w:style>
  <w:style w:type="character" w:styleId="a5">
    <w:name w:val="annotation reference"/>
    <w:basedOn w:val="a0"/>
    <w:uiPriority w:val="99"/>
    <w:semiHidden/>
    <w:unhideWhenUsed/>
    <w:qFormat/>
    <w:rsid w:val="00631A94"/>
    <w:rPr>
      <w:sz w:val="16"/>
      <w:szCs w:val="16"/>
    </w:rPr>
  </w:style>
  <w:style w:type="character" w:customStyle="1" w:styleId="a6">
    <w:name w:val="Текст примечания Знак"/>
    <w:basedOn w:val="a0"/>
    <w:uiPriority w:val="99"/>
    <w:semiHidden/>
    <w:qFormat/>
    <w:rsid w:val="00631A94"/>
    <w:rPr>
      <w:sz w:val="20"/>
      <w:szCs w:val="20"/>
    </w:rPr>
  </w:style>
  <w:style w:type="character" w:customStyle="1" w:styleId="a7">
    <w:name w:val="Тема примечания Знак"/>
    <w:basedOn w:val="a6"/>
    <w:uiPriority w:val="99"/>
    <w:semiHidden/>
    <w:qFormat/>
    <w:rsid w:val="00631A94"/>
    <w:rPr>
      <w:b/>
      <w:bCs/>
      <w:sz w:val="20"/>
      <w:szCs w:val="20"/>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Normal (Web)"/>
    <w:basedOn w:val="a"/>
    <w:uiPriority w:val="99"/>
    <w:unhideWhenUsed/>
    <w:qFormat/>
    <w:rsid w:val="003206B1"/>
    <w:pPr>
      <w:spacing w:beforeAutospacing="1" w:afterAutospacing="1"/>
    </w:pPr>
    <w:rPr>
      <w:rFonts w:ascii="Times New Roman" w:eastAsia="Times New Roman" w:hAnsi="Times New Roman" w:cs="Times New Roman"/>
      <w:kern w:val="0"/>
      <w:lang w:eastAsia="en-GB"/>
      <w14:ligatures w14:val="none"/>
    </w:rPr>
  </w:style>
  <w:style w:type="paragraph" w:styleId="ae">
    <w:name w:val="List Paragraph"/>
    <w:basedOn w:val="a"/>
    <w:uiPriority w:val="34"/>
    <w:qFormat/>
    <w:rsid w:val="00530A32"/>
    <w:pPr>
      <w:ind w:left="720"/>
      <w:contextualSpacing/>
    </w:pPr>
  </w:style>
  <w:style w:type="paragraph" w:styleId="af">
    <w:name w:val="Balloon Text"/>
    <w:basedOn w:val="a"/>
    <w:uiPriority w:val="99"/>
    <w:semiHidden/>
    <w:unhideWhenUsed/>
    <w:qFormat/>
    <w:rsid w:val="002A4732"/>
    <w:rPr>
      <w:rFonts w:ascii="Tahoma" w:hAnsi="Tahoma" w:cs="Tahoma"/>
      <w:sz w:val="16"/>
      <w:szCs w:val="16"/>
    </w:rPr>
  </w:style>
  <w:style w:type="paragraph" w:customStyle="1" w:styleId="tj">
    <w:name w:val="tj"/>
    <w:basedOn w:val="a"/>
    <w:qFormat/>
    <w:rsid w:val="00F94A96"/>
    <w:pPr>
      <w:spacing w:beforeAutospacing="1" w:afterAutospacing="1"/>
    </w:pPr>
    <w:rPr>
      <w:rFonts w:ascii="Times New Roman" w:eastAsia="Times New Roman" w:hAnsi="Times New Roman" w:cs="Times New Roman"/>
      <w:kern w:val="0"/>
      <w14:ligatures w14:val="none"/>
    </w:rPr>
  </w:style>
  <w:style w:type="paragraph" w:styleId="af0">
    <w:name w:val="annotation text"/>
    <w:basedOn w:val="a"/>
    <w:uiPriority w:val="99"/>
    <w:semiHidden/>
    <w:unhideWhenUsed/>
    <w:qFormat/>
    <w:rsid w:val="00631A94"/>
    <w:rPr>
      <w:sz w:val="20"/>
      <w:szCs w:val="20"/>
    </w:rPr>
  </w:style>
  <w:style w:type="paragraph" w:styleId="af1">
    <w:name w:val="annotation subject"/>
    <w:basedOn w:val="af0"/>
    <w:next w:val="af0"/>
    <w:uiPriority w:val="99"/>
    <w:semiHidden/>
    <w:unhideWhenUsed/>
    <w:qFormat/>
    <w:rsid w:val="00631A94"/>
    <w:rPr>
      <w:b/>
      <w:bCs/>
    </w:rPr>
  </w:style>
  <w:style w:type="paragraph" w:customStyle="1" w:styleId="af2">
    <w:name w:val="Содержимое врезки"/>
    <w:basedOn w:val="a"/>
    <w:qFormat/>
  </w:style>
  <w:style w:type="table" w:styleId="af3">
    <w:name w:val="Table Grid"/>
    <w:basedOn w:val="a1"/>
    <w:uiPriority w:val="39"/>
    <w:rsid w:val="0032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755C2B"/>
  </w:style>
  <w:style w:type="paragraph" w:styleId="af4">
    <w:name w:val="header"/>
    <w:basedOn w:val="a"/>
    <w:link w:val="af5"/>
    <w:uiPriority w:val="99"/>
    <w:unhideWhenUsed/>
    <w:rsid w:val="00191F58"/>
    <w:pPr>
      <w:tabs>
        <w:tab w:val="center" w:pos="4819"/>
        <w:tab w:val="right" w:pos="9639"/>
      </w:tabs>
    </w:pPr>
  </w:style>
  <w:style w:type="character" w:customStyle="1" w:styleId="af5">
    <w:name w:val="Верхній колонтитул Знак"/>
    <w:basedOn w:val="a0"/>
    <w:link w:val="af4"/>
    <w:uiPriority w:val="99"/>
    <w:rsid w:val="00191F58"/>
  </w:style>
  <w:style w:type="paragraph" w:styleId="af6">
    <w:name w:val="footer"/>
    <w:basedOn w:val="a"/>
    <w:link w:val="af7"/>
    <w:uiPriority w:val="99"/>
    <w:unhideWhenUsed/>
    <w:rsid w:val="00191F58"/>
    <w:pPr>
      <w:tabs>
        <w:tab w:val="center" w:pos="4819"/>
        <w:tab w:val="right" w:pos="9639"/>
      </w:tabs>
    </w:pPr>
  </w:style>
  <w:style w:type="character" w:customStyle="1" w:styleId="af7">
    <w:name w:val="Нижній колонтитул Знак"/>
    <w:basedOn w:val="a0"/>
    <w:link w:val="af6"/>
    <w:uiPriority w:val="99"/>
    <w:rsid w:val="00191F58"/>
  </w:style>
  <w:style w:type="paragraph" w:customStyle="1" w:styleId="western">
    <w:name w:val="western"/>
    <w:basedOn w:val="a"/>
    <w:rsid w:val="00160F54"/>
    <w:pPr>
      <w:suppressAutoHyphens w:val="0"/>
      <w:spacing w:before="100" w:beforeAutospacing="1" w:after="100" w:afterAutospacing="1"/>
    </w:pPr>
    <w:rPr>
      <w:rFonts w:ascii="Times New Roman" w:eastAsia="Times New Roman" w:hAnsi="Times New Roman" w:cs="Times New Roman"/>
      <w:kern w:val="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uk-UA"/>
  <c:roundedCorners val="0"/>
  <c:style val="2"/>
  <c:chart>
    <c:autoTitleDeleted val="1"/>
    <c:plotArea>
      <c:layout>
        <c:manualLayout>
          <c:layoutTarget val="inner"/>
          <c:xMode val="edge"/>
          <c:yMode val="edge"/>
          <c:x val="6.3375000000000001E-2"/>
          <c:y val="0.13"/>
          <c:w val="0.89524999999999999"/>
          <c:h val="0.65800000000000003"/>
        </c:manualLayout>
      </c:layout>
      <c:lineChart>
        <c:grouping val="stacked"/>
        <c:varyColors val="0"/>
        <c:ser>
          <c:idx val="0"/>
          <c:order val="0"/>
          <c:tx>
            <c:strRef>
              <c:f>label 0</c:f>
              <c:strCache>
                <c:ptCount val="1"/>
                <c:pt idx="0">
                  <c:v>Серия1</c:v>
                </c:pt>
              </c:strCache>
            </c:strRef>
          </c:tx>
          <c:spPr>
            <a:ln w="34920" cap="rnd">
              <a:solidFill>
                <a:srgbClr val="4472C4"/>
              </a:solidFill>
              <a:round/>
            </a:ln>
          </c:spPr>
          <c:marker>
            <c:symbol val="none"/>
          </c:marker>
          <c:dPt>
            <c:idx val="0"/>
            <c:bubble3D val="0"/>
            <c:extLst>
              <c:ext xmlns:c16="http://schemas.microsoft.com/office/drawing/2014/chart" uri="{C3380CC4-5D6E-409C-BE32-E72D297353CC}">
                <c16:uniqueId val="{00000000-7A17-D24E-B464-F03473AFFFB4}"/>
              </c:ext>
            </c:extLst>
          </c:dPt>
          <c:dPt>
            <c:idx val="1"/>
            <c:bubble3D val="0"/>
            <c:extLst>
              <c:ext xmlns:c16="http://schemas.microsoft.com/office/drawing/2014/chart" uri="{C3380CC4-5D6E-409C-BE32-E72D297353CC}">
                <c16:uniqueId val="{00000001-7A17-D24E-B464-F03473AFFFB4}"/>
              </c:ext>
            </c:extLst>
          </c:dPt>
          <c:dPt>
            <c:idx val="2"/>
            <c:bubble3D val="0"/>
            <c:extLst>
              <c:ext xmlns:c16="http://schemas.microsoft.com/office/drawing/2014/chart" uri="{C3380CC4-5D6E-409C-BE32-E72D297353CC}">
                <c16:uniqueId val="{00000002-7A17-D24E-B464-F03473AFFFB4}"/>
              </c:ext>
            </c:extLst>
          </c:dPt>
          <c:dPt>
            <c:idx val="3"/>
            <c:bubble3D val="0"/>
            <c:extLst>
              <c:ext xmlns:c16="http://schemas.microsoft.com/office/drawing/2014/chart" uri="{C3380CC4-5D6E-409C-BE32-E72D297353CC}">
                <c16:uniqueId val="{00000003-7A17-D24E-B464-F03473AFFFB4}"/>
              </c:ext>
            </c:extLst>
          </c:dPt>
          <c:dLbls>
            <c:dLbl>
              <c:idx val="0"/>
              <c:layout>
                <c:manualLayout>
                  <c:x val="-6.6795255244257307E-2"/>
                  <c:y val="0.1"/>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0-7A17-D24E-B464-F03473AFFFB4}"/>
                </c:ext>
              </c:extLst>
            </c:dLbl>
            <c:dLbl>
              <c:idx val="1"/>
              <c:layout>
                <c:manualLayout>
                  <c:x val="-5.3571791898105799E-2"/>
                  <c:y val="9.9999999999999895E-2"/>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1-7A17-D24E-B464-F03473AFFFB4}"/>
                </c:ext>
              </c:extLst>
            </c:dLbl>
            <c:dLbl>
              <c:idx val="2"/>
              <c:layout>
                <c:manualLayout>
                  <c:x val="-5.2516411378555797E-2"/>
                  <c:y val="0.12"/>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2-7A17-D24E-B464-F03473AFFFB4}"/>
                </c:ext>
              </c:extLst>
            </c:dLbl>
            <c:dLbl>
              <c:idx val="3"/>
              <c:layout>
                <c:manualLayout>
                  <c:x val="-2.9175784099197799E-2"/>
                  <c:y val="0.1"/>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3-7A17-D24E-B464-F03473AFFFB4}"/>
                </c:ext>
              </c:extLst>
            </c:dLbl>
            <c:numFmt formatCode="General" sourceLinked="0"/>
            <c:spPr>
              <a:noFill/>
              <a:ln>
                <a:noFill/>
              </a:ln>
              <a:effectLst/>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2019</c:v>
                </c:pt>
                <c:pt idx="1">
                  <c:v>2020</c:v>
                </c:pt>
                <c:pt idx="2">
                  <c:v>2021</c:v>
                </c:pt>
                <c:pt idx="3">
                  <c:v>2022</c:v>
                </c:pt>
              </c:strCache>
            </c:strRef>
          </c:cat>
          <c:val>
            <c:numRef>
              <c:f>0</c:f>
              <c:numCache>
                <c:formatCode>General</c:formatCode>
                <c:ptCount val="4"/>
                <c:pt idx="0">
                  <c:v>3.03</c:v>
                </c:pt>
                <c:pt idx="1">
                  <c:v>1.47</c:v>
                </c:pt>
                <c:pt idx="2">
                  <c:v>2.29</c:v>
                </c:pt>
                <c:pt idx="3">
                  <c:v>1.81</c:v>
                </c:pt>
              </c:numCache>
            </c:numRef>
          </c:val>
          <c:smooth val="0"/>
          <c:extLst>
            <c:ext xmlns:c16="http://schemas.microsoft.com/office/drawing/2014/chart" uri="{C3380CC4-5D6E-409C-BE32-E72D297353CC}">
              <c16:uniqueId val="{00000004-7A17-D24E-B464-F03473AFFFB4}"/>
            </c:ext>
          </c:extLst>
        </c:ser>
        <c:dLbls>
          <c:showLegendKey val="0"/>
          <c:showVal val="0"/>
          <c:showCatName val="0"/>
          <c:showSerName val="0"/>
          <c:showPercent val="0"/>
          <c:showBubbleSize val="0"/>
        </c:dLbls>
        <c:hiLowLines>
          <c:spPr>
            <a:ln w="0">
              <a:noFill/>
            </a:ln>
          </c:spPr>
        </c:hiLowLines>
        <c:smooth val="0"/>
        <c:axId val="593988968"/>
        <c:axId val="593989360"/>
      </c:lineChart>
      <c:catAx>
        <c:axId val="593988968"/>
        <c:scaling>
          <c:orientation val="minMax"/>
        </c:scaling>
        <c:delete val="0"/>
        <c:axPos val="b"/>
        <c:numFmt formatCode="General" sourceLinked="0"/>
        <c:majorTickMark val="none"/>
        <c:minorTickMark val="none"/>
        <c:tickLblPos val="nextTo"/>
        <c:spPr>
          <a:ln w="9360">
            <a:solidFill>
              <a:srgbClr val="808080"/>
            </a:solidFill>
            <a:round/>
          </a:ln>
        </c:spPr>
        <c:txPr>
          <a:bodyPr/>
          <a:lstStyle/>
          <a:p>
            <a:pPr>
              <a:defRPr sz="900" b="0" strike="noStrike" spc="-1">
                <a:solidFill>
                  <a:srgbClr val="BFBFBF"/>
                </a:solidFill>
                <a:latin typeface="Calibri"/>
              </a:defRPr>
            </a:pPr>
            <a:endParaRPr lang="uk-UA"/>
          </a:p>
        </c:txPr>
        <c:crossAx val="593989360"/>
        <c:crosses val="autoZero"/>
        <c:auto val="1"/>
        <c:lblAlgn val="ctr"/>
        <c:lblOffset val="100"/>
        <c:noMultiLvlLbl val="0"/>
      </c:catAx>
      <c:valAx>
        <c:axId val="593989360"/>
        <c:scaling>
          <c:orientation val="minMax"/>
        </c:scaling>
        <c:delete val="0"/>
        <c:axPos val="l"/>
        <c:majorGridlines>
          <c:spPr>
            <a:ln w="9360">
              <a:solidFill>
                <a:srgbClr val="F2F2F2">
                  <a:alpha val="10000"/>
                </a:srgbClr>
              </a:solidFill>
              <a:round/>
            </a:ln>
          </c:spPr>
        </c:majorGridlines>
        <c:numFmt formatCode="General" sourceLinked="0"/>
        <c:majorTickMark val="none"/>
        <c:minorTickMark val="none"/>
        <c:tickLblPos val="nextTo"/>
        <c:spPr>
          <a:ln w="9360">
            <a:solidFill>
              <a:srgbClr val="808080"/>
            </a:solidFill>
            <a:round/>
          </a:ln>
        </c:spPr>
        <c:txPr>
          <a:bodyPr/>
          <a:lstStyle/>
          <a:p>
            <a:pPr>
              <a:defRPr sz="900" b="0" strike="noStrike" spc="-1">
                <a:solidFill>
                  <a:srgbClr val="BFBFBF"/>
                </a:solidFill>
                <a:latin typeface="Calibri"/>
              </a:defRPr>
            </a:pPr>
            <a:endParaRPr lang="uk-UA"/>
          </a:p>
        </c:txPr>
        <c:crossAx val="593988968"/>
        <c:crosses val="autoZero"/>
        <c:crossBetween val="between"/>
      </c:valAx>
      <c:spPr>
        <a:noFill/>
        <a:ln w="0">
          <a:noFill/>
        </a:ln>
      </c:spPr>
    </c:plotArea>
    <c:plotVisOnly val="1"/>
    <c:dispBlanksAs val="gap"/>
    <c:showDLblsOverMax val="1"/>
  </c:chart>
  <c:spPr>
    <a:gradFill>
      <a:gsLst>
        <a:gs pos="0">
          <a:srgbClr val="595959"/>
        </a:gs>
        <a:gs pos="100000">
          <a:srgbClr val="262626"/>
        </a:gs>
      </a:gsLst>
      <a:path path="circle">
        <a:fillToRect l="50000" t="50000" r="50000" b="50000"/>
      </a:path>
    </a:gra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uk-UA"/>
  <c:roundedCorners val="0"/>
  <c:style val="2"/>
  <c:chart>
    <c:autoTitleDeleted val="1"/>
    <c:plotArea>
      <c:layout>
        <c:manualLayout>
          <c:layoutTarget val="inner"/>
          <c:xMode val="edge"/>
          <c:yMode val="edge"/>
          <c:x val="0.1330625"/>
          <c:y val="0.146111111111111"/>
          <c:w val="0.81243750000000003"/>
          <c:h val="0.68766666666666698"/>
        </c:manualLayout>
      </c:layout>
      <c:lineChart>
        <c:grouping val="standard"/>
        <c:varyColors val="0"/>
        <c:ser>
          <c:idx val="0"/>
          <c:order val="0"/>
          <c:tx>
            <c:strRef>
              <c:f>label 0</c:f>
              <c:strCache>
                <c:ptCount val="1"/>
                <c:pt idx="0">
                  <c:v>Серия1</c:v>
                </c:pt>
              </c:strCache>
            </c:strRef>
          </c:tx>
          <c:spPr>
            <a:ln w="34920" cap="rnd">
              <a:solidFill>
                <a:srgbClr val="7030A0"/>
              </a:solidFill>
              <a:round/>
            </a:ln>
          </c:spPr>
          <c:marker>
            <c:symbol val="none"/>
          </c:marker>
          <c:dPt>
            <c:idx val="0"/>
            <c:bubble3D val="0"/>
            <c:extLst>
              <c:ext xmlns:c16="http://schemas.microsoft.com/office/drawing/2014/chart" uri="{C3380CC4-5D6E-409C-BE32-E72D297353CC}">
                <c16:uniqueId val="{00000000-63C7-E342-8CA5-0BD88C923211}"/>
              </c:ext>
            </c:extLst>
          </c:dPt>
          <c:dPt>
            <c:idx val="1"/>
            <c:bubble3D val="0"/>
            <c:extLst>
              <c:ext xmlns:c16="http://schemas.microsoft.com/office/drawing/2014/chart" uri="{C3380CC4-5D6E-409C-BE32-E72D297353CC}">
                <c16:uniqueId val="{00000001-63C7-E342-8CA5-0BD88C923211}"/>
              </c:ext>
            </c:extLst>
          </c:dPt>
          <c:dPt>
            <c:idx val="2"/>
            <c:bubble3D val="0"/>
            <c:extLst>
              <c:ext xmlns:c16="http://schemas.microsoft.com/office/drawing/2014/chart" uri="{C3380CC4-5D6E-409C-BE32-E72D297353CC}">
                <c16:uniqueId val="{00000002-63C7-E342-8CA5-0BD88C923211}"/>
              </c:ext>
            </c:extLst>
          </c:dPt>
          <c:dLbls>
            <c:dLbl>
              <c:idx val="0"/>
              <c:layout>
                <c:manualLayout>
                  <c:x val="-5.6818181818181802E-2"/>
                  <c:y val="0.164383561643836"/>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0-63C7-E342-8CA5-0BD88C923211}"/>
                </c:ext>
              </c:extLst>
            </c:dLbl>
            <c:dLbl>
              <c:idx val="1"/>
              <c:layout>
                <c:manualLayout>
                  <c:x val="-6.7471590909090801E-2"/>
                  <c:y val="0.13698630136986301"/>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1-63C7-E342-8CA5-0BD88C923211}"/>
                </c:ext>
              </c:extLst>
            </c:dLbl>
            <c:dLbl>
              <c:idx val="2"/>
              <c:layout>
                <c:manualLayout>
                  <c:x val="-6.7471590909090898E-2"/>
                  <c:y val="0.14611884040810699"/>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2-63C7-E342-8CA5-0BD88C923211}"/>
                </c:ext>
              </c:extLst>
            </c:dLbl>
            <c:numFmt formatCode="General" sourceLinked="0"/>
            <c:spPr>
              <a:noFill/>
              <a:ln>
                <a:noFill/>
              </a:ln>
              <a:effectLst/>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0"/>
              </c:ext>
            </c:extLst>
          </c:dLbls>
          <c:cat>
            <c:strRef>
              <c:f>categories</c:f>
              <c:strCache>
                <c:ptCount val="4"/>
                <c:pt idx="0">
                  <c:v>2019</c:v>
                </c:pt>
                <c:pt idx="1">
                  <c:v>2020</c:v>
                </c:pt>
                <c:pt idx="2">
                  <c:v>2021</c:v>
                </c:pt>
                <c:pt idx="3">
                  <c:v>2022</c:v>
                </c:pt>
              </c:strCache>
            </c:strRef>
          </c:cat>
          <c:val>
            <c:numRef>
              <c:f>0</c:f>
              <c:numCache>
                <c:formatCode>General</c:formatCode>
                <c:ptCount val="4"/>
                <c:pt idx="0">
                  <c:v>140.24</c:v>
                </c:pt>
                <c:pt idx="1">
                  <c:v>229.86</c:v>
                </c:pt>
                <c:pt idx="2">
                  <c:v>229.52</c:v>
                </c:pt>
                <c:pt idx="3">
                  <c:v>26.96</c:v>
                </c:pt>
              </c:numCache>
            </c:numRef>
          </c:val>
          <c:smooth val="0"/>
          <c:extLst>
            <c:ext xmlns:c16="http://schemas.microsoft.com/office/drawing/2014/chart" uri="{C3380CC4-5D6E-409C-BE32-E72D297353CC}">
              <c16:uniqueId val="{00000003-63C7-E342-8CA5-0BD88C923211}"/>
            </c:ext>
          </c:extLst>
        </c:ser>
        <c:dLbls>
          <c:showLegendKey val="0"/>
          <c:showVal val="0"/>
          <c:showCatName val="0"/>
          <c:showSerName val="0"/>
          <c:showPercent val="0"/>
          <c:showBubbleSize val="0"/>
        </c:dLbls>
        <c:hiLowLines>
          <c:spPr>
            <a:ln w="0">
              <a:noFill/>
            </a:ln>
          </c:spPr>
        </c:hiLowLines>
        <c:smooth val="0"/>
        <c:axId val="593990144"/>
        <c:axId val="593990536"/>
      </c:lineChart>
      <c:catAx>
        <c:axId val="593990144"/>
        <c:scaling>
          <c:orientation val="minMax"/>
        </c:scaling>
        <c:delete val="0"/>
        <c:axPos val="b"/>
        <c:numFmt formatCode="General" sourceLinked="0"/>
        <c:majorTickMark val="none"/>
        <c:minorTickMark val="none"/>
        <c:tickLblPos val="nextTo"/>
        <c:spPr>
          <a:ln w="6480">
            <a:noFill/>
          </a:ln>
        </c:spPr>
        <c:txPr>
          <a:bodyPr/>
          <a:lstStyle/>
          <a:p>
            <a:pPr>
              <a:defRPr sz="900" b="0" strike="noStrike" spc="-1">
                <a:solidFill>
                  <a:srgbClr val="BFBFBF"/>
                </a:solidFill>
                <a:latin typeface="Calibri"/>
              </a:defRPr>
            </a:pPr>
            <a:endParaRPr lang="uk-UA"/>
          </a:p>
        </c:txPr>
        <c:crossAx val="593990536"/>
        <c:crosses val="autoZero"/>
        <c:auto val="1"/>
        <c:lblAlgn val="ctr"/>
        <c:lblOffset val="100"/>
        <c:noMultiLvlLbl val="0"/>
      </c:catAx>
      <c:valAx>
        <c:axId val="593990536"/>
        <c:scaling>
          <c:orientation val="minMax"/>
        </c:scaling>
        <c:delete val="0"/>
        <c:axPos val="l"/>
        <c:majorGridlines>
          <c:spPr>
            <a:ln w="9360">
              <a:solidFill>
                <a:srgbClr val="59595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BFBFBF"/>
                </a:solidFill>
                <a:latin typeface="Calibri"/>
              </a:defRPr>
            </a:pPr>
            <a:endParaRPr lang="uk-UA"/>
          </a:p>
        </c:txPr>
        <c:crossAx val="593990144"/>
        <c:crosses val="autoZero"/>
        <c:crossBetween val="between"/>
      </c:valAx>
      <c:spPr>
        <a:noFill/>
        <a:ln w="0">
          <a:noFill/>
        </a:ln>
      </c:spPr>
    </c:plotArea>
    <c:plotVisOnly val="1"/>
    <c:dispBlanksAs val="gap"/>
    <c:showDLblsOverMax val="1"/>
  </c:chart>
  <c:spPr>
    <a:solidFill>
      <a:srgbClr val="404040"/>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uk-UA"/>
  <c:roundedCorners val="0"/>
  <c:style val="2"/>
  <c:chart>
    <c:autoTitleDeleted val="1"/>
    <c:plotArea>
      <c:layout>
        <c:manualLayout>
          <c:layoutTarget val="inner"/>
          <c:xMode val="edge"/>
          <c:yMode val="edge"/>
          <c:x val="6.8500000000000005E-2"/>
          <c:y val="0.109222222222222"/>
          <c:w val="0.89268749999999997"/>
          <c:h val="0.66033333333333299"/>
        </c:manualLayout>
      </c:layout>
      <c:lineChart>
        <c:grouping val="standard"/>
        <c:varyColors val="0"/>
        <c:ser>
          <c:idx val="0"/>
          <c:order val="0"/>
          <c:tx>
            <c:strRef>
              <c:f>label 0</c:f>
              <c:strCache>
                <c:ptCount val="1"/>
                <c:pt idx="0">
                  <c:v>Дохід від участі в капіталі</c:v>
                </c:pt>
              </c:strCache>
            </c:strRef>
          </c:tx>
          <c:spPr>
            <a:ln w="34920" cap="rnd">
              <a:solidFill>
                <a:srgbClr val="4472C4"/>
              </a:solidFill>
              <a:round/>
            </a:ln>
          </c:spPr>
          <c:marker>
            <c:symbol val="none"/>
          </c:marker>
          <c:dPt>
            <c:idx val="0"/>
            <c:bubble3D val="0"/>
            <c:extLst>
              <c:ext xmlns:c16="http://schemas.microsoft.com/office/drawing/2014/chart" uri="{C3380CC4-5D6E-409C-BE32-E72D297353CC}">
                <c16:uniqueId val="{00000000-05F3-F84F-831F-47199DCE513F}"/>
              </c:ext>
            </c:extLst>
          </c:dPt>
          <c:dPt>
            <c:idx val="1"/>
            <c:bubble3D val="0"/>
            <c:extLst>
              <c:ext xmlns:c16="http://schemas.microsoft.com/office/drawing/2014/chart" uri="{C3380CC4-5D6E-409C-BE32-E72D297353CC}">
                <c16:uniqueId val="{00000001-05F3-F84F-831F-47199DCE513F}"/>
              </c:ext>
            </c:extLst>
          </c:dPt>
          <c:dPt>
            <c:idx val="2"/>
            <c:bubble3D val="0"/>
            <c:extLst>
              <c:ext xmlns:c16="http://schemas.microsoft.com/office/drawing/2014/chart" uri="{C3380CC4-5D6E-409C-BE32-E72D297353CC}">
                <c16:uniqueId val="{00000002-05F3-F84F-831F-47199DCE513F}"/>
              </c:ext>
            </c:extLst>
          </c:dPt>
          <c:dPt>
            <c:idx val="3"/>
            <c:bubble3D val="0"/>
            <c:extLst>
              <c:ext xmlns:c16="http://schemas.microsoft.com/office/drawing/2014/chart" uri="{C3380CC4-5D6E-409C-BE32-E72D297353CC}">
                <c16:uniqueId val="{00000003-05F3-F84F-831F-47199DCE513F}"/>
              </c:ext>
            </c:extLst>
          </c:dPt>
          <c:dLbls>
            <c:dLbl>
              <c:idx val="0"/>
              <c:layout>
                <c:manualLayout>
                  <c:x val="-6.3514467184192E-2"/>
                  <c:y val="9.9304865938431006E-2"/>
                </c:manualLayout>
              </c:layout>
              <c:numFmt formatCode="General" sourceLinked="0"/>
              <c:spPr/>
              <c:txPr>
                <a:bodyPr wrap="square"/>
                <a:lstStyle/>
                <a:p>
                  <a:pPr>
                    <a:defRPr sz="900" b="0" strike="noStrike" spc="-1">
                      <a:solidFill>
                        <a:srgbClr val="00CC99"/>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0-05F3-F84F-831F-47199DCE513F}"/>
                </c:ext>
              </c:extLst>
            </c:dLbl>
            <c:dLbl>
              <c:idx val="1"/>
              <c:layout>
                <c:manualLayout>
                  <c:x val="-5.2928722653493299E-2"/>
                  <c:y val="-9.9304865938431006E-2"/>
                </c:manualLayout>
              </c:layout>
              <c:numFmt formatCode="General" sourceLinked="0"/>
              <c:spPr/>
              <c:txPr>
                <a:bodyPr wrap="square"/>
                <a:lstStyle/>
                <a:p>
                  <a:pPr>
                    <a:defRPr sz="900" b="0" strike="noStrike" spc="-1">
                      <a:solidFill>
                        <a:srgbClr val="00CC99"/>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1-05F3-F84F-831F-47199DCE513F}"/>
                </c:ext>
              </c:extLst>
            </c:dLbl>
            <c:dLbl>
              <c:idx val="2"/>
              <c:layout>
                <c:manualLayout>
                  <c:x val="-5.2928722653493403E-2"/>
                  <c:y val="-0.109235352532274"/>
                </c:manualLayout>
              </c:layout>
              <c:numFmt formatCode="General" sourceLinked="0"/>
              <c:spPr/>
              <c:txPr>
                <a:bodyPr wrap="square"/>
                <a:lstStyle/>
                <a:p>
                  <a:pPr>
                    <a:defRPr sz="900" b="0" strike="noStrike" spc="-1">
                      <a:solidFill>
                        <a:srgbClr val="00CC99"/>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2-05F3-F84F-831F-47199DCE513F}"/>
                </c:ext>
              </c:extLst>
            </c:dLbl>
            <c:dLbl>
              <c:idx val="3"/>
              <c:layout>
                <c:manualLayout>
                  <c:x val="3.52858151023289E-3"/>
                  <c:y val="-2.9791459781529299E-2"/>
                </c:manualLayout>
              </c:layout>
              <c:numFmt formatCode="General" sourceLinked="0"/>
              <c:spPr/>
              <c:txPr>
                <a:bodyPr wrap="square"/>
                <a:lstStyle/>
                <a:p>
                  <a:pPr>
                    <a:defRPr sz="900" b="0" strike="noStrike" spc="-1">
                      <a:solidFill>
                        <a:srgbClr val="00CC99"/>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3-05F3-F84F-831F-47199DCE513F}"/>
                </c:ext>
              </c:extLst>
            </c:dLbl>
            <c:numFmt formatCode="General" sourceLinked="0"/>
            <c:spPr>
              <a:noFill/>
              <a:ln>
                <a:noFill/>
              </a:ln>
              <a:effectLst/>
            </c:spPr>
            <c:txPr>
              <a:bodyPr wrap="square"/>
              <a:lstStyle/>
              <a:p>
                <a:pPr>
                  <a:defRPr sz="900" b="0" strike="noStrike" spc="-1">
                    <a:solidFill>
                      <a:srgbClr val="00CC99"/>
                    </a:solidFill>
                    <a:latin typeface="Calibri"/>
                  </a:defRPr>
                </a:pPr>
                <a:endParaRPr lang="uk-UA"/>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2019</c:v>
                </c:pt>
                <c:pt idx="1">
                  <c:v>2020</c:v>
                </c:pt>
                <c:pt idx="2">
                  <c:v>2021</c:v>
                </c:pt>
                <c:pt idx="3">
                  <c:v>2022</c:v>
                </c:pt>
              </c:strCache>
            </c:strRef>
          </c:cat>
          <c:val>
            <c:numRef>
              <c:f>0</c:f>
              <c:numCache>
                <c:formatCode>General</c:formatCode>
                <c:ptCount val="4"/>
                <c:pt idx="0">
                  <c:v>3.25</c:v>
                </c:pt>
                <c:pt idx="1">
                  <c:v>3.92</c:v>
                </c:pt>
                <c:pt idx="2">
                  <c:v>4.04</c:v>
                </c:pt>
                <c:pt idx="3">
                  <c:v>0.39</c:v>
                </c:pt>
              </c:numCache>
            </c:numRef>
          </c:val>
          <c:smooth val="0"/>
          <c:extLst>
            <c:ext xmlns:c16="http://schemas.microsoft.com/office/drawing/2014/chart" uri="{C3380CC4-5D6E-409C-BE32-E72D297353CC}">
              <c16:uniqueId val="{00000004-05F3-F84F-831F-47199DCE513F}"/>
            </c:ext>
          </c:extLst>
        </c:ser>
        <c:ser>
          <c:idx val="1"/>
          <c:order val="1"/>
          <c:tx>
            <c:strRef>
              <c:f>label 1</c:f>
              <c:strCache>
                <c:ptCount val="1"/>
                <c:pt idx="0">
                  <c:v>Інші фінансові доходи</c:v>
                </c:pt>
              </c:strCache>
            </c:strRef>
          </c:tx>
          <c:spPr>
            <a:ln w="34920" cap="rnd">
              <a:solidFill>
                <a:srgbClr val="ED7D31"/>
              </a:solidFill>
              <a:round/>
            </a:ln>
          </c:spPr>
          <c:marker>
            <c:symbol val="none"/>
          </c:marker>
          <c:dPt>
            <c:idx val="0"/>
            <c:bubble3D val="0"/>
            <c:extLst>
              <c:ext xmlns:c16="http://schemas.microsoft.com/office/drawing/2014/chart" uri="{C3380CC4-5D6E-409C-BE32-E72D297353CC}">
                <c16:uniqueId val="{00000005-05F3-F84F-831F-47199DCE513F}"/>
              </c:ext>
            </c:extLst>
          </c:dPt>
          <c:dPt>
            <c:idx val="1"/>
            <c:bubble3D val="0"/>
            <c:extLst>
              <c:ext xmlns:c16="http://schemas.microsoft.com/office/drawing/2014/chart" uri="{C3380CC4-5D6E-409C-BE32-E72D297353CC}">
                <c16:uniqueId val="{00000006-05F3-F84F-831F-47199DCE513F}"/>
              </c:ext>
            </c:extLst>
          </c:dPt>
          <c:dPt>
            <c:idx val="2"/>
            <c:bubble3D val="0"/>
            <c:extLst>
              <c:ext xmlns:c16="http://schemas.microsoft.com/office/drawing/2014/chart" uri="{C3380CC4-5D6E-409C-BE32-E72D297353CC}">
                <c16:uniqueId val="{00000007-05F3-F84F-831F-47199DCE513F}"/>
              </c:ext>
            </c:extLst>
          </c:dPt>
          <c:dPt>
            <c:idx val="3"/>
            <c:bubble3D val="0"/>
            <c:extLst>
              <c:ext xmlns:c16="http://schemas.microsoft.com/office/drawing/2014/chart" uri="{C3380CC4-5D6E-409C-BE32-E72D297353CC}">
                <c16:uniqueId val="{00000008-05F3-F84F-831F-47199DCE513F}"/>
              </c:ext>
            </c:extLst>
          </c:dPt>
          <c:dLbls>
            <c:dLbl>
              <c:idx val="0"/>
              <c:layout>
                <c:manualLayout>
                  <c:x val="-5.99858856739591E-2"/>
                  <c:y val="-0.109235352532274"/>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5-05F3-F84F-831F-47199DCE513F}"/>
                </c:ext>
              </c:extLst>
            </c:dLbl>
            <c:dLbl>
              <c:idx val="1"/>
              <c:layout>
                <c:manualLayout>
                  <c:x val="-6.0087352580307098E-2"/>
                  <c:y val="0.109235352532274"/>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6-05F3-F84F-831F-47199DCE513F}"/>
                </c:ext>
              </c:extLst>
            </c:dLbl>
            <c:dLbl>
              <c:idx val="2"/>
              <c:layout>
                <c:manualLayout>
                  <c:x val="-5.2928722653493403E-2"/>
                  <c:y val="0.109235352532274"/>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7-05F3-F84F-831F-47199DCE513F}"/>
                </c:ext>
              </c:extLst>
            </c:dLbl>
            <c:dLbl>
              <c:idx val="3"/>
              <c:layout>
                <c:manualLayout>
                  <c:x val="-4.2342978122794597E-2"/>
                  <c:y val="-0.148957298907646"/>
                </c:manualLayout>
              </c:layout>
              <c:numFmt formatCode="General" sourceLinked="0"/>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extLst>
                <c:ext xmlns:c15="http://schemas.microsoft.com/office/drawing/2012/chart" uri="{CE6537A1-D6FC-4f65-9D91-7224C49458BB}">
                  <c15:layout/>
                </c:ext>
                <c:ext xmlns:c16="http://schemas.microsoft.com/office/drawing/2014/chart" uri="{C3380CC4-5D6E-409C-BE32-E72D297353CC}">
                  <c16:uniqueId val="{00000008-05F3-F84F-831F-47199DCE513F}"/>
                </c:ext>
              </c:extLst>
            </c:dLbl>
            <c:numFmt formatCode="General" sourceLinked="0"/>
            <c:spPr>
              <a:noFill/>
              <a:ln>
                <a:noFill/>
              </a:ln>
              <a:effectLst/>
            </c:spPr>
            <c:txPr>
              <a:bodyPr wrap="square"/>
              <a:lstStyle/>
              <a:p>
                <a:pPr>
                  <a:defRPr sz="900" b="0" strike="noStrike" spc="-1">
                    <a:solidFill>
                      <a:srgbClr val="FFFF00"/>
                    </a:solidFill>
                    <a:latin typeface="Calibri"/>
                  </a:defRPr>
                </a:pPr>
                <a:endParaRPr lang="uk-UA"/>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4"/>
                <c:pt idx="0">
                  <c:v>2019</c:v>
                </c:pt>
                <c:pt idx="1">
                  <c:v>2020</c:v>
                </c:pt>
                <c:pt idx="2">
                  <c:v>2021</c:v>
                </c:pt>
                <c:pt idx="3">
                  <c:v>2022</c:v>
                </c:pt>
              </c:strCache>
            </c:strRef>
          </c:cat>
          <c:val>
            <c:numRef>
              <c:f>1</c:f>
              <c:numCache>
                <c:formatCode>General</c:formatCode>
                <c:ptCount val="4"/>
                <c:pt idx="0">
                  <c:v>5.74</c:v>
                </c:pt>
                <c:pt idx="1">
                  <c:v>2.21</c:v>
                </c:pt>
                <c:pt idx="2">
                  <c:v>2.83</c:v>
                </c:pt>
                <c:pt idx="3">
                  <c:v>1.52</c:v>
                </c:pt>
              </c:numCache>
            </c:numRef>
          </c:val>
          <c:smooth val="0"/>
          <c:extLst>
            <c:ext xmlns:c16="http://schemas.microsoft.com/office/drawing/2014/chart" uri="{C3380CC4-5D6E-409C-BE32-E72D297353CC}">
              <c16:uniqueId val="{00000009-05F3-F84F-831F-47199DCE513F}"/>
            </c:ext>
          </c:extLst>
        </c:ser>
        <c:dLbls>
          <c:showLegendKey val="0"/>
          <c:showVal val="0"/>
          <c:showCatName val="0"/>
          <c:showSerName val="0"/>
          <c:showPercent val="0"/>
          <c:showBubbleSize val="0"/>
        </c:dLbls>
        <c:hiLowLines>
          <c:spPr>
            <a:ln w="0">
              <a:noFill/>
            </a:ln>
          </c:spPr>
        </c:hiLowLines>
        <c:smooth val="0"/>
        <c:axId val="593988576"/>
        <c:axId val="593991320"/>
      </c:lineChart>
      <c:catAx>
        <c:axId val="593988576"/>
        <c:scaling>
          <c:orientation val="minMax"/>
        </c:scaling>
        <c:delete val="0"/>
        <c:axPos val="b"/>
        <c:numFmt formatCode="General" sourceLinked="0"/>
        <c:majorTickMark val="none"/>
        <c:minorTickMark val="none"/>
        <c:tickLblPos val="nextTo"/>
        <c:spPr>
          <a:ln w="6480">
            <a:noFill/>
          </a:ln>
        </c:spPr>
        <c:txPr>
          <a:bodyPr/>
          <a:lstStyle/>
          <a:p>
            <a:pPr>
              <a:defRPr sz="900" b="0" strike="noStrike" spc="-1">
                <a:solidFill>
                  <a:srgbClr val="BFBFBF"/>
                </a:solidFill>
                <a:latin typeface="Calibri"/>
              </a:defRPr>
            </a:pPr>
            <a:endParaRPr lang="uk-UA"/>
          </a:p>
        </c:txPr>
        <c:crossAx val="593991320"/>
        <c:crosses val="autoZero"/>
        <c:auto val="1"/>
        <c:lblAlgn val="ctr"/>
        <c:lblOffset val="100"/>
        <c:noMultiLvlLbl val="0"/>
      </c:catAx>
      <c:valAx>
        <c:axId val="593991320"/>
        <c:scaling>
          <c:orientation val="minMax"/>
        </c:scaling>
        <c:delete val="0"/>
        <c:axPos val="l"/>
        <c:majorGridlines>
          <c:spPr>
            <a:ln w="9360">
              <a:solidFill>
                <a:srgbClr val="59595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BFBFBF"/>
                </a:solidFill>
                <a:latin typeface="Calibri"/>
              </a:defRPr>
            </a:pPr>
            <a:endParaRPr lang="uk-UA"/>
          </a:p>
        </c:txPr>
        <c:crossAx val="593988576"/>
        <c:crosses val="autoZero"/>
        <c:crossBetween val="between"/>
      </c:valAx>
      <c:spPr>
        <a:noFill/>
        <a:ln w="0">
          <a:noFill/>
        </a:ln>
      </c:spPr>
    </c:plotArea>
    <c:plotVisOnly val="1"/>
    <c:dispBlanksAs val="gap"/>
    <c:showDLblsOverMax val="1"/>
  </c:chart>
  <c:spPr>
    <a:solidFill>
      <a:srgbClr val="404040"/>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C59A-CD9C-4A58-AD2E-00EEB772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16</Pages>
  <Words>21726</Words>
  <Characters>12384</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Oleksandra Motrych</dc:creator>
  <dc:description/>
  <cp:lastModifiedBy>Chumachenko Alla</cp:lastModifiedBy>
  <cp:revision>9</cp:revision>
  <cp:lastPrinted>2023-12-05T14:47:00Z</cp:lastPrinted>
  <dcterms:created xsi:type="dcterms:W3CDTF">2023-11-23T15:02:00Z</dcterms:created>
  <dcterms:modified xsi:type="dcterms:W3CDTF">2023-12-05T14:53:00Z</dcterms:modified>
  <dc:language>ru-RU</dc:language>
</cp:coreProperties>
</file>