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793907052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793907052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044E1F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044E1F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044E1F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044E1F">
        <w:rPr>
          <w:b/>
          <w:bCs/>
          <w:i w:val="0"/>
          <w:iCs w:val="0"/>
          <w:sz w:val="24"/>
          <w:szCs w:val="24"/>
        </w:rPr>
        <w:t>ПЗ</w:t>
      </w:r>
      <w:r w:rsidR="00B87AD3" w:rsidRPr="00044E1F">
        <w:rPr>
          <w:b/>
          <w:bCs/>
          <w:i w:val="0"/>
          <w:iCs w:val="0"/>
          <w:sz w:val="24"/>
          <w:szCs w:val="24"/>
        </w:rPr>
        <w:t>Н</w:t>
      </w:r>
      <w:r w:rsidR="00C55118" w:rsidRPr="00044E1F">
        <w:rPr>
          <w:b/>
          <w:bCs/>
          <w:i w:val="0"/>
          <w:sz w:val="24"/>
          <w:szCs w:val="24"/>
          <w:lang w:val="ru-RU"/>
        </w:rPr>
        <w:t>-51975</w:t>
      </w:r>
      <w:r w:rsidR="007B72F8" w:rsidRPr="00044E1F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044E1F">
        <w:rPr>
          <w:b/>
          <w:bCs/>
          <w:i w:val="0"/>
          <w:sz w:val="24"/>
          <w:szCs w:val="24"/>
          <w:lang w:val="ru-RU"/>
        </w:rPr>
        <w:t>12.02.2024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037DFFD2" w:rsidR="00343979" w:rsidRPr="00044E1F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CF62A2">
        <w:rPr>
          <w:b/>
          <w:i/>
          <w:sz w:val="24"/>
          <w:szCs w:val="24"/>
        </w:rPr>
        <w:t xml:space="preserve">поновлення </w:t>
      </w:r>
      <w:r w:rsidR="00044E1F" w:rsidRPr="00CF62A2">
        <w:rPr>
          <w:b/>
          <w:i/>
          <w:color w:val="auto"/>
          <w:sz w:val="24"/>
          <w:szCs w:val="24"/>
          <w:lang w:bidi="ar-SA"/>
        </w:rPr>
        <w:t xml:space="preserve">концертному закладу культури </w:t>
      </w:r>
      <w:r w:rsidR="000B1E6A" w:rsidRPr="00CF62A2">
        <w:rPr>
          <w:b/>
          <w:i/>
          <w:color w:val="auto"/>
          <w:sz w:val="24"/>
          <w:szCs w:val="24"/>
          <w:lang w:bidi="ar-SA"/>
        </w:rPr>
        <w:t>«МУНІЦИПАЛЬНИЙ АКАДЕМІЧНИЙ КАМЕРНИЙ ХОР «КИЇВ»</w:t>
      </w:r>
      <w:r w:rsidR="000B1E6A" w:rsidRPr="00CF62A2">
        <w:rPr>
          <w:color w:val="auto"/>
          <w:sz w:val="20"/>
          <w:szCs w:val="20"/>
          <w:lang w:bidi="ar-SA"/>
        </w:rPr>
        <w:t xml:space="preserve"> </w:t>
      </w:r>
      <w:r w:rsidRPr="00CF62A2">
        <w:rPr>
          <w:b/>
          <w:i/>
          <w:sz w:val="24"/>
          <w:szCs w:val="24"/>
        </w:rPr>
        <w:t>договору оренди</w:t>
      </w:r>
      <w:r w:rsidR="000B1E6A" w:rsidRPr="00CF62A2">
        <w:rPr>
          <w:b/>
          <w:i/>
          <w:sz w:val="24"/>
          <w:szCs w:val="24"/>
        </w:rPr>
        <w:t xml:space="preserve"> земельної ділянки</w:t>
      </w:r>
      <w:r w:rsidRPr="00CF62A2">
        <w:rPr>
          <w:b/>
          <w:i/>
          <w:sz w:val="24"/>
          <w:szCs w:val="24"/>
        </w:rPr>
        <w:t xml:space="preserve"> </w:t>
      </w:r>
      <w:r w:rsidR="00B064DC" w:rsidRPr="00CF62A2">
        <w:rPr>
          <w:b/>
          <w:i/>
          <w:sz w:val="24"/>
          <w:szCs w:val="24"/>
        </w:rPr>
        <w:t xml:space="preserve">від </w:t>
      </w:r>
      <w:r w:rsidR="00531BB2" w:rsidRPr="00CF62A2">
        <w:rPr>
          <w:b/>
          <w:i/>
          <w:iCs/>
          <w:sz w:val="24"/>
          <w:szCs w:val="24"/>
        </w:rPr>
        <w:t>10 червня 2004 року № 82-6-00182</w:t>
      </w:r>
      <w:r w:rsidR="00044E1F" w:rsidRPr="00CF62A2">
        <w:rPr>
          <w:b/>
          <w:i/>
          <w:iCs/>
          <w:sz w:val="24"/>
          <w:szCs w:val="24"/>
        </w:rPr>
        <w:t xml:space="preserve"> (зі змінами) </w:t>
      </w:r>
      <w:r w:rsidRPr="00CF62A2">
        <w:rPr>
          <w:b/>
          <w:i/>
          <w:iCs/>
          <w:sz w:val="24"/>
          <w:szCs w:val="24"/>
        </w:rPr>
        <w:t xml:space="preserve"> </w:t>
      </w:r>
      <w:r w:rsidR="00044E1F" w:rsidRPr="00CF62A2">
        <w:rPr>
          <w:b/>
          <w:i/>
          <w:sz w:val="24"/>
          <w:szCs w:val="24"/>
        </w:rPr>
        <w:t xml:space="preserve">для будівництва житлового будинку з офісними приміщеннями та підземним паркінгом на </w:t>
      </w:r>
      <w:r w:rsidR="00044E1F" w:rsidRPr="00CF62A2">
        <w:rPr>
          <w:b/>
          <w:i/>
          <w:sz w:val="24"/>
          <w:szCs w:val="24"/>
          <w:shd w:val="clear" w:color="auto" w:fill="FFFFFF"/>
        </w:rPr>
        <w:t>вул. Лабораторна, 12 у Печерському районі</w:t>
      </w:r>
      <w:r w:rsidR="00044E1F" w:rsidRPr="00CF62A2">
        <w:rPr>
          <w:b/>
          <w:i/>
          <w:sz w:val="24"/>
          <w:szCs w:val="24"/>
        </w:rPr>
        <w:t xml:space="preserve">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CF62A2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4ED77DC5" w14:textId="77777777" w:rsidR="00E94376" w:rsidRPr="00CF62A2" w:rsidRDefault="00044E1F" w:rsidP="00CF62A2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CF62A2">
              <w:rPr>
                <w:i/>
                <w:sz w:val="24"/>
                <w:szCs w:val="24"/>
              </w:rPr>
              <w:t xml:space="preserve">Концертний заклад культури </w:t>
            </w:r>
            <w:r w:rsidR="00C55118" w:rsidRPr="00CF62A2">
              <w:rPr>
                <w:i/>
                <w:sz w:val="24"/>
                <w:szCs w:val="24"/>
              </w:rPr>
              <w:t>«МУНІЦИПАЛЬНИЙ АКАДЕМІЧНИЙ КАМЕРНИЙ ХОР «КИЇВ»</w:t>
            </w:r>
            <w:r w:rsidR="000B1E6A" w:rsidRPr="00CF62A2">
              <w:rPr>
                <w:i/>
                <w:sz w:val="24"/>
                <w:szCs w:val="24"/>
              </w:rPr>
              <w:t xml:space="preserve"> (</w:t>
            </w:r>
            <w:r w:rsidR="00FF0A55" w:rsidRPr="00CF62A2">
              <w:rPr>
                <w:i/>
                <w:sz w:val="24"/>
                <w:szCs w:val="24"/>
              </w:rPr>
              <w:t>ЄДРПОУ</w:t>
            </w:r>
            <w:r w:rsidR="002B5778" w:rsidRPr="00CF62A2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CF62A2">
              <w:rPr>
                <w:i/>
                <w:color w:val="auto"/>
                <w:sz w:val="24"/>
                <w:szCs w:val="24"/>
                <w:lang w:val="ru-RU" w:bidi="ar-SA"/>
              </w:rPr>
              <w:t>21579671</w:t>
            </w:r>
            <w:r w:rsidR="000B1E6A" w:rsidRPr="00CF62A2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55361A" w:rsidRPr="00CF62A2">
              <w:rPr>
                <w:i/>
                <w:color w:val="auto"/>
                <w:sz w:val="24"/>
                <w:szCs w:val="24"/>
                <w:lang w:bidi="ar-SA"/>
              </w:rPr>
              <w:t xml:space="preserve"> (далі – Заклад культури)</w:t>
            </w:r>
          </w:p>
          <w:p w14:paraId="3F99415B" w14:textId="3621EEEB" w:rsidR="00CF62A2" w:rsidRPr="00CF62A2" w:rsidRDefault="00CF62A2" w:rsidP="00CF62A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4CA764E1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6684D346" w14:textId="77777777" w:rsidR="0055361A" w:rsidRPr="0055361A" w:rsidRDefault="009F7334" w:rsidP="0055361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hyperlink r:id="rId11" w:history="1">
              <w:r w:rsidR="0055361A" w:rsidRPr="0055361A">
                <w:rPr>
                  <w:rFonts w:ascii="Times New Roman" w:eastAsia="Times New Roman" w:hAnsi="Times New Roman" w:cs="Times New Roman"/>
                  <w:b/>
                  <w:bCs/>
                  <w:i/>
                  <w:color w:val="auto"/>
                  <w:bdr w:val="none" w:sz="0" w:space="0" w:color="auto" w:frame="1"/>
                  <w:shd w:val="clear" w:color="auto" w:fill="FFFFFF"/>
                </w:rPr>
                <w:t>КИЇВСЬКА МІСЬКА ДЕРЖАВНА АДМІНІСТРАЦІЯ</w:t>
              </w:r>
            </w:hyperlink>
          </w:p>
          <w:p w14:paraId="10AA0E28" w14:textId="77777777" w:rsidR="0055361A" w:rsidRPr="0055361A" w:rsidRDefault="0055361A" w:rsidP="0055361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5361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Код ЄДРПОУ засновника:</w:t>
            </w:r>
            <w:r w:rsidRPr="0055361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00022527</w:t>
            </w:r>
          </w:p>
          <w:p w14:paraId="66EDD352" w14:textId="77777777" w:rsidR="0055361A" w:rsidRPr="0055361A" w:rsidRDefault="0055361A" w:rsidP="005536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55361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bdr w:val="none" w:sz="0" w:space="0" w:color="auto" w:frame="1"/>
              </w:rPr>
              <w:t>Адреса засновника:</w:t>
            </w:r>
            <w:r w:rsidRPr="0055361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 Україна, 03680, місто Київ,                              вулиця Дегтярівська, будинок 31, корпус 2</w:t>
            </w:r>
          </w:p>
          <w:p w14:paraId="6643096C" w14:textId="7822B4F3" w:rsidR="00E94376" w:rsidRPr="00123E08" w:rsidRDefault="00E94376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55361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C8C386D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26142B0F" w:rsidR="00E94376" w:rsidRPr="0055361A" w:rsidRDefault="0055361A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5361A">
              <w:rPr>
                <w:i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33D52EE4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16.02.2023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793907052</w:t>
            </w:r>
            <w:r w:rsidR="0055361A">
              <w:rPr>
                <w:b/>
                <w:i/>
                <w:sz w:val="24"/>
                <w:szCs w:val="24"/>
              </w:rPr>
              <w:t>, від 27.11.2023 № 060/28-110 та                      від 31.01.2024 № 060/28-13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57ECCCC0" w:rsidR="00617D3B" w:rsidRDefault="00617D3B" w:rsidP="006A19DF">
      <w:pPr>
        <w:pStyle w:val="a7"/>
        <w:shd w:val="clear" w:color="auto" w:fill="auto"/>
        <w:ind w:left="353" w:hanging="353"/>
        <w:rPr>
          <w:b w:val="0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8000000000:79:026:0005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CF62A2">
              <w:rPr>
                <w:i/>
                <w:sz w:val="24"/>
                <w:szCs w:val="24"/>
              </w:rPr>
              <w:t xml:space="preserve"> </w:t>
            </w:r>
            <w:r w:rsidR="007B72F8" w:rsidRPr="00CF62A2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Лабораторна, 12 у Печерському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44E1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0023E3A7" w:rsidR="008A338E" w:rsidRPr="00037B84" w:rsidRDefault="00CF62A2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0,1157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га</w:t>
            </w:r>
            <w:r>
              <w:rPr>
                <w:b/>
                <w:i/>
                <w:iCs/>
                <w:sz w:val="24"/>
                <w:szCs w:val="24"/>
              </w:rPr>
              <w:t>, у тому числі 0,0383 га у межах червоних ліній для влаштування будівельного майданчика</w:t>
            </w:r>
          </w:p>
        </w:tc>
      </w:tr>
      <w:tr w:rsidR="008A338E" w:rsidRPr="00037B84" w14:paraId="4D0D82D3" w14:textId="77777777" w:rsidTr="0055361A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F62A2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BECC1C6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55361A">
              <w:rPr>
                <w:b/>
                <w:i/>
                <w:sz w:val="24"/>
                <w:szCs w:val="24"/>
                <w:lang w:val="ru-RU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044E1F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02.10</w:t>
            </w:r>
            <w:r w:rsidR="005769B6" w:rsidRPr="00044E1F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044E1F">
              <w:rPr>
                <w:b/>
                <w:i/>
                <w:sz w:val="24"/>
                <w:szCs w:val="24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Pr="00044E1F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044E1F">
              <w:rPr>
                <w:b/>
                <w:i/>
                <w:sz w:val="24"/>
                <w:szCs w:val="24"/>
              </w:rPr>
              <w:t>для будівництва житлового будинку з офісними приміщеннями та підземним паркінгом</w:t>
            </w:r>
            <w:r w:rsidRPr="00044E1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044E1F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CF62A2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CF62A2">
              <w:rPr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CF62A2">
              <w:rPr>
                <w:iCs w:val="0"/>
                <w:sz w:val="18"/>
                <w:szCs w:val="18"/>
              </w:rPr>
              <w:t>(за поперед</w:t>
            </w:r>
            <w:r w:rsidR="00056A2A" w:rsidRPr="00CF62A2">
              <w:rPr>
                <w:iCs w:val="0"/>
                <w:sz w:val="18"/>
                <w:szCs w:val="18"/>
              </w:rPr>
              <w:t>нім</w:t>
            </w:r>
            <w:r w:rsidR="006764C8" w:rsidRPr="00CF62A2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6CD20FA" w14:textId="77777777" w:rsidR="00CF62A2" w:rsidRPr="00393D88" w:rsidRDefault="00CF62A2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bCs/>
                <w:i/>
                <w:color w:val="auto"/>
                <w:sz w:val="24"/>
                <w:szCs w:val="24"/>
                <w:highlight w:val="white"/>
                <w:lang w:val="ru-RU" w:bidi="ar-SA"/>
              </w:rPr>
            </w:pPr>
          </w:p>
          <w:p w14:paraId="0DCAEE6E" w14:textId="431606F7" w:rsidR="006D7E33" w:rsidRPr="00056A2A" w:rsidRDefault="00CF62A2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color w:val="auto"/>
                <w:sz w:val="24"/>
                <w:szCs w:val="24"/>
                <w:lang w:val="en-US" w:bidi="ar-SA"/>
              </w:rPr>
              <w:t>11 485 172,11</w:t>
            </w:r>
            <w:r w:rsidRPr="00CF62A2">
              <w:rPr>
                <w:b/>
                <w:bCs/>
                <w:i/>
                <w:color w:val="auto"/>
                <w:sz w:val="24"/>
                <w:szCs w:val="24"/>
                <w:highlight w:val="white"/>
                <w:lang w:val="en-US" w:bidi="ar-SA"/>
              </w:rPr>
              <w:t xml:space="preserve"> </w:t>
            </w:r>
            <w:r w:rsidRPr="00197A10">
              <w:rPr>
                <w:b/>
                <w:bCs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A2C7B" w:rsidRPr="00037B84" w14:paraId="0480F52E" w14:textId="77777777" w:rsidTr="006A2C7B">
        <w:trPr>
          <w:cantSplit/>
          <w:trHeight w:val="20"/>
        </w:trPr>
        <w:tc>
          <w:tcPr>
            <w:tcW w:w="2972" w:type="dxa"/>
          </w:tcPr>
          <w:p w14:paraId="31480E3B" w14:textId="09BA91F6" w:rsidR="006A2C7B" w:rsidRPr="006A2C7B" w:rsidRDefault="006A2C7B" w:rsidP="006A2C7B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6A2C7B">
              <w:rPr>
                <w:i/>
                <w:sz w:val="24"/>
                <w:szCs w:val="24"/>
              </w:rPr>
              <w:t xml:space="preserve">Наявність будівель і </w:t>
            </w:r>
            <w:r w:rsidRPr="006A2C7B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3ECA6C10" w14:textId="3456C327" w:rsidR="006A2C7B" w:rsidRPr="00776E89" w:rsidRDefault="006A2C7B" w:rsidP="006A2C7B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6A2C7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A2C7B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76A073A2" w14:textId="491D47F3" w:rsidR="006A2C7B" w:rsidRPr="00EE137E" w:rsidRDefault="006A2C7B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Земельна ділянка огороджена спільним металевим                                парканом із земельною ділянкою (кадастровий                                         номер 8000000000:79:026:0027), яка також передавалась </w:t>
            </w:r>
            <w:r>
              <w:rPr>
                <w:rFonts w:eastAsia="Georgia"/>
                <w:b w:val="0"/>
                <w:i/>
                <w:iCs/>
                <w:sz w:val="24"/>
                <w:szCs w:val="24"/>
              </w:rPr>
              <w:t>З</w:t>
            </w:r>
            <w:r w:rsidRPr="00A34B1B">
              <w:rPr>
                <w:rFonts w:eastAsia="Georgia"/>
                <w:b w:val="0"/>
                <w:i/>
                <w:iCs/>
                <w:sz w:val="24"/>
                <w:szCs w:val="24"/>
              </w:rPr>
              <w:t>акладу культури</w:t>
            </w:r>
            <w:r>
              <w:rPr>
                <w:rFonts w:eastAsia="Georgia"/>
                <w:b w:val="0"/>
                <w:i/>
                <w:iCs/>
                <w:sz w:val="24"/>
                <w:szCs w:val="24"/>
              </w:rPr>
              <w:t xml:space="preserve"> в оренду до 25.05.</w:t>
            </w:r>
            <w:r w:rsidRPr="00AB1A29">
              <w:rPr>
                <w:b w:val="0"/>
                <w:i/>
                <w:sz w:val="24"/>
                <w:szCs w:val="24"/>
              </w:rPr>
              <w:t>2023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AB1A29">
              <w:rPr>
                <w:b w:val="0"/>
                <w:i/>
                <w:sz w:val="24"/>
                <w:szCs w:val="24"/>
              </w:rPr>
              <w:t xml:space="preserve">для будівництва житлового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AB1A29">
              <w:rPr>
                <w:b w:val="0"/>
                <w:i/>
                <w:sz w:val="24"/>
                <w:szCs w:val="24"/>
              </w:rPr>
              <w:t>будинку</w:t>
            </w:r>
            <w:r>
              <w:rPr>
                <w:b w:val="0"/>
                <w:i/>
                <w:sz w:val="24"/>
                <w:szCs w:val="24"/>
              </w:rPr>
              <w:t xml:space="preserve">  з  офісними приміщеннями та підземним</w:t>
            </w:r>
          </w:p>
        </w:tc>
      </w:tr>
      <w:tr w:rsidR="00823CCF" w:rsidRPr="00037B84" w14:paraId="3425DFB0" w14:textId="77777777" w:rsidTr="006A2C7B">
        <w:trPr>
          <w:cantSplit/>
          <w:trHeight w:val="20"/>
        </w:trPr>
        <w:tc>
          <w:tcPr>
            <w:tcW w:w="2972" w:type="dxa"/>
          </w:tcPr>
          <w:p w14:paraId="09EACFBD" w14:textId="72F8643E" w:rsidR="006A2C7B" w:rsidRPr="00037B84" w:rsidRDefault="00776E89" w:rsidP="006A2C7B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</w:p>
          <w:p w14:paraId="62A0DDEA" w14:textId="6068C20E" w:rsidR="00823CCF" w:rsidRPr="00037B84" w:rsidRDefault="00823CCF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5316AF7D" w14:textId="77777777" w:rsidR="006A2C7B" w:rsidRPr="006A2C7B" w:rsidRDefault="006A2C7B" w:rsidP="006A2C7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A2C7B">
              <w:rPr>
                <w:rFonts w:ascii="Times New Roman" w:eastAsia="Times New Roman" w:hAnsi="Times New Roman" w:cs="Times New Roman"/>
                <w:bCs/>
                <w:i/>
              </w:rPr>
              <w:t>паркінгом.</w:t>
            </w:r>
          </w:p>
          <w:p w14:paraId="28573331" w14:textId="77777777" w:rsidR="006A2C7B" w:rsidRPr="006A2C7B" w:rsidRDefault="006A2C7B" w:rsidP="006A2C7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333333"/>
                <w:shd w:val="clear" w:color="auto" w:fill="FFFFFF"/>
              </w:rPr>
            </w:pPr>
            <w:r w:rsidRPr="006A2C7B">
              <w:rPr>
                <w:rFonts w:ascii="Times New Roman" w:eastAsia="Georgia" w:hAnsi="Times New Roman" w:cs="Times New Roman"/>
                <w:bCs/>
                <w:i/>
                <w:iCs/>
              </w:rPr>
              <w:t xml:space="preserve">В межах огородженої території збудовано бетонний фундамент, розміщено будівельну техніку та побутові вагончики, ростуть поодинокі дерева. Доступ до території обмежено (акт обстеження земельної ділянки від </w:t>
            </w:r>
            <w:r w:rsidRPr="006A2C7B">
              <w:rPr>
                <w:rFonts w:ascii="Times New Roman" w:eastAsia="Times New Roman" w:hAnsi="Times New Roman" w:cs="Times New Roman"/>
                <w:bCs/>
                <w:i/>
              </w:rPr>
              <w:t xml:space="preserve">08.08.2023 </w:t>
            </w:r>
            <w:r w:rsidRPr="006A2C7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6A2C7B">
              <w:rPr>
                <w:rFonts w:ascii="Times New Roman" w:eastAsia="Times New Roman" w:hAnsi="Times New Roman" w:cs="Times New Roman"/>
                <w:bCs/>
                <w:i/>
              </w:rPr>
              <w:t xml:space="preserve">№ </w:t>
            </w:r>
            <w:r w:rsidRPr="006A2C7B">
              <w:rPr>
                <w:rFonts w:ascii="Times New Roman" w:eastAsia="Times New Roman" w:hAnsi="Times New Roman" w:cs="Times New Roman"/>
                <w:bCs/>
                <w:i/>
                <w:color w:val="333333"/>
                <w:shd w:val="clear" w:color="auto" w:fill="FFFFFF"/>
              </w:rPr>
              <w:t>ДК/164-АО/2023).</w:t>
            </w:r>
          </w:p>
          <w:p w14:paraId="34539E0B" w14:textId="77777777" w:rsidR="006A2C7B" w:rsidRPr="006A2C7B" w:rsidRDefault="006A2C7B" w:rsidP="006A2C7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2C7B">
              <w:rPr>
                <w:rFonts w:ascii="Times New Roman" w:hAnsi="Times New Roman" w:cs="Times New Roman"/>
                <w:i/>
              </w:rPr>
              <w:t>Містобудівні умови та обмеження для проєктування об’єкта будівництва від 11.12.2017 № 782 видано Департаментом містобудування та архітектури виконавчого органу                         Київської міської ради (Київської міської державної                            адміністрації), дозвіл на виконання будівельних робіт                                                              від 24.05.2019 № ІУ 113191441191 виданий Державною                                  архітектурно-будівельною інспекцією України.</w:t>
            </w:r>
          </w:p>
          <w:p w14:paraId="506E57A9" w14:textId="3E86C3EA" w:rsidR="00823CCF" w:rsidRPr="00EE137E" w:rsidRDefault="00823CC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6A2C7B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6A2C7B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6A2C7B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A7E5EDB" w14:textId="77777777" w:rsidR="006A2C7B" w:rsidRPr="006A2C7B" w:rsidRDefault="006A2C7B" w:rsidP="006A2C7B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A2C7B">
              <w:rPr>
                <w:rFonts w:ascii="Times New Roman" w:eastAsia="Times New Roman" w:hAnsi="Times New Roman" w:cs="Times New Roman"/>
                <w:bCs/>
                <w:i/>
              </w:rPr>
              <w:t>Детальний план території не затверджено.</w:t>
            </w:r>
          </w:p>
          <w:p w14:paraId="112E87C4" w14:textId="337E9747" w:rsidR="00823CCF" w:rsidRPr="00EE137E" w:rsidRDefault="00823CC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6A2C7B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A2C7B">
              <w:rPr>
                <w:i/>
                <w:sz w:val="24"/>
                <w:szCs w:val="24"/>
              </w:rPr>
              <w:t>Функціональне</w:t>
            </w:r>
            <w:r w:rsidR="00037B84" w:rsidRPr="006A2C7B">
              <w:rPr>
                <w:i/>
                <w:sz w:val="24"/>
                <w:szCs w:val="24"/>
              </w:rPr>
              <w:t xml:space="preserve"> </w:t>
            </w:r>
            <w:r w:rsidRPr="006A2C7B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6A2C7B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6A2C7B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6A2C7B">
              <w:rPr>
                <w:i/>
                <w:sz w:val="24"/>
                <w:szCs w:val="24"/>
              </w:rPr>
              <w:t>п</w:t>
            </w:r>
            <w:r w:rsidR="00823CCF" w:rsidRPr="006A2C7B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A2C7B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6A2C7B">
              <w:rPr>
                <w:i/>
                <w:sz w:val="24"/>
                <w:szCs w:val="24"/>
              </w:rPr>
              <w:t xml:space="preserve">згідно </w:t>
            </w:r>
            <w:r w:rsidR="004D4B3C" w:rsidRPr="006A2C7B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72CC6FB6" w14:textId="77777777" w:rsidR="006A2C7B" w:rsidRPr="0083072C" w:rsidRDefault="006A2C7B" w:rsidP="006A2C7B">
            <w:pPr>
              <w:pStyle w:val="a7"/>
              <w:shd w:val="clear" w:color="auto" w:fill="auto"/>
              <w:ind w:right="-113"/>
              <w:jc w:val="both"/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83072C">
              <w:rPr>
                <w:b w:val="0"/>
                <w:i/>
                <w:color w:val="auto"/>
                <w:sz w:val="24"/>
                <w:szCs w:val="24"/>
              </w:rPr>
              <w:t xml:space="preserve">Частково </w:t>
            </w:r>
            <w:r w:rsidRPr="0083072C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території житлової забудови багатоповерхової (існуючі), частково території громадських будівель та споруд (існуючі), частково території вулиць та доріг.</w:t>
            </w:r>
          </w:p>
          <w:p w14:paraId="49BF4673" w14:textId="2A82B0FC" w:rsidR="00823CCF" w:rsidRPr="00EE137E" w:rsidRDefault="00823CC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6A2C7B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6A2C7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A2C7B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12F6AC7" w14:textId="77777777" w:rsidR="006A2C7B" w:rsidRPr="0003705F" w:rsidRDefault="006A2C7B" w:rsidP="006A2C7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3705F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>
              <w:rPr>
                <w:b w:val="0"/>
                <w:i/>
                <w:sz w:val="24"/>
                <w:szCs w:val="24"/>
              </w:rPr>
              <w:t>перебуває у комунальній</w:t>
            </w:r>
            <w:r w:rsidRPr="0003705F">
              <w:rPr>
                <w:b w:val="0"/>
                <w:i/>
                <w:sz w:val="24"/>
                <w:szCs w:val="24"/>
              </w:rPr>
              <w:t xml:space="preserve"> власності територіальної громади міста Києва відповідно до відомостей Державного реєстру речових прав на нерухоме майно.</w:t>
            </w:r>
          </w:p>
          <w:p w14:paraId="5320388C" w14:textId="77777777" w:rsidR="006A2C7B" w:rsidRDefault="006A2C7B" w:rsidP="006A2C7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Згідно з відомостями Державного земельного кадастру:                      к</w:t>
            </w:r>
            <w:r w:rsidRPr="0003705F">
              <w:rPr>
                <w:b w:val="0"/>
                <w:i/>
                <w:sz w:val="24"/>
                <w:szCs w:val="24"/>
              </w:rPr>
              <w:t xml:space="preserve">од виду цільового призначення - </w:t>
            </w:r>
            <w:r w:rsidRPr="0003705F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02.10</w:t>
            </w:r>
            <w:r w:rsidRPr="0003705F">
              <w:rPr>
                <w:b w:val="0"/>
                <w:i/>
                <w:sz w:val="24"/>
                <w:szCs w:val="24"/>
              </w:rPr>
              <w:t xml:space="preserve">; категорія земель - </w:t>
            </w:r>
            <w:r w:rsidRPr="0003705F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03705F">
              <w:rPr>
                <w:b w:val="0"/>
                <w:i/>
                <w:sz w:val="24"/>
                <w:szCs w:val="24"/>
              </w:rPr>
              <w:t>.</w:t>
            </w:r>
          </w:p>
          <w:p w14:paraId="0EC5BAC8" w14:textId="19C54D33" w:rsidR="00823CCF" w:rsidRPr="00EE137E" w:rsidRDefault="00823CC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6A2C7B" w:rsidRDefault="00776E89" w:rsidP="003F4C80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6A2C7B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6A2C7B">
              <w:rPr>
                <w:i/>
                <w:sz w:val="24"/>
                <w:szCs w:val="24"/>
              </w:rPr>
              <w:t>Розташування</w:t>
            </w:r>
            <w:r w:rsidR="00037B84" w:rsidRPr="006A2C7B">
              <w:rPr>
                <w:i/>
                <w:sz w:val="24"/>
                <w:szCs w:val="24"/>
              </w:rPr>
              <w:t xml:space="preserve"> </w:t>
            </w:r>
            <w:r w:rsidR="00823CCF" w:rsidRPr="006A2C7B">
              <w:rPr>
                <w:i/>
                <w:sz w:val="24"/>
                <w:szCs w:val="24"/>
              </w:rPr>
              <w:t xml:space="preserve">в зеленій </w:t>
            </w:r>
            <w:r w:rsidRPr="006A2C7B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6A2C7B">
              <w:rPr>
                <w:i/>
                <w:sz w:val="24"/>
                <w:szCs w:val="24"/>
                <w:lang w:val="en-US"/>
              </w:rPr>
              <w:t xml:space="preserve"> </w:t>
            </w:r>
            <w:r w:rsidR="00823CCF" w:rsidRPr="006A2C7B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8D79073" w14:textId="33980D49" w:rsidR="0007405D" w:rsidRPr="0007405D" w:rsidRDefault="0007405D" w:rsidP="0007405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7405D">
              <w:rPr>
                <w:rFonts w:ascii="Times New Roman" w:hAnsi="Times New Roman" w:cs="Times New Roman"/>
                <w:i/>
                <w:color w:val="auto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</w:t>
            </w:r>
            <w:r w:rsidR="00393D88">
              <w:rPr>
                <w:rFonts w:ascii="Times New Roman" w:hAnsi="Times New Roman" w:cs="Times New Roman"/>
                <w:i/>
                <w:color w:val="auto"/>
              </w:rPr>
              <w:t xml:space="preserve"> 28.03.2002 № 370/1804, земельна ділянка</w:t>
            </w:r>
            <w:r w:rsidRPr="0007405D">
              <w:rPr>
                <w:rFonts w:ascii="Times New Roman" w:hAnsi="Times New Roman" w:cs="Times New Roman"/>
                <w:i/>
                <w:color w:val="auto"/>
              </w:rPr>
              <w:t xml:space="preserve"> за функціо</w:t>
            </w:r>
            <w:r w:rsidR="00393D88">
              <w:rPr>
                <w:rFonts w:ascii="Times New Roman" w:hAnsi="Times New Roman" w:cs="Times New Roman"/>
                <w:i/>
                <w:color w:val="auto"/>
              </w:rPr>
              <w:t>нальним призначенням  не відноси</w:t>
            </w:r>
            <w:r w:rsidRPr="0007405D">
              <w:rPr>
                <w:rFonts w:ascii="Times New Roman" w:hAnsi="Times New Roman" w:cs="Times New Roman"/>
                <w:i/>
                <w:color w:val="auto"/>
              </w:rPr>
              <w:t>ться до територій зелених насаджень.</w:t>
            </w:r>
          </w:p>
          <w:p w14:paraId="32C67EBC" w14:textId="01DDE645" w:rsidR="00823CCF" w:rsidRPr="00EE137E" w:rsidRDefault="00823CCF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7405D" w:rsidRPr="00037B84" w14:paraId="6402A892" w14:textId="77777777" w:rsidTr="0007405D">
        <w:trPr>
          <w:cantSplit/>
          <w:trHeight w:val="20"/>
        </w:trPr>
        <w:tc>
          <w:tcPr>
            <w:tcW w:w="2972" w:type="dxa"/>
          </w:tcPr>
          <w:p w14:paraId="5A499655" w14:textId="0B568716" w:rsidR="0007405D" w:rsidRPr="0007405D" w:rsidRDefault="0007405D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07405D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26C16E2D" w14:textId="600C1E9D" w:rsidR="0007405D" w:rsidRDefault="0007405D" w:rsidP="0007405D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  <w:r w:rsidRPr="00E944CC">
              <w:rPr>
                <w:rFonts w:ascii="Times New Roman" w:hAnsi="Times New Roman" w:cs="Times New Roman"/>
                <w:i/>
                <w:lang w:val="uk-UA"/>
              </w:rPr>
              <w:t xml:space="preserve">Рішенням Київської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міської ради від 25.09.2003 </w:t>
            </w:r>
            <w:r w:rsidRPr="00BA7FE3">
              <w:rPr>
                <w:rFonts w:ascii="Times New Roman" w:hAnsi="Times New Roman" w:cs="Times New Roman"/>
                <w:i/>
                <w:lang w:val="uk-UA"/>
              </w:rPr>
              <w:t>№ 31/</w:t>
            </w:r>
            <w:r w:rsidRPr="00E944CC">
              <w:rPr>
                <w:rFonts w:ascii="Times New Roman" w:hAnsi="Times New Roman" w:cs="Times New Roman"/>
                <w:i/>
                <w:lang w:val="uk-UA"/>
              </w:rPr>
              <w:t xml:space="preserve">905 (пункт 60) вказану земельну ділянку передано в оренду на 4 роки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Закладу культури</w:t>
            </w:r>
            <w:r w:rsidRPr="00E944C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 xml:space="preserve"> </w:t>
            </w:r>
            <w:r w:rsidRPr="0007405D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 xml:space="preserve">для будівництва житлового будинку з офісними приміщеннями та підземним паркінгом на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 xml:space="preserve">                            </w:t>
            </w:r>
            <w:r w:rsidRPr="0007405D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вул. Лабораторній, 12 у Печерському районі м. Києва</w:t>
            </w:r>
            <w:r w:rsidRPr="00E944CC">
              <w:rPr>
                <w:rFonts w:ascii="Times New Roman" w:hAnsi="Times New Roman" w:cs="Times New Roman"/>
                <w:i/>
                <w:lang w:val="uk-UA" w:bidi="uk-UA"/>
              </w:rPr>
              <w:t xml:space="preserve"> (договір оренди 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 xml:space="preserve">земельної ділянки </w:t>
            </w:r>
            <w:r w:rsidRPr="0007405D">
              <w:rPr>
                <w:rFonts w:ascii="Times New Roman" w:eastAsia="Georgia" w:hAnsi="Times New Roman" w:cs="Times New Roman"/>
                <w:i/>
                <w:iCs/>
                <w:lang w:val="uk-UA"/>
              </w:rPr>
              <w:t xml:space="preserve">від 10.06.2004 </w:t>
            </w:r>
            <w:r>
              <w:rPr>
                <w:rFonts w:ascii="Times New Roman" w:eastAsia="Georgia" w:hAnsi="Times New Roman" w:cs="Times New Roman"/>
                <w:i/>
                <w:iCs/>
                <w:lang w:val="uk-UA"/>
              </w:rPr>
              <w:t xml:space="preserve"> </w:t>
            </w:r>
            <w:r w:rsidRPr="0007405D">
              <w:rPr>
                <w:rFonts w:ascii="Times New Roman" w:eastAsia="Georgia" w:hAnsi="Times New Roman" w:cs="Times New Roman"/>
                <w:i/>
                <w:iCs/>
                <w:lang w:val="uk-UA"/>
              </w:rPr>
              <w:t>№ 82-6-00182</w:t>
            </w:r>
            <w:r w:rsidRPr="00BA7FE3">
              <w:rPr>
                <w:rFonts w:ascii="Times New Roman" w:hAnsi="Times New Roman" w:cs="Times New Roman"/>
                <w:i/>
                <w:lang w:val="uk-UA" w:bidi="uk-UA"/>
              </w:rPr>
              <w:t>).</w:t>
            </w:r>
          </w:p>
          <w:p w14:paraId="7E6A2F3B" w14:textId="77777777" w:rsidR="0007405D" w:rsidRDefault="0007405D" w:rsidP="0007405D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uk-UA"/>
              </w:rPr>
            </w:pPr>
            <w:r w:rsidRPr="00BA7FE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</w:t>
            </w:r>
            <w:r w:rsidRPr="00BA7FE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uk-UA"/>
              </w:rPr>
              <w:t>.</w:t>
            </w:r>
          </w:p>
          <w:p w14:paraId="4AA2D954" w14:textId="4FB71E45" w:rsidR="0007405D" w:rsidRDefault="0007405D" w:rsidP="0007405D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  <w:r w:rsidRPr="0007405D">
              <w:rPr>
                <w:rFonts w:ascii="Times New Roman" w:hAnsi="Times New Roman" w:cs="Times New Roman"/>
                <w:i/>
                <w:lang w:val="uk-UA"/>
              </w:rPr>
              <w:t xml:space="preserve">Рішенням Господарського суду м. Києва від 19.06.2008 у справі № 30/247 внесено зміни до вищевказаного договору оренди </w:t>
            </w:r>
            <w:r w:rsidR="0041754B">
              <w:rPr>
                <w:rFonts w:ascii="Times New Roman" w:hAnsi="Times New Roman" w:cs="Times New Roman"/>
                <w:i/>
                <w:lang w:val="uk-UA"/>
              </w:rPr>
              <w:t>додатковим догово</w:t>
            </w:r>
            <w:r w:rsidRPr="0007405D">
              <w:rPr>
                <w:rFonts w:ascii="Times New Roman" w:hAnsi="Times New Roman" w:cs="Times New Roman"/>
                <w:i/>
                <w:lang w:val="uk-UA"/>
              </w:rPr>
              <w:t>р</w:t>
            </w:r>
            <w:r w:rsidR="0041754B">
              <w:rPr>
                <w:rFonts w:ascii="Times New Roman" w:hAnsi="Times New Roman" w:cs="Times New Roman"/>
                <w:i/>
                <w:lang w:val="uk-UA"/>
              </w:rPr>
              <w:t>ом</w:t>
            </w:r>
            <w:r w:rsidRPr="0007405D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41754B">
              <w:rPr>
                <w:rFonts w:ascii="Times New Roman" w:hAnsi="Times New Roman" w:cs="Times New Roman"/>
                <w:i/>
                <w:lang w:val="uk-UA"/>
              </w:rPr>
              <w:t>у</w:t>
            </w:r>
            <w:r w:rsidRPr="0007405D">
              <w:rPr>
                <w:rFonts w:ascii="Times New Roman" w:hAnsi="Times New Roman" w:cs="Times New Roman"/>
                <w:i/>
                <w:lang w:val="uk-UA"/>
              </w:rPr>
              <w:t xml:space="preserve"> редакції, </w:t>
            </w:r>
            <w:r w:rsidR="0041754B">
              <w:rPr>
                <w:rFonts w:ascii="Times New Roman" w:hAnsi="Times New Roman" w:cs="Times New Roman"/>
                <w:i/>
                <w:lang w:val="uk-UA"/>
              </w:rPr>
              <w:t xml:space="preserve">наведеній у цьому судовому рішенні </w:t>
            </w:r>
            <w:r w:rsidRPr="0007405D">
              <w:rPr>
                <w:rFonts w:ascii="Times New Roman" w:hAnsi="Times New Roman" w:cs="Times New Roman"/>
                <w:i/>
                <w:lang w:val="uk-UA"/>
              </w:rPr>
              <w:t>(договір про внесення змін до договору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 xml:space="preserve"> оренди земельної ділянки від 28.07.2008 № 82-6-00505).</w:t>
            </w:r>
          </w:p>
          <w:p w14:paraId="54192739" w14:textId="096045FA" w:rsidR="0007405D" w:rsidRPr="00EE137E" w:rsidRDefault="0041754B" w:rsidP="00997106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5690B">
              <w:rPr>
                <w:rFonts w:ascii="Times New Roman" w:hAnsi="Times New Roman" w:cs="Times New Roman"/>
                <w:i/>
                <w:lang w:val="uk-UA" w:bidi="uk-UA"/>
              </w:rPr>
              <w:t xml:space="preserve">Рішенням Київської міської ради </w:t>
            </w:r>
            <w:r w:rsidRPr="00A5690B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 xml:space="preserve">від 20.09.2012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>№</w:t>
            </w:r>
            <w:r w:rsidRPr="00A5690B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 xml:space="preserve"> 157/8441</w:t>
            </w:r>
            <w:r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 xml:space="preserve"> договір оренди поновлено на 5 років (договір про поновлення договору оренди земельної ділянки від 28.12.2012                                        № 82-6-00683).</w:t>
            </w:r>
          </w:p>
        </w:tc>
      </w:tr>
      <w:tr w:rsidR="00FC7A92" w:rsidRPr="00037B84" w14:paraId="4912F663" w14:textId="77777777" w:rsidTr="0007405D">
        <w:trPr>
          <w:cantSplit/>
          <w:trHeight w:val="20"/>
        </w:trPr>
        <w:tc>
          <w:tcPr>
            <w:tcW w:w="2972" w:type="dxa"/>
          </w:tcPr>
          <w:p w14:paraId="171FC032" w14:textId="13FFBE3B" w:rsidR="00FC7A92" w:rsidRPr="00037B84" w:rsidRDefault="00776E89" w:rsidP="0054052D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380BED8E" w14:textId="13FE30AC" w:rsidR="0054052D" w:rsidRPr="0054052D" w:rsidRDefault="0054052D" w:rsidP="005405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</w:pPr>
            <w:r w:rsidRPr="0054052D"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Постійною комісією Київської міської ради з питань містобудування, архітектури та землекористування (протокол засідання від 23.01.2018 № 1/63, висновок до кадастрової справи № А-24469) договір оренди поновлено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                    </w:t>
            </w:r>
            <w:r w:rsidRPr="0054052D"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на 5 років (договір про поновлення договору оренди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земельної ділянки </w:t>
            </w:r>
            <w:r w:rsidRPr="0054052D"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>від 25.05.2018 № 1917).</w:t>
            </w:r>
          </w:p>
          <w:p w14:paraId="3CA52B24" w14:textId="02721496" w:rsidR="0054052D" w:rsidRDefault="0054052D" w:rsidP="005405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</w:pPr>
            <w:r w:rsidRPr="0054052D"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>Термін оренди за договором до 25.05.2023.</w:t>
            </w:r>
          </w:p>
          <w:p w14:paraId="6D8C8333" w14:textId="77777777" w:rsidR="0054052D" w:rsidRPr="0054052D" w:rsidRDefault="0054052D" w:rsidP="005405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10D5C334" w14:textId="77777777" w:rsidR="0054052D" w:rsidRPr="0054052D" w:rsidRDefault="0054052D" w:rsidP="0054052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4052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листа ГУ ДПС у м. Києві від 21.01.2024 № 4873/6/26-15-13-01-08 </w:t>
            </w:r>
            <w:r w:rsidRPr="0054052D">
              <w:rPr>
                <w:rFonts w:ascii="Times New Roman" w:hAnsi="Times New Roman" w:cs="Times New Roman"/>
                <w:i/>
              </w:rPr>
              <w:t>заборгованість зі сплати орендної плати за Закладом культури не обліковується.</w:t>
            </w:r>
          </w:p>
          <w:p w14:paraId="25AEB413" w14:textId="3AEC88C9" w:rsidR="00907FF6" w:rsidRDefault="00907FF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5D514ECC" w14:textId="3AEB9293" w:rsidR="0054052D" w:rsidRDefault="0054052D" w:rsidP="0054052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4052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знаходиться в Центральному історичному ареалі міста, в зоні регулювання забудови ІІІ категорії. Вихідними даними на проєктування об’єкта будівництва замовника зобов’язано виконати вимоги, зокрема, Закону України «Про охорону культурної спадщини».</w:t>
            </w:r>
          </w:p>
          <w:p w14:paraId="019A2569" w14:textId="0AA7D66B" w:rsidR="001F6AC2" w:rsidRPr="0054052D" w:rsidRDefault="001F6AC2" w:rsidP="001F6AC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4052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У січні 2020 року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54052D">
              <w:rPr>
                <w:rFonts w:ascii="Times New Roman" w:hAnsi="Times New Roman" w:cs="Times New Roman"/>
                <w:i/>
              </w:rPr>
              <w:t>аклад культури  звернувся до суду з позовом, в якому просив:</w:t>
            </w:r>
          </w:p>
          <w:p w14:paraId="1199E352" w14:textId="77777777" w:rsidR="001F6AC2" w:rsidRPr="00A1728F" w:rsidRDefault="001F6AC2" w:rsidP="001F6AC2">
            <w:pPr>
              <w:widowControl/>
              <w:numPr>
                <w:ilvl w:val="0"/>
                <w:numId w:val="2"/>
              </w:numPr>
              <w:ind w:left="331" w:hanging="284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визнати протиправним та скасувати припис Міністерства культури України №43/10-5/74-19 від 02.10.2019;</w:t>
            </w:r>
          </w:p>
          <w:p w14:paraId="57B280C7" w14:textId="77777777" w:rsidR="001F6AC2" w:rsidRPr="00A1728F" w:rsidRDefault="001F6AC2" w:rsidP="001F6AC2">
            <w:pPr>
              <w:widowControl/>
              <w:numPr>
                <w:ilvl w:val="0"/>
                <w:numId w:val="2"/>
              </w:numPr>
              <w:ind w:left="331" w:hanging="284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визнати протиправним та скасувати акт Міністерства культури України про вчинення порушення законодавства про охорону культурної спадщини від 24.10.2019.</w:t>
            </w:r>
          </w:p>
          <w:p w14:paraId="76033C47" w14:textId="078A8672" w:rsidR="001F6AC2" w:rsidRPr="00A1728F" w:rsidRDefault="001F6AC2" w:rsidP="001F6AC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Окружного адміністративного суду міста Києва від 05.06.2020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справі № </w:t>
            </w: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640/957/20  позов задоволено.</w:t>
            </w:r>
          </w:p>
          <w:p w14:paraId="7A62E89E" w14:textId="2ED42248" w:rsidR="001F6AC2" w:rsidRPr="001F6AC2" w:rsidRDefault="001F6AC2" w:rsidP="0054052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Постановою </w:t>
            </w:r>
            <w:r>
              <w:rPr>
                <w:rFonts w:ascii="Times New Roman" w:hAnsi="Times New Roman" w:cs="Times New Roman"/>
                <w:i/>
              </w:rPr>
              <w:t>Шостого апеляційного</w:t>
            </w:r>
            <w:r w:rsidRPr="001F6AC2">
              <w:rPr>
                <w:rFonts w:ascii="Times New Roman" w:hAnsi="Times New Roman" w:cs="Times New Roman"/>
                <w:i/>
              </w:rPr>
              <w:t xml:space="preserve"> адміністративн</w:t>
            </w:r>
            <w:r>
              <w:rPr>
                <w:rFonts w:ascii="Times New Roman" w:hAnsi="Times New Roman" w:cs="Times New Roman"/>
                <w:i/>
              </w:rPr>
              <w:t>ого</w:t>
            </w:r>
            <w:r w:rsidRPr="001F6AC2">
              <w:rPr>
                <w:rFonts w:ascii="Times New Roman" w:hAnsi="Times New Roman" w:cs="Times New Roman"/>
                <w:i/>
              </w:rPr>
              <w:t xml:space="preserve"> суд</w:t>
            </w:r>
            <w:r>
              <w:rPr>
                <w:rFonts w:ascii="Times New Roman" w:hAnsi="Times New Roman" w:cs="Times New Roman"/>
                <w:i/>
              </w:rPr>
              <w:t xml:space="preserve">у від 16.11.2020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</w:t>
            </w: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Окружного адміністративного суду міста Києва від 05.06.2020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справі № </w:t>
            </w: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640/957/20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скасовано, у позові </w:t>
            </w: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54052D">
              <w:rPr>
                <w:rFonts w:ascii="Times New Roman" w:hAnsi="Times New Roman" w:cs="Times New Roman"/>
                <w:i/>
              </w:rPr>
              <w:t>аклад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54052D">
              <w:rPr>
                <w:rFonts w:ascii="Times New Roman" w:hAnsi="Times New Roman" w:cs="Times New Roman"/>
                <w:i/>
              </w:rPr>
              <w:t xml:space="preserve"> культури</w:t>
            </w:r>
            <w:r>
              <w:rPr>
                <w:rFonts w:ascii="Times New Roman" w:hAnsi="Times New Roman" w:cs="Times New Roman"/>
                <w:i/>
              </w:rPr>
              <w:t xml:space="preserve"> відмовлено.</w:t>
            </w:r>
            <w:r w:rsidRPr="0054052D">
              <w:rPr>
                <w:rFonts w:ascii="Times New Roman" w:hAnsi="Times New Roman" w:cs="Times New Roman"/>
                <w:i/>
              </w:rPr>
              <w:t xml:space="preserve">  </w:t>
            </w:r>
          </w:p>
          <w:p w14:paraId="1348CCAB" w14:textId="77777777" w:rsidR="0054052D" w:rsidRPr="0054052D" w:rsidRDefault="0054052D" w:rsidP="0054052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4052D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Комісія з перевірки інформації щодо об’єктів будівництва, які викликають суспільний резонанс на території міста Києва, при виконавчому органі Київської міської ради (Київській міській державній адміністрації) листом від 03.11.2021                        № 018-741 інформувала заступника міського голови – секретаря Київської міської ради Бондаренка В.В., що постановою Шостого апеляційного адміністративного суду від 16.11.2020 у справі № 640/957/20 встановлено порушення режиму забудови земельної ділянки, у зв’язку з чим Департаменту </w:t>
            </w:r>
            <w:r w:rsidRPr="0054052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земельних ресурсів виконавчого органу Київської міської ради (Київської міської державної адміністрації) (далі – Департамент земельних ресурсів) доручено підготувати проєкт рішення про розірвання в тому числі вказаного договору оренди.</w:t>
            </w:r>
          </w:p>
          <w:p w14:paraId="6AE06674" w14:textId="77777777" w:rsidR="0054052D" w:rsidRPr="0054052D" w:rsidRDefault="0054052D" w:rsidP="0054052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4052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Департаментом земельних ресурсів готувався такий проєкт рішення Київської міської ради, але на розгляд Київської міської ради не був внесений, у зв’язку із внесенням до Державного реєстру речових прав на нерухоме майно відомостей про накладення арештів із забороною відчуження, розпорядження та користування земельною ділянкою згідно з ухвалами Печерського районного суду міста Києва від </w:t>
            </w:r>
            <w:r w:rsidRPr="0054052D">
              <w:rPr>
                <w:rFonts w:ascii="Times New Roman" w:hAnsi="Times New Roman" w:cs="Times New Roman"/>
                <w:i/>
              </w:rPr>
              <w:t xml:space="preserve">26.10.2021 у справі № 757/56573/21-к, від 16.07.2021 у справі  № 757/34542/21-к, та від </w:t>
            </w:r>
            <w:r w:rsidRPr="0054052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27.10.2020 у справі № 757/44715/20-к.</w:t>
            </w:r>
          </w:p>
          <w:p w14:paraId="47C6F768" w14:textId="2E5DD25D" w:rsidR="0054052D" w:rsidRDefault="00A1728F" w:rsidP="00A172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 подальшому ухвалою </w:t>
            </w:r>
            <w:r w:rsidR="0038700D">
              <w:rPr>
                <w:rFonts w:ascii="Times New Roman" w:hAnsi="Times New Roman" w:cs="Times New Roman"/>
                <w:bCs/>
                <w:i/>
              </w:rPr>
              <w:t>Верховного С</w:t>
            </w:r>
            <w:r w:rsidRPr="00A1728F">
              <w:rPr>
                <w:rFonts w:ascii="Times New Roman" w:hAnsi="Times New Roman" w:cs="Times New Roman"/>
                <w:bCs/>
                <w:i/>
              </w:rPr>
              <w:t>уду від 01.02.2022</w:t>
            </w: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справі № 640/957/20 прийнято відмову </w:t>
            </w:r>
            <w:r w:rsidR="00500E87">
              <w:rPr>
                <w:rFonts w:ascii="Times New Roman" w:hAnsi="Times New Roman" w:cs="Times New Roman"/>
                <w:i/>
              </w:rPr>
              <w:t>Закладу культури</w:t>
            </w:r>
            <w:r w:rsidRPr="00A1728F">
              <w:rPr>
                <w:rFonts w:ascii="Times New Roman" w:hAnsi="Times New Roman" w:cs="Times New Roman"/>
                <w:i/>
              </w:rPr>
              <w:t xml:space="preserve"> від позову, рішення Окружного адміністративного суду м.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1728F">
              <w:rPr>
                <w:rFonts w:ascii="Times New Roman" w:hAnsi="Times New Roman" w:cs="Times New Roman"/>
                <w:i/>
              </w:rPr>
              <w:t xml:space="preserve"> Києва від 05.06.2020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A1728F">
              <w:rPr>
                <w:rFonts w:ascii="Times New Roman" w:hAnsi="Times New Roman" w:cs="Times New Roman"/>
                <w:i/>
              </w:rPr>
              <w:t xml:space="preserve">та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A1728F">
              <w:rPr>
                <w:rFonts w:ascii="Times New Roman" w:hAnsi="Times New Roman" w:cs="Times New Roman"/>
                <w:i/>
              </w:rPr>
              <w:t xml:space="preserve">постанову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Шостого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</w:t>
            </w: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апеляційного</w:t>
            </w:r>
          </w:p>
          <w:p w14:paraId="1D759601" w14:textId="020B4624" w:rsidR="00A1728F" w:rsidRDefault="00A1728F" w:rsidP="00A1728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адміністративного суду від 16.11.2020 визнані нечинними.</w:t>
            </w:r>
          </w:p>
          <w:p w14:paraId="058E76F9" w14:textId="1CD5D045" w:rsidR="00046D52" w:rsidRDefault="00046D52" w:rsidP="00A1728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55D247FC" w14:textId="40263510" w:rsidR="00A17C3C" w:rsidRPr="009F7334" w:rsidRDefault="00A17C3C" w:rsidP="00A17C3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F7334">
              <w:rPr>
                <w:b w:val="0"/>
                <w:i/>
                <w:sz w:val="24"/>
                <w:szCs w:val="24"/>
              </w:rPr>
              <w:t>В</w:t>
            </w:r>
            <w:r w:rsidRPr="009F7334">
              <w:rPr>
                <w:b w:val="0"/>
                <w:i/>
                <w:sz w:val="24"/>
                <w:szCs w:val="24"/>
              </w:rPr>
              <w:t>ідповідно до відомостей Державного реєстру</w:t>
            </w:r>
            <w:r w:rsidRPr="009F7334">
              <w:rPr>
                <w:b w:val="0"/>
                <w:i/>
                <w:sz w:val="24"/>
                <w:szCs w:val="24"/>
              </w:rPr>
              <w:t xml:space="preserve"> речових прав на нерухоме майно (інформаційна довідка від 15.02.2024                        №</w:t>
            </w:r>
            <w:r w:rsidRPr="009F7334">
              <w:rPr>
                <w:rStyle w:val="a3"/>
                <w:b w:val="0"/>
                <w:i/>
                <w:sz w:val="24"/>
                <w:szCs w:val="24"/>
              </w:rPr>
              <w:t xml:space="preserve"> </w:t>
            </w:r>
            <w:r w:rsidR="009F7334" w:rsidRPr="009F7334">
              <w:rPr>
                <w:rStyle w:val="fontstyle01"/>
                <w:rFonts w:ascii="Times New Roman" w:hAnsi="Times New Roman"/>
                <w:b w:val="0"/>
                <w:i/>
              </w:rPr>
              <w:t>366007658</w:t>
            </w:r>
            <w:r w:rsidRPr="009F7334">
              <w:rPr>
                <w:rStyle w:val="fontstyle01"/>
                <w:rFonts w:ascii="Times New Roman" w:hAnsi="Times New Roman"/>
                <w:b w:val="0"/>
                <w:i/>
              </w:rPr>
              <w:t>)</w:t>
            </w:r>
            <w:r w:rsidRPr="009F7334">
              <w:rPr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 xml:space="preserve"> арешти</w:t>
            </w:r>
            <w:r w:rsidRPr="009F7334">
              <w:rPr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 xml:space="preserve"> та заборон</w:t>
            </w:r>
            <w:r w:rsidRPr="009F7334">
              <w:rPr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и</w:t>
            </w:r>
            <w:r w:rsidRPr="009F7334">
              <w:rPr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 xml:space="preserve"> щодо земельної ділянки</w:t>
            </w:r>
            <w:r w:rsidRPr="009F7334">
              <w:rPr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 xml:space="preserve"> зняті.</w:t>
            </w:r>
            <w:bookmarkStart w:id="0" w:name="_GoBack"/>
            <w:bookmarkEnd w:id="0"/>
          </w:p>
          <w:p w14:paraId="1D922CE7" w14:textId="77777777" w:rsidR="00A17C3C" w:rsidRDefault="00A17C3C" w:rsidP="00046D5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31750C69" w14:textId="507DB8E2" w:rsidR="00A1728F" w:rsidRPr="00A1728F" w:rsidRDefault="00A1728F" w:rsidP="00A172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Департамент охорони культурної спадщини виконавчого органу Київської міської ради (Київської міської державної адміністрації) (далі – Департамент)  у листі від 07.03.2023              </w:t>
            </w:r>
            <w:r w:rsidR="00BF2A6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066-КО-1460-29 зазначає,</w:t>
            </w: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що</w:t>
            </w:r>
            <w:r w:rsidRPr="00A1728F">
              <w:rPr>
                <w:rFonts w:ascii="Times New Roman" w:hAnsi="Times New Roman" w:cs="Times New Roman"/>
                <w:i/>
              </w:rPr>
              <w:t xml:space="preserve"> за наявною у Департаменті інформацією Гол</w:t>
            </w:r>
            <w:r w:rsidR="00500E87">
              <w:rPr>
                <w:rFonts w:ascii="Times New Roman" w:hAnsi="Times New Roman" w:cs="Times New Roman"/>
                <w:i/>
              </w:rPr>
              <w:t>овним управлінням</w:t>
            </w:r>
            <w:r w:rsidRPr="00A1728F">
              <w:rPr>
                <w:rFonts w:ascii="Times New Roman" w:hAnsi="Times New Roman" w:cs="Times New Roman"/>
                <w:i/>
              </w:rPr>
              <w:t xml:space="preserve"> культури, мистецтв </w:t>
            </w:r>
            <w:r w:rsidR="00500E87"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A1728F">
              <w:rPr>
                <w:rFonts w:ascii="Times New Roman" w:hAnsi="Times New Roman" w:cs="Times New Roman"/>
                <w:i/>
              </w:rPr>
              <w:t>та охорони культ</w:t>
            </w:r>
            <w:r w:rsidR="00500E87">
              <w:rPr>
                <w:rFonts w:ascii="Times New Roman" w:hAnsi="Times New Roman" w:cs="Times New Roman"/>
                <w:i/>
              </w:rPr>
              <w:t>урної спадщини</w:t>
            </w:r>
            <w:r w:rsidRPr="00A1728F">
              <w:rPr>
                <w:rFonts w:ascii="Times New Roman" w:hAnsi="Times New Roman" w:cs="Times New Roman"/>
                <w:i/>
              </w:rPr>
              <w:t xml:space="preserve"> (правонаступник – Департамент) від 22.04.2004 погоджено історико-містобудівне обґрунтування: «Будівництво житлового будинку з офісними приміщеннями та підземним паркінгом на вул. Лабораторній, 12 у Печерськ</w:t>
            </w:r>
            <w:r w:rsidR="00500E87">
              <w:rPr>
                <w:rFonts w:ascii="Times New Roman" w:hAnsi="Times New Roman" w:cs="Times New Roman"/>
                <w:i/>
              </w:rPr>
              <w:t xml:space="preserve">ому районі </w:t>
            </w:r>
            <w:r w:rsidRPr="00A1728F">
              <w:rPr>
                <w:rFonts w:ascii="Times New Roman" w:hAnsi="Times New Roman" w:cs="Times New Roman"/>
                <w:i/>
              </w:rPr>
              <w:t xml:space="preserve">м. Києва», замовник: Заклад культури. </w:t>
            </w:r>
          </w:p>
          <w:p w14:paraId="7269D821" w14:textId="374AAD69" w:rsidR="00A1728F" w:rsidRPr="00A1728F" w:rsidRDefault="00A1728F" w:rsidP="00A1728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1728F">
              <w:rPr>
                <w:rFonts w:ascii="Times New Roman" w:hAnsi="Times New Roman" w:cs="Times New Roman"/>
                <w:i/>
              </w:rPr>
              <w:t>Крім того, відповідно до постанови Кабінету Міністрів України від 21.02.2018 № 92 «Про внесення змін до Порядку визначення меж та режимів використання історичних ареалів населених місць, обмеження господарської діяльності на території історичних ареалів населених місць» спрощено процедуру розроблення та погодження науково-проєктної документації на будівництво в історичних населених місцях та скасовано необхідність розробки історико-містобудівного обґрунтування в тих історично населених місцях, де в установленому порядку розроблені та затверджені              істори</w:t>
            </w:r>
            <w:r w:rsidR="0038700D">
              <w:rPr>
                <w:rFonts w:ascii="Times New Roman" w:hAnsi="Times New Roman" w:cs="Times New Roman"/>
                <w:i/>
              </w:rPr>
              <w:t>ко-архітектурні опорні плани. З 01.01.2019</w:t>
            </w:r>
            <w:r w:rsidRPr="00A1728F">
              <w:rPr>
                <w:rFonts w:ascii="Times New Roman" w:hAnsi="Times New Roman" w:cs="Times New Roman"/>
                <w:i/>
              </w:rPr>
              <w:t xml:space="preserve"> інститут історико-містобудівного обґрунтування ліквідовано  взагалі.</w:t>
            </w:r>
          </w:p>
          <w:p w14:paraId="61956ED6" w14:textId="77777777" w:rsidR="00A1728F" w:rsidRPr="00A1728F" w:rsidRDefault="00A1728F" w:rsidP="00A1728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AB59FFB" w14:textId="77777777" w:rsidR="00DE0E7B" w:rsidRDefault="001D49C8" w:rsidP="002D6E0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381CEF3E" w14:textId="4AFB032D" w:rsidR="00B376A0" w:rsidRPr="00046D52" w:rsidRDefault="00B376A0" w:rsidP="002D6E0D">
            <w:pPr>
              <w:jc w:val="both"/>
            </w:pP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531E61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r w:rsidR="00500E87">
        <w:rPr>
          <w:i w:val="0"/>
          <w:sz w:val="24"/>
          <w:szCs w:val="24"/>
        </w:rPr>
        <w:t xml:space="preserve"> рішення 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263E8C1" w14:textId="4444187B" w:rsidR="00A1728F" w:rsidRPr="00A1728F" w:rsidRDefault="00A1728F" w:rsidP="00A1728F">
      <w:pPr>
        <w:spacing w:line="230" w:lineRule="auto"/>
        <w:ind w:firstLine="440"/>
        <w:jc w:val="both"/>
        <w:rPr>
          <w:rFonts w:ascii="Times New Roman" w:eastAsia="Times New Roman" w:hAnsi="Times New Roman" w:cs="Times New Roman"/>
          <w:iCs/>
        </w:rPr>
      </w:pPr>
      <w:r w:rsidRPr="00A1728F">
        <w:rPr>
          <w:rFonts w:ascii="Times New Roman" w:eastAsia="Times New Roman" w:hAnsi="Times New Roman" w:cs="Times New Roman"/>
          <w:iCs/>
        </w:rPr>
        <w:t xml:space="preserve">Відповідно до Податкового кодексу України та рішення Київської міської ради                              від 14.12.2023 № </w:t>
      </w:r>
      <w:r w:rsidRPr="00A1728F">
        <w:rPr>
          <w:rFonts w:ascii="Times New Roman" w:eastAsia="Times New Roman" w:hAnsi="Times New Roman" w:cs="Times New Roman"/>
          <w:bCs/>
          <w:iCs/>
          <w:shd w:val="clear" w:color="auto" w:fill="FFFFFF"/>
        </w:rPr>
        <w:t>7531/7572</w:t>
      </w:r>
      <w:r w:rsidRPr="00A1728F">
        <w:rPr>
          <w:rFonts w:ascii="Times New Roman" w:eastAsia="Times New Roman" w:hAnsi="Times New Roman" w:cs="Times New Roman"/>
          <w:iCs/>
        </w:rPr>
        <w:t xml:space="preserve"> «Про бюджет міста Києва на 2024 рік» орієнтовний розмір річної орендної плати складатиме: </w:t>
      </w:r>
      <w:r>
        <w:rPr>
          <w:rFonts w:ascii="Times New Roman" w:hAnsi="Times New Roman" w:cs="Times New Roman"/>
          <w:b/>
          <w:i/>
        </w:rPr>
        <w:t xml:space="preserve">344 555,16 </w:t>
      </w:r>
      <w:r w:rsidRPr="00A1728F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грн (3%) в рік. </w:t>
      </w:r>
    </w:p>
    <w:p w14:paraId="3A349F88" w14:textId="114218A0" w:rsidR="006A19DF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2FB77EC7" w14:textId="3587A711" w:rsidR="00500E87" w:rsidRDefault="00500E87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30210853" w14:textId="6B82B893" w:rsidR="00500E87" w:rsidRDefault="00500E87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10EFD604" w14:textId="1E3D56ED" w:rsidR="00500E87" w:rsidRDefault="00500E87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323C88AE" w14:textId="77777777" w:rsidR="00500E87" w:rsidRPr="00037B84" w:rsidRDefault="00500E87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22C34BBF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A1728F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044E1F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2"/>
      <w:footerReference w:type="default" r:id="rId13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044E1F">
          <w:rPr>
            <w:i w:val="0"/>
            <w:sz w:val="12"/>
            <w:szCs w:val="12"/>
            <w:lang w:val="ru-RU"/>
          </w:rPr>
          <w:t>-51975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044E1F">
          <w:rPr>
            <w:i w:val="0"/>
            <w:sz w:val="12"/>
            <w:szCs w:val="12"/>
            <w:lang w:val="ru-RU"/>
          </w:rPr>
          <w:t>12.02.2024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044E1F">
          <w:rPr>
            <w:i w:val="0"/>
            <w:sz w:val="12"/>
            <w:szCs w:val="12"/>
            <w:lang w:val="ru-RU"/>
          </w:rPr>
          <w:t>793907052</w:t>
        </w:r>
      </w:p>
      <w:p w14:paraId="0BF67CBB" w14:textId="146761B6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F7334" w:rsidRPr="009F733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1F37479B"/>
    <w:multiLevelType w:val="hybridMultilevel"/>
    <w:tmpl w:val="702E03D4"/>
    <w:lvl w:ilvl="0" w:tplc="9D82306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4E1F"/>
    <w:rsid w:val="00045F3B"/>
    <w:rsid w:val="00046D52"/>
    <w:rsid w:val="00047DE7"/>
    <w:rsid w:val="000502C7"/>
    <w:rsid w:val="00056A2A"/>
    <w:rsid w:val="00061CD4"/>
    <w:rsid w:val="0007405D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49C8"/>
    <w:rsid w:val="001D7910"/>
    <w:rsid w:val="001E09C8"/>
    <w:rsid w:val="001F6AC2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8700D"/>
    <w:rsid w:val="00393D88"/>
    <w:rsid w:val="003C2921"/>
    <w:rsid w:val="003D2E2D"/>
    <w:rsid w:val="003E0CE3"/>
    <w:rsid w:val="003E1B2C"/>
    <w:rsid w:val="003E769A"/>
    <w:rsid w:val="003F1994"/>
    <w:rsid w:val="003F4C80"/>
    <w:rsid w:val="0040429C"/>
    <w:rsid w:val="0041754B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0E87"/>
    <w:rsid w:val="00501B43"/>
    <w:rsid w:val="00512B86"/>
    <w:rsid w:val="005156AF"/>
    <w:rsid w:val="00531BB2"/>
    <w:rsid w:val="00532056"/>
    <w:rsid w:val="00533D8E"/>
    <w:rsid w:val="00540515"/>
    <w:rsid w:val="0054052D"/>
    <w:rsid w:val="00543C2B"/>
    <w:rsid w:val="0055361A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2C7B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97106"/>
    <w:rsid w:val="009C1880"/>
    <w:rsid w:val="009D6B57"/>
    <w:rsid w:val="009E6239"/>
    <w:rsid w:val="009F0D03"/>
    <w:rsid w:val="009F1DC6"/>
    <w:rsid w:val="009F4C72"/>
    <w:rsid w:val="009F7334"/>
    <w:rsid w:val="00A12E00"/>
    <w:rsid w:val="00A1728F"/>
    <w:rsid w:val="00A17C3C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6A0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BF2A68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CF62A2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2393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customStyle="1" w:styleId="ParagraphStyle">
    <w:name w:val="Paragraph Style"/>
    <w:rsid w:val="0007405D"/>
    <w:pPr>
      <w:widowControl/>
      <w:autoSpaceDE w:val="0"/>
      <w:autoSpaceDN w:val="0"/>
      <w:adjustRightInd w:val="0"/>
    </w:pPr>
    <w:rPr>
      <w:lang w:val="ru-RU" w:bidi="ar-SA"/>
    </w:rPr>
  </w:style>
  <w:style w:type="character" w:customStyle="1" w:styleId="fontstyle01">
    <w:name w:val="fontstyle01"/>
    <w:basedOn w:val="a0"/>
    <w:rsid w:val="00A17C3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000225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E797-3FCF-4E2C-BBE5-AD02AADF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11701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Романенко Ганна Василівна</cp:lastModifiedBy>
  <cp:revision>2</cp:revision>
  <cp:lastPrinted>2024-02-15T13:26:00Z</cp:lastPrinted>
  <dcterms:created xsi:type="dcterms:W3CDTF">2024-02-15T13:26:00Z</dcterms:created>
  <dcterms:modified xsi:type="dcterms:W3CDTF">2024-02-15T13:26:00Z</dcterms:modified>
</cp:coreProperties>
</file>