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773473537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773473537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286080">
        <w:rPr>
          <w:b/>
          <w:bCs/>
          <w:sz w:val="24"/>
          <w:szCs w:val="24"/>
          <w:lang w:val="ru-RU"/>
        </w:rPr>
        <w:t>ПЗН-48076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286080">
        <w:rPr>
          <w:b/>
          <w:bCs/>
          <w:sz w:val="24"/>
          <w:szCs w:val="24"/>
          <w:lang w:val="ru-RU"/>
        </w:rPr>
        <w:t>08.12.2022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286080" w:rsidRPr="00A677AE" w:rsidRDefault="00286080" w:rsidP="00286080">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286080">
      <w:pPr>
        <w:pStyle w:val="a7"/>
        <w:numPr>
          <w:ilvl w:val="0"/>
          <w:numId w:val="1"/>
        </w:numPr>
        <w:shd w:val="clear" w:color="auto" w:fill="auto"/>
        <w:tabs>
          <w:tab w:val="left" w:pos="851"/>
        </w:tabs>
        <w:ind w:left="567" w:firstLine="0"/>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286080" w:rsidRPr="007430D4" w:rsidTr="00802099">
        <w:trPr>
          <w:cantSplit/>
          <w:trHeight w:val="386"/>
        </w:trPr>
        <w:tc>
          <w:tcPr>
            <w:tcW w:w="3266" w:type="dxa"/>
          </w:tcPr>
          <w:p w:rsidR="00286080" w:rsidRPr="00E72A0D" w:rsidRDefault="00286080" w:rsidP="00286080">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286080" w:rsidRPr="007370B6" w:rsidRDefault="00286080" w:rsidP="00286080">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286080" w:rsidRPr="007430D4" w:rsidTr="00286080">
        <w:trPr>
          <w:cantSplit/>
          <w:trHeight w:val="691"/>
        </w:trPr>
        <w:tc>
          <w:tcPr>
            <w:tcW w:w="3266" w:type="dxa"/>
          </w:tcPr>
          <w:p w:rsidR="00286080" w:rsidRPr="00E72A0D" w:rsidRDefault="00286080" w:rsidP="00286080">
            <w:pPr>
              <w:pStyle w:val="a7"/>
              <w:rPr>
                <w:b w:val="0"/>
                <w:sz w:val="24"/>
                <w:szCs w:val="24"/>
                <w:lang w:val="uk-UA"/>
              </w:rPr>
            </w:pPr>
            <w:r w:rsidRPr="00E72A0D">
              <w:rPr>
                <w:b w:val="0"/>
                <w:sz w:val="24"/>
                <w:szCs w:val="24"/>
                <w:lang w:val="uk-UA"/>
              </w:rPr>
              <w:t>Перелік засновників</w:t>
            </w:r>
          </w:p>
          <w:p w:rsidR="00286080" w:rsidRPr="00E72A0D" w:rsidRDefault="00286080" w:rsidP="00286080">
            <w:pPr>
              <w:pStyle w:val="a7"/>
              <w:rPr>
                <w:b w:val="0"/>
                <w:sz w:val="24"/>
                <w:szCs w:val="24"/>
                <w:lang w:val="uk-UA"/>
              </w:rPr>
            </w:pPr>
            <w:r>
              <w:rPr>
                <w:b w:val="0"/>
                <w:sz w:val="24"/>
                <w:szCs w:val="24"/>
                <w:lang w:val="uk-UA"/>
              </w:rPr>
              <w:t>(учасників) юридичної особи</w:t>
            </w:r>
          </w:p>
        </w:tc>
        <w:tc>
          <w:tcPr>
            <w:tcW w:w="5948" w:type="dxa"/>
          </w:tcPr>
          <w:p w:rsidR="00286080" w:rsidRPr="00C37A2A" w:rsidRDefault="00286080" w:rsidP="00286080">
            <w:pPr>
              <w:pStyle w:val="a4"/>
              <w:shd w:val="clear" w:color="auto" w:fill="auto"/>
              <w:rPr>
                <w:b/>
                <w:i/>
                <w:iCs/>
                <w:sz w:val="24"/>
                <w:szCs w:val="24"/>
                <w:lang w:val="uk-UA"/>
              </w:rPr>
            </w:pPr>
            <w:r w:rsidRPr="00C37A2A">
              <w:rPr>
                <w:b/>
                <w:i/>
                <w:iCs/>
                <w:sz w:val="24"/>
                <w:szCs w:val="24"/>
                <w:lang w:val="uk-UA"/>
              </w:rPr>
              <w:t>КИЇВСЬКА МІСЬКА РАДА</w:t>
            </w:r>
          </w:p>
          <w:p w:rsidR="00286080" w:rsidRPr="00E72A0D" w:rsidRDefault="00286080" w:rsidP="00286080">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286080" w:rsidRPr="007430D4" w:rsidTr="00286080">
        <w:trPr>
          <w:cantSplit/>
          <w:trHeight w:val="559"/>
        </w:trPr>
        <w:tc>
          <w:tcPr>
            <w:tcW w:w="3266" w:type="dxa"/>
          </w:tcPr>
          <w:p w:rsidR="00286080" w:rsidRPr="00E72A0D" w:rsidRDefault="00286080" w:rsidP="00286080">
            <w:pPr>
              <w:pStyle w:val="a7"/>
              <w:rPr>
                <w:b w:val="0"/>
                <w:sz w:val="24"/>
                <w:szCs w:val="24"/>
                <w:lang w:val="uk-UA"/>
              </w:rPr>
            </w:pPr>
            <w:r w:rsidRPr="00E72A0D">
              <w:rPr>
                <w:b w:val="0"/>
                <w:sz w:val="24"/>
                <w:szCs w:val="24"/>
                <w:lang w:val="uk-UA"/>
              </w:rPr>
              <w:t>Кінцевий бе</w:t>
            </w:r>
            <w:r>
              <w:rPr>
                <w:b w:val="0"/>
                <w:sz w:val="24"/>
                <w:szCs w:val="24"/>
                <w:lang w:val="uk-UA"/>
              </w:rPr>
              <w:t>нефіціарний власник (контролер)</w:t>
            </w:r>
          </w:p>
        </w:tc>
        <w:tc>
          <w:tcPr>
            <w:tcW w:w="5948" w:type="dxa"/>
          </w:tcPr>
          <w:p w:rsidR="00286080" w:rsidRPr="00E72A0D" w:rsidRDefault="00286080" w:rsidP="00286080">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02.12.2022</w:t>
            </w:r>
            <w:r w:rsidRPr="00C27AA7">
              <w:rPr>
                <w:b w:val="0"/>
                <w:sz w:val="24"/>
                <w:szCs w:val="24"/>
              </w:rPr>
              <w:t xml:space="preserve"> </w:t>
            </w:r>
            <w:r w:rsidRPr="00C27AA7">
              <w:rPr>
                <w:i/>
                <w:sz w:val="24"/>
                <w:szCs w:val="24"/>
              </w:rPr>
              <w:t>№ 773473537</w:t>
            </w:r>
          </w:p>
        </w:tc>
      </w:tr>
    </w:tbl>
    <w:p w:rsidR="00C75A99" w:rsidRPr="00A677AE" w:rsidRDefault="00C75A99" w:rsidP="00C75A99">
      <w:pPr>
        <w:spacing w:line="1" w:lineRule="exact"/>
      </w:pPr>
    </w:p>
    <w:p w:rsidR="009121EC" w:rsidRPr="00286080" w:rsidRDefault="009121EC" w:rsidP="00C75A99">
      <w:pPr>
        <w:pStyle w:val="a7"/>
        <w:shd w:val="clear" w:color="auto" w:fill="auto"/>
        <w:ind w:left="353"/>
        <w:rPr>
          <w:sz w:val="24"/>
          <w:lang w:val="uk-UA"/>
        </w:rPr>
      </w:pPr>
    </w:p>
    <w:p w:rsidR="00D502B5" w:rsidRDefault="00D502B5" w:rsidP="00D502B5">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D502B5" w:rsidRDefault="00D502B5" w:rsidP="00D502B5">
      <w:pPr>
        <w:pStyle w:val="1"/>
        <w:shd w:val="clear" w:color="auto" w:fill="auto"/>
        <w:ind w:firstLine="567"/>
        <w:jc w:val="both"/>
        <w:rPr>
          <w:b/>
          <w:bCs/>
          <w:i w:val="0"/>
          <w:iCs w:val="0"/>
          <w:sz w:val="24"/>
          <w:szCs w:val="24"/>
          <w:lang w:val="uk-UA"/>
        </w:rPr>
      </w:pPr>
    </w:p>
    <w:p w:rsidR="00D502B5" w:rsidRPr="009841BD" w:rsidRDefault="00D502B5" w:rsidP="00D502B5">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D502B5" w:rsidRPr="009F05A4" w:rsidRDefault="00D502B5" w:rsidP="00D502B5">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D502B5" w:rsidRDefault="00D502B5" w:rsidP="00D502B5">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D502B5" w:rsidRDefault="00D502B5" w:rsidP="00D502B5">
      <w:pPr>
        <w:pStyle w:val="1"/>
        <w:spacing w:line="233" w:lineRule="auto"/>
        <w:ind w:firstLine="567"/>
        <w:jc w:val="both"/>
        <w:rPr>
          <w:i w:val="0"/>
          <w:sz w:val="24"/>
          <w:szCs w:val="24"/>
          <w:lang w:val="uk-UA"/>
        </w:rPr>
      </w:pPr>
    </w:p>
    <w:p w:rsidR="00D502B5" w:rsidRPr="009841BD" w:rsidRDefault="00D502B5" w:rsidP="00D502B5">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D502B5" w:rsidRDefault="00D502B5" w:rsidP="00D502B5">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D502B5" w:rsidRPr="009841BD" w:rsidRDefault="00D502B5" w:rsidP="00D502B5">
      <w:pPr>
        <w:pStyle w:val="1"/>
        <w:jc w:val="both"/>
        <w:rPr>
          <w:i w:val="0"/>
          <w:sz w:val="24"/>
          <w:szCs w:val="24"/>
          <w:lang w:val="uk-UA"/>
        </w:rPr>
      </w:pPr>
    </w:p>
    <w:p w:rsidR="00D502B5" w:rsidRPr="00C926B9" w:rsidRDefault="00D502B5" w:rsidP="00D502B5">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D502B5" w:rsidRPr="00C926B9" w:rsidRDefault="00D502B5" w:rsidP="00D502B5">
      <w:pPr>
        <w:pStyle w:val="a7"/>
        <w:shd w:val="clear" w:color="auto" w:fill="auto"/>
        <w:ind w:firstLine="567"/>
        <w:rPr>
          <w:sz w:val="24"/>
          <w:lang w:val="uk-UA"/>
        </w:rPr>
      </w:pPr>
    </w:p>
    <w:p w:rsidR="00D502B5" w:rsidRPr="009841BD" w:rsidRDefault="00D502B5" w:rsidP="00D502B5">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D502B5" w:rsidRDefault="00D502B5" w:rsidP="00D502B5">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9841BD">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D502B5" w:rsidRPr="009841BD" w:rsidRDefault="00D502B5" w:rsidP="00D502B5">
      <w:pPr>
        <w:pStyle w:val="1"/>
        <w:ind w:firstLine="567"/>
        <w:jc w:val="both"/>
        <w:rPr>
          <w:i w:val="0"/>
          <w:sz w:val="24"/>
          <w:szCs w:val="24"/>
          <w:lang w:val="uk-UA"/>
        </w:rPr>
      </w:pPr>
    </w:p>
    <w:p w:rsidR="00D502B5" w:rsidRPr="009841BD" w:rsidRDefault="00D502B5" w:rsidP="00D502B5">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D502B5" w:rsidRPr="009841BD" w:rsidRDefault="00D502B5" w:rsidP="00D502B5">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D502B5" w:rsidRDefault="00D502B5" w:rsidP="00D502B5">
      <w:pPr>
        <w:pStyle w:val="1"/>
        <w:tabs>
          <w:tab w:val="left" w:pos="426"/>
        </w:tabs>
        <w:ind w:firstLine="567"/>
        <w:rPr>
          <w:i w:val="0"/>
          <w:sz w:val="24"/>
          <w:szCs w:val="24"/>
          <w:lang w:val="uk-UA"/>
        </w:rPr>
      </w:pPr>
    </w:p>
    <w:p w:rsidR="00D502B5" w:rsidRPr="009841BD" w:rsidRDefault="00D502B5" w:rsidP="00D502B5">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D502B5" w:rsidRPr="009841BD" w:rsidRDefault="00D502B5" w:rsidP="00D502B5">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D502B5" w:rsidRPr="009841BD" w:rsidRDefault="00D502B5" w:rsidP="00D502B5">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D502B5" w:rsidRPr="009841BD" w:rsidRDefault="00D502B5" w:rsidP="00D502B5">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D502B5" w:rsidRPr="009841BD" w:rsidRDefault="00D502B5" w:rsidP="00D502B5">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D502B5" w:rsidRPr="00A677AE" w:rsidRDefault="00D502B5" w:rsidP="00D502B5">
      <w:pPr>
        <w:pStyle w:val="22"/>
        <w:shd w:val="clear" w:color="auto" w:fill="auto"/>
        <w:spacing w:after="0"/>
        <w:ind w:firstLine="0"/>
        <w:jc w:val="left"/>
        <w:rPr>
          <w:i w:val="0"/>
          <w:iCs w:val="0"/>
          <w:sz w:val="20"/>
          <w:szCs w:val="20"/>
          <w:lang w:val="uk-UA"/>
        </w:rPr>
      </w:pPr>
    </w:p>
    <w:p w:rsidR="00D502B5" w:rsidRPr="00B42B9F" w:rsidRDefault="00D502B5" w:rsidP="00D502B5">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D502B5" w:rsidRPr="00A67022" w:rsidRDefault="00D502B5" w:rsidP="00D502B5">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D502B5" w:rsidTr="0059509A">
        <w:trPr>
          <w:trHeight w:val="663"/>
        </w:trPr>
        <w:tc>
          <w:tcPr>
            <w:tcW w:w="4814" w:type="dxa"/>
            <w:hideMark/>
          </w:tcPr>
          <w:p w:rsidR="00D502B5" w:rsidRDefault="00D502B5" w:rsidP="0059509A">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D502B5" w:rsidRPr="006B7724" w:rsidRDefault="00D502B5" w:rsidP="0059509A">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D502B5">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883" w:rsidRDefault="00027883" w:rsidP="00C75A99">
      <w:r>
        <w:separator/>
      </w:r>
    </w:p>
  </w:endnote>
  <w:endnote w:type="continuationSeparator" w:id="0">
    <w:p w:rsidR="00027883" w:rsidRDefault="000278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883" w:rsidRDefault="00027883" w:rsidP="00C75A99">
      <w:r>
        <w:separator/>
      </w:r>
    </w:p>
  </w:footnote>
  <w:footnote w:type="continuationSeparator" w:id="0">
    <w:p w:rsidR="00027883" w:rsidRDefault="000278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286080">
          <w:rPr>
            <w:i w:val="0"/>
            <w:sz w:val="12"/>
            <w:szCs w:val="12"/>
            <w:lang w:val="ru-RU"/>
          </w:rPr>
          <w:t>ПЗН-48076</w:t>
        </w:r>
        <w:r w:rsidR="007145EF" w:rsidRPr="00C27AA7">
          <w:rPr>
            <w:i w:val="0"/>
            <w:sz w:val="12"/>
            <w:szCs w:val="12"/>
            <w:lang w:val="ru-RU"/>
          </w:rPr>
          <w:t xml:space="preserve"> </w:t>
        </w:r>
        <w:r w:rsidR="00F85E85" w:rsidRPr="00C27AA7">
          <w:rPr>
            <w:i w:val="0"/>
            <w:sz w:val="12"/>
            <w:szCs w:val="12"/>
            <w:lang w:val="ru-RU"/>
          </w:rPr>
          <w:t xml:space="preserve">від </w:t>
        </w:r>
        <w:r w:rsidR="007145EF" w:rsidRPr="00286080">
          <w:rPr>
            <w:i w:val="0"/>
            <w:sz w:val="12"/>
            <w:szCs w:val="12"/>
            <w:lang w:val="ru-RU"/>
          </w:rPr>
          <w:t>08.12.2022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286080">
          <w:rPr>
            <w:i w:val="0"/>
            <w:sz w:val="12"/>
            <w:szCs w:val="12"/>
            <w:lang w:val="ru-RU"/>
          </w:rPr>
          <w:t>773473537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73976" w:rsidRPr="00073976">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073976"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27883"/>
    <w:rsid w:val="00042AD6"/>
    <w:rsid w:val="00073976"/>
    <w:rsid w:val="000A1684"/>
    <w:rsid w:val="00103EC2"/>
    <w:rsid w:val="00163D20"/>
    <w:rsid w:val="001A7BD9"/>
    <w:rsid w:val="0022306E"/>
    <w:rsid w:val="00270501"/>
    <w:rsid w:val="00286080"/>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D502B5"/>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3545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2022-12-14T08:28:00Z</dcterms:created>
  <dcterms:modified xsi:type="dcterms:W3CDTF">2022-12-14T08:28:00Z</dcterms:modified>
</cp:coreProperties>
</file>