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766053282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766053282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EA9CA95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CA775D">
        <w:rPr>
          <w:b/>
          <w:bCs/>
          <w:sz w:val="24"/>
          <w:szCs w:val="24"/>
          <w:lang w:val="ru-RU"/>
        </w:rPr>
        <w:t>ПЗН-64241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CA775D">
        <w:rPr>
          <w:b/>
          <w:bCs/>
          <w:sz w:val="24"/>
          <w:szCs w:val="24"/>
          <w:lang w:val="ru-RU"/>
        </w:rPr>
        <w:t>21.06.2024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5682CAD9" w14:textId="77777777" w:rsidR="00CA775D" w:rsidRDefault="00CA775D" w:rsidP="00CA775D">
      <w:pPr>
        <w:pStyle w:val="1"/>
        <w:shd w:val="clear" w:color="auto" w:fill="auto"/>
        <w:spacing w:after="0" w:line="226" w:lineRule="auto"/>
        <w:ind w:right="2271" w:firstLine="0"/>
        <w:jc w:val="center"/>
        <w:rPr>
          <w:b/>
          <w:i/>
          <w:iCs/>
          <w:sz w:val="24"/>
          <w:szCs w:val="24"/>
        </w:rPr>
      </w:pPr>
      <w:r w:rsidRPr="00CA775D">
        <w:rPr>
          <w:b/>
          <w:i/>
          <w:iCs/>
          <w:sz w:val="24"/>
          <w:szCs w:val="24"/>
        </w:rPr>
        <w:t>Про безоплатну передачу громадянам Туріну Ігорю Юхимовичу</w:t>
      </w:r>
    </w:p>
    <w:p w14:paraId="3F4A8B39" w14:textId="77777777" w:rsidR="00CA775D" w:rsidRDefault="00CA775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sz w:val="24"/>
          <w:szCs w:val="24"/>
        </w:rPr>
      </w:pPr>
      <w:r w:rsidRPr="00CA775D">
        <w:rPr>
          <w:b/>
          <w:i/>
          <w:iCs/>
          <w:sz w:val="24"/>
          <w:szCs w:val="24"/>
        </w:rPr>
        <w:t xml:space="preserve">та Туріну Володимиру Юхимовичу земельних ділянок </w:t>
      </w:r>
    </w:p>
    <w:p w14:paraId="4EE6C19C" w14:textId="77777777" w:rsidR="00CA775D" w:rsidRDefault="00CA775D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sz w:val="24"/>
          <w:szCs w:val="24"/>
        </w:rPr>
      </w:pPr>
      <w:r w:rsidRPr="00CA775D">
        <w:rPr>
          <w:b/>
          <w:i/>
          <w:iCs/>
          <w:sz w:val="24"/>
          <w:szCs w:val="24"/>
        </w:rPr>
        <w:t xml:space="preserve">на вул. Федора Максименка, 34 в Оболонському районі </w:t>
      </w:r>
    </w:p>
    <w:p w14:paraId="3D808EFA" w14:textId="392B5849" w:rsidR="00E17376" w:rsidRPr="003774B2" w:rsidRDefault="00CA775D" w:rsidP="00CA775D">
      <w:pPr>
        <w:pStyle w:val="1"/>
        <w:shd w:val="clear" w:color="auto" w:fill="auto"/>
        <w:spacing w:after="0" w:line="226" w:lineRule="auto"/>
        <w:ind w:right="2409" w:firstLine="142"/>
        <w:jc w:val="center"/>
        <w:rPr>
          <w:sz w:val="24"/>
          <w:szCs w:val="24"/>
        </w:rPr>
      </w:pPr>
      <w:r w:rsidRPr="00CA775D">
        <w:rPr>
          <w:b/>
          <w:i/>
          <w:iCs/>
          <w:sz w:val="24"/>
          <w:szCs w:val="24"/>
        </w:rPr>
        <w:t>міста Києва</w:t>
      </w:r>
    </w:p>
    <w:p w14:paraId="07F9F426" w14:textId="31AFB0FF" w:rsidR="004F0681" w:rsidRDefault="00604821" w:rsidP="00CA775D">
      <w:pPr>
        <w:pStyle w:val="1"/>
        <w:numPr>
          <w:ilvl w:val="0"/>
          <w:numId w:val="3"/>
        </w:numPr>
        <w:shd w:val="clear" w:color="auto" w:fill="auto"/>
        <w:spacing w:after="0"/>
        <w:ind w:left="567" w:hanging="283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</w:t>
      </w:r>
      <w:r w:rsidR="007716B3">
        <w:rPr>
          <w:b/>
          <w:bCs/>
          <w:sz w:val="24"/>
          <w:szCs w:val="24"/>
        </w:rPr>
        <w:t>і</w:t>
      </w:r>
      <w:r w:rsidRPr="003774B2">
        <w:rPr>
          <w:b/>
          <w:bCs/>
          <w:sz w:val="24"/>
          <w:szCs w:val="24"/>
        </w:rPr>
        <w:t xml:space="preserve"> особ</w:t>
      </w:r>
      <w:r w:rsidR="007716B3">
        <w:rPr>
          <w:b/>
          <w:bCs/>
          <w:sz w:val="24"/>
          <w:szCs w:val="24"/>
        </w:rPr>
        <w:t>и</w:t>
      </w:r>
      <w:r w:rsidRPr="003774B2">
        <w:rPr>
          <w:b/>
          <w:bCs/>
          <w:sz w:val="24"/>
          <w:szCs w:val="24"/>
        </w:rPr>
        <w:t>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27D4CE59" w:rsidR="00E659C4" w:rsidRPr="00E659C4" w:rsidRDefault="00CA775D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 w:rsidRPr="00CA775D">
              <w:rPr>
                <w:b/>
                <w:i/>
                <w:sz w:val="24"/>
                <w:szCs w:val="24"/>
                <w:lang w:val="ru-RU"/>
              </w:rPr>
              <w:t>Турін</w:t>
            </w:r>
            <w:proofErr w:type="spellEnd"/>
            <w:r w:rsidRPr="00CA775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5D">
              <w:rPr>
                <w:b/>
                <w:i/>
                <w:sz w:val="24"/>
                <w:szCs w:val="24"/>
                <w:lang w:val="ru-RU"/>
              </w:rPr>
              <w:t>Ігор</w:t>
            </w:r>
            <w:proofErr w:type="spellEnd"/>
            <w:r w:rsidRPr="00CA775D">
              <w:rPr>
                <w:b/>
                <w:i/>
                <w:sz w:val="24"/>
                <w:szCs w:val="24"/>
                <w:lang w:val="ru-RU"/>
              </w:rPr>
              <w:t xml:space="preserve"> Юхимович, </w:t>
            </w:r>
            <w:proofErr w:type="spellStart"/>
            <w:r w:rsidRPr="00CA775D">
              <w:rPr>
                <w:b/>
                <w:i/>
                <w:sz w:val="24"/>
                <w:szCs w:val="24"/>
                <w:lang w:val="ru-RU"/>
              </w:rPr>
              <w:t>Турін</w:t>
            </w:r>
            <w:proofErr w:type="spellEnd"/>
            <w:r w:rsidRPr="00CA775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75D">
              <w:rPr>
                <w:b/>
                <w:i/>
                <w:sz w:val="24"/>
                <w:szCs w:val="24"/>
                <w:lang w:val="ru-RU"/>
              </w:rPr>
              <w:t>Володимир</w:t>
            </w:r>
            <w:proofErr w:type="spellEnd"/>
            <w:r w:rsidRPr="00CA775D">
              <w:rPr>
                <w:b/>
                <w:i/>
                <w:sz w:val="24"/>
                <w:szCs w:val="24"/>
                <w:lang w:val="ru-RU"/>
              </w:rPr>
              <w:t xml:space="preserve"> Юхимович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26D40CDC" w:rsidR="00E659C4" w:rsidRPr="00E659C4" w:rsidRDefault="00CA775D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CA775D">
              <w:rPr>
                <w:b/>
                <w:i/>
                <w:sz w:val="24"/>
                <w:szCs w:val="24"/>
              </w:rPr>
              <w:t>від 15.03.2024 номер 766053282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3E895BB1" w14:textId="201A1F16" w:rsidR="00CA775D" w:rsidRPr="00CA775D" w:rsidRDefault="00604821" w:rsidP="00CA775D">
      <w:pPr>
        <w:pStyle w:val="a7"/>
        <w:shd w:val="clear" w:color="auto" w:fill="auto"/>
        <w:spacing w:line="240" w:lineRule="auto"/>
        <w:ind w:firstLine="284"/>
        <w:rPr>
          <w:color w:val="auto"/>
          <w:sz w:val="24"/>
          <w:szCs w:val="24"/>
        </w:rPr>
      </w:pPr>
      <w:r w:rsidRPr="00CA775D">
        <w:rPr>
          <w:sz w:val="24"/>
          <w:szCs w:val="24"/>
        </w:rPr>
        <w:t xml:space="preserve">2. </w:t>
      </w:r>
      <w:r w:rsidR="00CA775D" w:rsidRPr="00CA775D">
        <w:rPr>
          <w:color w:val="auto"/>
          <w:sz w:val="24"/>
          <w:szCs w:val="24"/>
        </w:rPr>
        <w:t xml:space="preserve">Відомості про земельні ділянки з кадастровими номерами: </w:t>
      </w:r>
      <w:r w:rsidR="00CA775D">
        <w:rPr>
          <w:color w:val="auto"/>
          <w:sz w:val="24"/>
          <w:szCs w:val="24"/>
        </w:rPr>
        <w:t>8</w:t>
      </w:r>
      <w:r w:rsidR="00CA775D" w:rsidRPr="00CA775D">
        <w:rPr>
          <w:color w:val="auto"/>
          <w:sz w:val="24"/>
          <w:szCs w:val="24"/>
        </w:rPr>
        <w:t>000000000:85:068:0027; 8000000000:85:068:0020; 8000000000:85:068:0021.</w:t>
      </w:r>
    </w:p>
    <w:p w14:paraId="4C23D66D" w14:textId="6EC11066" w:rsidR="00731DC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544"/>
      </w:tblGrid>
      <w:tr w:rsidR="00CA775D" w:rsidRPr="0061239E" w14:paraId="602AA4B5" w14:textId="77777777" w:rsidTr="00A93330">
        <w:tc>
          <w:tcPr>
            <w:tcW w:w="3085" w:type="dxa"/>
          </w:tcPr>
          <w:p w14:paraId="592E9D6D" w14:textId="77777777" w:rsidR="00CA775D" w:rsidRPr="00104BBD" w:rsidRDefault="00CA775D" w:rsidP="000C57C5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544" w:type="dxa"/>
          </w:tcPr>
          <w:p w14:paraId="6C5A52E2" w14:textId="77777777" w:rsidR="00CA775D" w:rsidRPr="0061239E" w:rsidRDefault="00CA775D" w:rsidP="000C57C5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Федора Максименка, 34 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в 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Оболонському районі міста Києва </w:t>
            </w:r>
          </w:p>
        </w:tc>
      </w:tr>
      <w:tr w:rsidR="00CA775D" w:rsidRPr="0061239E" w14:paraId="5EEB5913" w14:textId="77777777" w:rsidTr="00A93330">
        <w:trPr>
          <w:trHeight w:val="880"/>
        </w:trPr>
        <w:tc>
          <w:tcPr>
            <w:tcW w:w="3085" w:type="dxa"/>
          </w:tcPr>
          <w:p w14:paraId="5EFD904A" w14:textId="77777777" w:rsidR="00CA775D" w:rsidRPr="00104BBD" w:rsidRDefault="00CA775D" w:rsidP="000C57C5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104BBD">
              <w:rPr>
                <w:b w:val="0"/>
                <w:i/>
                <w:color w:val="auto"/>
                <w:sz w:val="24"/>
                <w:szCs w:val="24"/>
              </w:rPr>
              <w:t>Площ</w:t>
            </w:r>
            <w:r>
              <w:rPr>
                <w:b w:val="0"/>
                <w:i/>
                <w:color w:val="auto"/>
                <w:sz w:val="24"/>
                <w:szCs w:val="24"/>
              </w:rPr>
              <w:t>і</w:t>
            </w:r>
            <w:r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                     </w:t>
            </w:r>
          </w:p>
        </w:tc>
        <w:tc>
          <w:tcPr>
            <w:tcW w:w="6544" w:type="dxa"/>
          </w:tcPr>
          <w:p w14:paraId="40954D3C" w14:textId="77777777" w:rsidR="00CA775D" w:rsidRDefault="00CA775D" w:rsidP="000C57C5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8000000000:85:068:0027- 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>0,1200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га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>;</w:t>
            </w:r>
          </w:p>
          <w:p w14:paraId="3AC0D548" w14:textId="77777777" w:rsidR="00CA775D" w:rsidRDefault="00CA775D" w:rsidP="000C57C5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1A2F38">
              <w:rPr>
                <w:b w:val="0"/>
                <w:i/>
                <w:color w:val="auto"/>
                <w:sz w:val="24"/>
                <w:szCs w:val="24"/>
              </w:rPr>
              <w:t>8000000000:85:068:002</w:t>
            </w:r>
            <w:r>
              <w:rPr>
                <w:b w:val="0"/>
                <w:i/>
                <w:color w:val="auto"/>
                <w:sz w:val="24"/>
                <w:szCs w:val="24"/>
              </w:rPr>
              <w:t>0</w:t>
            </w:r>
            <w:r w:rsidRPr="001A2F38">
              <w:rPr>
                <w:b w:val="0"/>
                <w:i/>
                <w:color w:val="auto"/>
                <w:sz w:val="24"/>
                <w:szCs w:val="24"/>
              </w:rPr>
              <w:t xml:space="preserve">- </w:t>
            </w:r>
            <w:r w:rsidRPr="002C3486">
              <w:rPr>
                <w:b w:val="0"/>
                <w:i/>
                <w:color w:val="auto"/>
                <w:sz w:val="24"/>
                <w:szCs w:val="24"/>
              </w:rPr>
              <w:t>0,1000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га;</w:t>
            </w:r>
            <w:r w:rsidRPr="002C3486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  <w:p w14:paraId="12C306DF" w14:textId="77777777" w:rsidR="00CA775D" w:rsidRPr="0061239E" w:rsidRDefault="00CA775D" w:rsidP="000C57C5">
            <w:pPr>
              <w:shd w:val="clear" w:color="auto" w:fill="FFFFFF"/>
              <w:spacing w:line="221" w:lineRule="auto"/>
              <w:jc w:val="both"/>
              <w:rPr>
                <w:b/>
                <w:i/>
                <w:color w:val="auto"/>
              </w:rPr>
            </w:pPr>
            <w:r w:rsidRPr="001A2F3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8000000000:85:068:002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1A2F3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- 0,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</w:t>
            </w:r>
            <w:r w:rsidRPr="001A2F3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100 га </w:t>
            </w:r>
          </w:p>
        </w:tc>
      </w:tr>
      <w:tr w:rsidR="00CA775D" w:rsidRPr="0061239E" w14:paraId="15A3041C" w14:textId="77777777" w:rsidTr="00A93330">
        <w:tc>
          <w:tcPr>
            <w:tcW w:w="3085" w:type="dxa"/>
          </w:tcPr>
          <w:p w14:paraId="05C5135C" w14:textId="77777777" w:rsidR="00CA775D" w:rsidRPr="00104BBD" w:rsidRDefault="00CA775D" w:rsidP="000C57C5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544" w:type="dxa"/>
          </w:tcPr>
          <w:p w14:paraId="748461A6" w14:textId="77777777" w:rsidR="00CA775D" w:rsidRPr="0061239E" w:rsidRDefault="00CA775D" w:rsidP="000C57C5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A775D" w:rsidRPr="0061239E" w14:paraId="5FFB2512" w14:textId="77777777" w:rsidTr="00A93330">
        <w:tc>
          <w:tcPr>
            <w:tcW w:w="3085" w:type="dxa"/>
          </w:tcPr>
          <w:p w14:paraId="29E161BE" w14:textId="77777777" w:rsidR="00CA775D" w:rsidRPr="00912DE4" w:rsidRDefault="00CA775D" w:rsidP="000C57C5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544" w:type="dxa"/>
          </w:tcPr>
          <w:p w14:paraId="466F7902" w14:textId="7CA7FF6C" w:rsidR="00CA775D" w:rsidRPr="00912DE4" w:rsidRDefault="00CA775D" w:rsidP="000C57C5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8000000000:85:068:0027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- землі сільськогосподарського призначення</w:t>
            </w:r>
          </w:p>
          <w:p w14:paraId="3D822A67" w14:textId="0C1AC862" w:rsidR="00CA775D" w:rsidRPr="00912DE4" w:rsidRDefault="00CA775D" w:rsidP="000C57C5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8000000000:85:068:0020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 xml:space="preserve">- землі житлової та громадської забудови </w:t>
            </w:r>
          </w:p>
          <w:p w14:paraId="45A181BE" w14:textId="77777777" w:rsidR="00CA775D" w:rsidRPr="0061239E" w:rsidRDefault="00CA775D" w:rsidP="000C57C5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8000000000:85:068:0021</w:t>
            </w:r>
            <w:r>
              <w:rPr>
                <w:rStyle w:val="af"/>
                <w:b w:val="0"/>
                <w:color w:val="auto"/>
                <w:sz w:val="24"/>
                <w:szCs w:val="24"/>
              </w:rPr>
              <w:t xml:space="preserve"> </w:t>
            </w:r>
            <w:r w:rsidRPr="00912DE4">
              <w:rPr>
                <w:rStyle w:val="af"/>
                <w:b w:val="0"/>
                <w:color w:val="auto"/>
                <w:sz w:val="24"/>
                <w:szCs w:val="24"/>
              </w:rPr>
              <w:t>- землі житлової та громадської забудови</w:t>
            </w:r>
          </w:p>
        </w:tc>
      </w:tr>
      <w:tr w:rsidR="00CA775D" w:rsidRPr="0061239E" w14:paraId="1BBDEE14" w14:textId="77777777" w:rsidTr="00A93330">
        <w:tc>
          <w:tcPr>
            <w:tcW w:w="3085" w:type="dxa"/>
          </w:tcPr>
          <w:p w14:paraId="40CA1595" w14:textId="77777777" w:rsidR="00CA775D" w:rsidRPr="00104BBD" w:rsidRDefault="00CA775D" w:rsidP="000C57C5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Ц</w:t>
            </w:r>
            <w:r w:rsidRPr="002C3486">
              <w:rPr>
                <w:b w:val="0"/>
                <w:i/>
                <w:color w:val="auto"/>
                <w:sz w:val="24"/>
                <w:szCs w:val="24"/>
              </w:rPr>
              <w:t>ільове  призначення:</w:t>
            </w:r>
            <w:r w:rsidRPr="00104BBD">
              <w:rPr>
                <w:b w:val="0"/>
                <w:i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6544" w:type="dxa"/>
          </w:tcPr>
          <w:p w14:paraId="23AABA24" w14:textId="77777777" w:rsidR="00CA775D" w:rsidRDefault="00CA775D" w:rsidP="000C57C5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20BFA">
              <w:rPr>
                <w:b w:val="0"/>
                <w:i/>
                <w:color w:val="auto"/>
                <w:sz w:val="24"/>
                <w:szCs w:val="24"/>
              </w:rPr>
              <w:t>8000000000:85:068:0027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- 01.05 - для індивідуального садівництва;</w:t>
            </w:r>
          </w:p>
          <w:p w14:paraId="67B3B5B7" w14:textId="77777777" w:rsidR="00CA775D" w:rsidRDefault="00CA775D" w:rsidP="000C57C5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20BFA">
              <w:rPr>
                <w:b w:val="0"/>
                <w:i/>
                <w:color w:val="auto"/>
                <w:sz w:val="24"/>
                <w:szCs w:val="24"/>
              </w:rPr>
              <w:t>8000000000:85:068:0020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- 02.01 - </w:t>
            </w:r>
            <w:r w:rsidRPr="00E918C7">
              <w:rPr>
                <w:b w:val="0"/>
                <w:i/>
                <w:color w:val="auto"/>
                <w:sz w:val="24"/>
                <w:szCs w:val="24"/>
              </w:rPr>
              <w:t>для будівництва і обслуговування жилого будинку, господарських будівель і споруд (присадибна ділянка)</w:t>
            </w:r>
            <w:r>
              <w:rPr>
                <w:b w:val="0"/>
                <w:i/>
                <w:color w:val="auto"/>
                <w:sz w:val="24"/>
                <w:szCs w:val="24"/>
              </w:rPr>
              <w:t>;</w:t>
            </w:r>
          </w:p>
          <w:p w14:paraId="744F27FC" w14:textId="77777777" w:rsidR="00CA775D" w:rsidRPr="0061239E" w:rsidRDefault="00CA775D" w:rsidP="000C57C5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20BFA">
              <w:rPr>
                <w:b w:val="0"/>
                <w:i/>
                <w:color w:val="auto"/>
                <w:sz w:val="24"/>
                <w:szCs w:val="24"/>
              </w:rPr>
              <w:t>8000000000:85:068:0021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- 02.05 - </w:t>
            </w:r>
            <w:r w:rsidRPr="002C3486">
              <w:rPr>
                <w:b w:val="0"/>
                <w:i/>
                <w:color w:val="auto"/>
                <w:sz w:val="24"/>
                <w:szCs w:val="24"/>
              </w:rPr>
              <w:t>для будівництва індивідуальних гараж</w:t>
            </w:r>
            <w:r>
              <w:rPr>
                <w:b w:val="0"/>
                <w:i/>
                <w:color w:val="auto"/>
                <w:sz w:val="24"/>
                <w:szCs w:val="24"/>
              </w:rPr>
              <w:t>ів</w:t>
            </w:r>
          </w:p>
        </w:tc>
      </w:tr>
    </w:tbl>
    <w:p w14:paraId="7F9F0386" w14:textId="77777777" w:rsidR="00CA775D" w:rsidRPr="003774B2" w:rsidRDefault="00CA775D" w:rsidP="00CA775D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20C8A545" w:rsidR="004F0681" w:rsidRPr="00CA775D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C791312" w14:textId="57E08441" w:rsidR="00CA775D" w:rsidRPr="00CA775D" w:rsidRDefault="00CA775D" w:rsidP="00CA775D">
      <w:pPr>
        <w:pStyle w:val="1"/>
        <w:shd w:val="clear" w:color="auto" w:fill="auto"/>
        <w:tabs>
          <w:tab w:val="left" w:pos="671"/>
        </w:tabs>
        <w:spacing w:after="40"/>
        <w:jc w:val="both"/>
        <w:rPr>
          <w:bCs/>
          <w:sz w:val="24"/>
          <w:szCs w:val="24"/>
        </w:rPr>
      </w:pPr>
      <w:r w:rsidRPr="00CA775D">
        <w:rPr>
          <w:bCs/>
          <w:sz w:val="24"/>
          <w:szCs w:val="24"/>
        </w:rPr>
        <w:t xml:space="preserve">Відповідно до Земельного кодексу України та на виконання постанови Шевченківського районного суду м. Києва від 27.06.2012 у справі № 2610/3926/2012, з урахуванням ухвали Шевченківського районного суду м. Києва від 11.06.2021 у справі № 2610/3926/2012, постанови Шостого апеляційного адміністративного суду від 01.02.2021 у справі                               № 826/5426/16, ухвали Шостого апеляційного адміністративного суду від 09.06.2021 у справі № 826/5426/16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CA775D">
        <w:rPr>
          <w:bCs/>
          <w:sz w:val="24"/>
          <w:szCs w:val="24"/>
        </w:rPr>
        <w:t>проєкт</w:t>
      </w:r>
      <w:proofErr w:type="spellEnd"/>
      <w:r w:rsidRPr="00CA775D">
        <w:rPr>
          <w:bCs/>
          <w:sz w:val="24"/>
          <w:szCs w:val="24"/>
        </w:rPr>
        <w:t xml:space="preserve"> рішення Київської міської ради «Про безоплатну передачу громадянам Туріну Ігорю Юхимовичу та Туріну Володимиру Юхимовичу земельних ділянок на вул. Федора Максименка, 34 в Оболонському районі міста Києва».</w:t>
      </w:r>
    </w:p>
    <w:p w14:paraId="589A8DAD" w14:textId="77777777" w:rsidR="00CA775D" w:rsidRPr="003774B2" w:rsidRDefault="00CA775D" w:rsidP="00CA775D">
      <w:pPr>
        <w:pStyle w:val="1"/>
        <w:shd w:val="clear" w:color="auto" w:fill="auto"/>
        <w:tabs>
          <w:tab w:val="left" w:pos="671"/>
        </w:tabs>
        <w:spacing w:after="40"/>
        <w:rPr>
          <w:sz w:val="24"/>
          <w:szCs w:val="24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B122AC4" w14:textId="77777777" w:rsidR="00CA775D" w:rsidRDefault="00CA775D" w:rsidP="00CA775D">
      <w:pPr>
        <w:pStyle w:val="1"/>
        <w:shd w:val="clear" w:color="auto" w:fill="auto"/>
        <w:spacing w:after="120" w:line="233" w:lineRule="auto"/>
        <w:ind w:firstLine="380"/>
        <w:jc w:val="both"/>
        <w:rPr>
          <w:color w:val="auto"/>
          <w:sz w:val="24"/>
          <w:szCs w:val="24"/>
        </w:rPr>
      </w:pPr>
      <w:r w:rsidRPr="00D82DAE">
        <w:rPr>
          <w:color w:val="auto"/>
          <w:sz w:val="24"/>
          <w:szCs w:val="24"/>
        </w:rPr>
        <w:t xml:space="preserve">Метою прийняття рішення є виконання постанови Шевченківського районного суду </w:t>
      </w:r>
      <w:r>
        <w:rPr>
          <w:color w:val="auto"/>
          <w:sz w:val="24"/>
          <w:szCs w:val="24"/>
        </w:rPr>
        <w:t xml:space="preserve">                   </w:t>
      </w:r>
      <w:r w:rsidRPr="00D82DAE">
        <w:rPr>
          <w:color w:val="auto"/>
          <w:sz w:val="24"/>
          <w:szCs w:val="24"/>
        </w:rPr>
        <w:t xml:space="preserve">м. Києва від 27.06.2012 у справі № 2610/3926/2012, з урахуванням ухвали Шевченківського районного суду м. Києва від 11.06.2021 у справі № 2610/3926/2012, постанови Шостого </w:t>
      </w:r>
      <w:r w:rsidRPr="00D82DAE">
        <w:rPr>
          <w:color w:val="auto"/>
          <w:sz w:val="24"/>
          <w:szCs w:val="24"/>
        </w:rPr>
        <w:lastRenderedPageBreak/>
        <w:t>апеляційного адміністративного суду від 01.02.2021 у справі № 826/5426/16, ухвали Шостого апеляційного адміністративного суду від 09.06.2021 у справі № 826/5426/16.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2836"/>
        <w:gridCol w:w="6832"/>
      </w:tblGrid>
      <w:tr w:rsidR="00E12AC0" w:rsidRPr="003774B2" w14:paraId="4A887E4C" w14:textId="77777777" w:rsidTr="006B6E7F">
        <w:trPr>
          <w:cantSplit/>
          <w:trHeight w:val="822"/>
        </w:trPr>
        <w:tc>
          <w:tcPr>
            <w:tcW w:w="2836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832" w:type="dxa"/>
          </w:tcPr>
          <w:p w14:paraId="318FC4C1" w14:textId="77777777" w:rsidR="00CA775D" w:rsidRPr="00CA775D" w:rsidRDefault="00CA775D" w:rsidP="00CA775D">
            <w:pPr>
              <w:pStyle w:val="1"/>
              <w:jc w:val="both"/>
              <w:rPr>
                <w:i/>
                <w:sz w:val="24"/>
                <w:szCs w:val="24"/>
              </w:rPr>
            </w:pPr>
            <w:r w:rsidRPr="00CA775D">
              <w:rPr>
                <w:i/>
                <w:sz w:val="24"/>
                <w:szCs w:val="24"/>
              </w:rPr>
              <w:t xml:space="preserve">Згідно з доданими до справи документами на земельних ділянках з кадастровими номерами 8000000000:85:068:0027; 8000000000:85:068:0020; 8000000000:85:068:0021 розташовується домоволодіння № 34 по вул. Червонофлотській (теперішня назва – вул. Федора Максименка) в м. Києві, що перебуває у спільній частковій власності, зокрема: </w:t>
            </w:r>
          </w:p>
          <w:p w14:paraId="737BF9CD" w14:textId="77777777" w:rsidR="00CA775D" w:rsidRPr="00CA775D" w:rsidRDefault="00CA775D" w:rsidP="00CA775D">
            <w:pPr>
              <w:pStyle w:val="1"/>
              <w:jc w:val="both"/>
              <w:rPr>
                <w:i/>
                <w:sz w:val="24"/>
                <w:szCs w:val="24"/>
              </w:rPr>
            </w:pPr>
            <w:r w:rsidRPr="00CA775D">
              <w:rPr>
                <w:i/>
                <w:sz w:val="24"/>
                <w:szCs w:val="24"/>
              </w:rPr>
              <w:t>-</w:t>
            </w:r>
            <w:r w:rsidRPr="00CA775D">
              <w:rPr>
                <w:i/>
                <w:sz w:val="24"/>
                <w:szCs w:val="24"/>
              </w:rPr>
              <w:tab/>
              <w:t>57/100 частини  будинку у власності Туріна В.Ю. на підставі свідоцтва про право на спадщину за заповітом від 25.06.1984 № 5ДН-7860, що зареєстроване в Київському міському бюро технічної інвентаризації від 10.07.1981 № 8085 та договору дарування від 17.09.1997 № 4-3167;</w:t>
            </w:r>
          </w:p>
          <w:p w14:paraId="687E2619" w14:textId="12F6CC1A" w:rsidR="00CA775D" w:rsidRPr="00096F55" w:rsidRDefault="00CA775D" w:rsidP="00CA775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CA775D">
              <w:rPr>
                <w:i/>
                <w:sz w:val="24"/>
                <w:szCs w:val="24"/>
              </w:rPr>
              <w:t>-</w:t>
            </w:r>
            <w:r w:rsidRPr="00CA775D">
              <w:rPr>
                <w:i/>
                <w:sz w:val="24"/>
                <w:szCs w:val="24"/>
              </w:rPr>
              <w:tab/>
              <w:t>43/100 частини будинку у власності Туріна І.Ю. на підставі договору дарування від 17.09.1997 №4-3167.</w:t>
            </w:r>
          </w:p>
        </w:tc>
      </w:tr>
      <w:tr w:rsidR="00E12AC0" w:rsidRPr="003774B2" w14:paraId="44C55D8C" w14:textId="77777777" w:rsidTr="006B6E7F">
        <w:trPr>
          <w:cantSplit/>
          <w:trHeight w:val="1644"/>
        </w:trPr>
        <w:tc>
          <w:tcPr>
            <w:tcW w:w="2836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832" w:type="dxa"/>
          </w:tcPr>
          <w:p w14:paraId="5ACEA60E" w14:textId="7841424A" w:rsidR="00E12AC0" w:rsidRPr="00E12AC0" w:rsidRDefault="00CA775D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CA775D">
              <w:rPr>
                <w:i/>
                <w:sz w:val="24"/>
                <w:szCs w:val="24"/>
              </w:rPr>
              <w:t>Відповідно до детального плану території району Пуща-Водиця, затвердженого рішенням Київської міської ради від 09.07.2009 № 787/1843, земельні ділянки з кадастровими номерами 8000000000:85:068:0027, 8000000000:85:068:0020, 8000000000:85:068:0021 за функціональним призначенням належать до території житлової садибної забудови.</w:t>
            </w:r>
          </w:p>
        </w:tc>
      </w:tr>
      <w:tr w:rsidR="00E12AC0" w:rsidRPr="003774B2" w14:paraId="53F755AF" w14:textId="77777777" w:rsidTr="006B6E7F">
        <w:trPr>
          <w:cantSplit/>
          <w:trHeight w:val="1091"/>
        </w:trPr>
        <w:tc>
          <w:tcPr>
            <w:tcW w:w="2836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32" w:type="dxa"/>
          </w:tcPr>
          <w:p w14:paraId="14888231" w14:textId="196B9056" w:rsidR="00E12AC0" w:rsidRPr="00E12AC0" w:rsidRDefault="00A93330" w:rsidP="00EA27C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A93330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              від 28.03.2002 № 370/1804</w:t>
            </w:r>
            <w:r w:rsidR="00CA775D" w:rsidRPr="00CA775D">
              <w:rPr>
                <w:i/>
                <w:sz w:val="24"/>
                <w:szCs w:val="24"/>
              </w:rPr>
              <w:t>, земельні ділянки з кадастровими номерами 8000000000:85:068:0027, 8000000000:85:068:0020, 8000000000:85:068:0021 за функціональним призначенням належить до території житлової садибної забудови.</w:t>
            </w:r>
          </w:p>
        </w:tc>
      </w:tr>
      <w:tr w:rsidR="00765699" w:rsidRPr="003774B2" w14:paraId="67EEAA64" w14:textId="77777777" w:rsidTr="006B6E7F">
        <w:trPr>
          <w:cantSplit/>
          <w:trHeight w:val="553"/>
        </w:trPr>
        <w:tc>
          <w:tcPr>
            <w:tcW w:w="2836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832" w:type="dxa"/>
          </w:tcPr>
          <w:p w14:paraId="3A54F2AD" w14:textId="17387A96" w:rsidR="00765699" w:rsidRPr="003774B2" w:rsidRDefault="00CA775D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A775D">
              <w:rPr>
                <w:rFonts w:ascii="Times New Roman" w:hAnsi="Times New Roman" w:cs="Times New Roman"/>
                <w:i/>
              </w:rPr>
              <w:t>Земельні ділянки належать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6B6E7F">
        <w:trPr>
          <w:cantSplit/>
          <w:trHeight w:val="269"/>
        </w:trPr>
        <w:tc>
          <w:tcPr>
            <w:tcW w:w="2836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832" w:type="dxa"/>
          </w:tcPr>
          <w:p w14:paraId="3CE4783F" w14:textId="6D6076F6" w:rsidR="00765699" w:rsidRPr="00BE76CE" w:rsidRDefault="00CA775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A775D">
              <w:rPr>
                <w:rFonts w:ascii="Times New Roman" w:hAnsi="Times New Roman" w:cs="Times New Roman"/>
                <w:i/>
                <w:color w:val="auto"/>
              </w:rPr>
              <w:t>Земельні ділянки не входять до зеленої зони.</w:t>
            </w:r>
          </w:p>
        </w:tc>
      </w:tr>
      <w:tr w:rsidR="00A93330" w:rsidRPr="003774B2" w14:paraId="6A523C75" w14:textId="77777777" w:rsidTr="006B6E7F">
        <w:trPr>
          <w:cantSplit/>
          <w:trHeight w:val="4651"/>
        </w:trPr>
        <w:tc>
          <w:tcPr>
            <w:tcW w:w="2836" w:type="dxa"/>
          </w:tcPr>
          <w:p w14:paraId="0D8F2329" w14:textId="4883504C" w:rsidR="00A93330" w:rsidRPr="007716B3" w:rsidRDefault="007716B3" w:rsidP="007716B3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832" w:type="dxa"/>
          </w:tcPr>
          <w:p w14:paraId="691A471E" w14:textId="2CA85E67" w:rsidR="00A93330" w:rsidRDefault="00A93330" w:rsidP="00CA775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статті 129</w:t>
            </w:r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vertAlign w:val="superscript"/>
              </w:rPr>
              <w:t>1</w:t>
            </w:r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Конституції України судове рішення є обов’язковим до виконання.</w:t>
            </w:r>
          </w:p>
          <w:p w14:paraId="302746A8" w14:textId="77777777" w:rsidR="00A93330" w:rsidRPr="00CA775D" w:rsidRDefault="00A93330" w:rsidP="00CA775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Згідно з частиною третьою статті 14 Кодексу адміністративного судочинства України невиконання судового рішення тягне за собою відповідальність, встановлену законом.</w:t>
            </w:r>
          </w:p>
          <w:p w14:paraId="408F0550" w14:textId="77777777" w:rsidR="00A93330" w:rsidRPr="003774B2" w:rsidRDefault="00A93330" w:rsidP="00CA77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Статтею 382 Кримінального кодексу України передбачено кримінальну відповідальність за невиконання судового рішення.</w:t>
            </w:r>
          </w:p>
          <w:p w14:paraId="4C0A6DE5" w14:textId="77777777" w:rsidR="004C2A6E" w:rsidRDefault="004C2A6E" w:rsidP="004C2A6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у власність або про відмову у передачі у власність земельної ділянки,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478498B" w14:textId="77777777" w:rsidR="004C2A6E" w:rsidRPr="00CA775D" w:rsidRDefault="004C2A6E" w:rsidP="004C2A6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528D3CD" w14:textId="1F9B9765" w:rsidR="00A93330" w:rsidRPr="003774B2" w:rsidRDefault="00A93330" w:rsidP="00A93330">
            <w:pPr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A93330" w:rsidRPr="003774B2" w14:paraId="4FF73BCC" w14:textId="77777777" w:rsidTr="004C2A6E">
        <w:trPr>
          <w:cantSplit/>
          <w:trHeight w:val="983"/>
        </w:trPr>
        <w:tc>
          <w:tcPr>
            <w:tcW w:w="2836" w:type="dxa"/>
          </w:tcPr>
          <w:p w14:paraId="4B36F9B4" w14:textId="77777777" w:rsidR="00A93330" w:rsidRDefault="00A93330" w:rsidP="00EA27C8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</w:tcPr>
          <w:p w14:paraId="17165CEA" w14:textId="7EBD1B28" w:rsidR="00A93330" w:rsidRPr="00CA775D" w:rsidRDefault="00A93330" w:rsidP="00A9333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CA77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6227A8DA" w14:textId="3CC32B99" w:rsidR="00A93330" w:rsidRPr="00A93330" w:rsidRDefault="00A93330" w:rsidP="00A93330">
      <w:pPr>
        <w:pStyle w:val="1"/>
        <w:ind w:firstLine="420"/>
        <w:jc w:val="both"/>
        <w:rPr>
          <w:sz w:val="24"/>
          <w:szCs w:val="24"/>
        </w:rPr>
      </w:pPr>
      <w:proofErr w:type="spellStart"/>
      <w:r w:rsidRPr="00A93330">
        <w:rPr>
          <w:sz w:val="24"/>
          <w:szCs w:val="24"/>
        </w:rPr>
        <w:t>Проєкт</w:t>
      </w:r>
      <w:proofErr w:type="spellEnd"/>
      <w:r w:rsidRPr="00A93330">
        <w:rPr>
          <w:sz w:val="24"/>
          <w:szCs w:val="24"/>
        </w:rPr>
        <w:t xml:space="preserve"> рішення підготовлено відповідно до Земельного кодексу України, Закону України «Про внесення змін до деяких законодавчих актів України щодо розмежування земель державної та комунальної власності», Закону України «Про місцеве самоврядування в Україні», Закону України «Про адміністративну процедуру» та на виконання постанови Шевченківського районного суду м. Києва від 27.06.2012 у справі № 2610/3926/2012, з урахуванням ухвали Шевченківського районного суду м. Києва від 11.06.2021 у справі </w:t>
      </w:r>
      <w:r w:rsidR="003E240C">
        <w:rPr>
          <w:sz w:val="24"/>
          <w:szCs w:val="24"/>
        </w:rPr>
        <w:t xml:space="preserve">                        </w:t>
      </w:r>
      <w:r w:rsidRPr="00A93330">
        <w:rPr>
          <w:sz w:val="24"/>
          <w:szCs w:val="24"/>
        </w:rPr>
        <w:t>№ 2610/3926/2012, 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826/5426/16.</w:t>
      </w:r>
    </w:p>
    <w:p w14:paraId="26859188" w14:textId="77777777" w:rsidR="00A93330" w:rsidRPr="00A93330" w:rsidRDefault="00A93330" w:rsidP="00A93330">
      <w:pPr>
        <w:pStyle w:val="1"/>
        <w:ind w:firstLine="420"/>
        <w:jc w:val="both"/>
        <w:rPr>
          <w:sz w:val="24"/>
          <w:szCs w:val="24"/>
        </w:rPr>
      </w:pPr>
      <w:proofErr w:type="spellStart"/>
      <w:r w:rsidRPr="00A93330">
        <w:rPr>
          <w:sz w:val="24"/>
          <w:szCs w:val="24"/>
        </w:rPr>
        <w:t>Проєкт</w:t>
      </w:r>
      <w:proofErr w:type="spellEnd"/>
      <w:r w:rsidRPr="00A93330">
        <w:rPr>
          <w:sz w:val="24"/>
          <w:szCs w:val="24"/>
        </w:rPr>
        <w:t xml:space="preserve"> рішення містить інформацію про заявників,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72761017" w14:textId="131A2EB1" w:rsidR="00CA391A" w:rsidRDefault="00A93330" w:rsidP="00A93330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proofErr w:type="spellStart"/>
      <w:r w:rsidRPr="00A93330">
        <w:rPr>
          <w:sz w:val="24"/>
          <w:szCs w:val="24"/>
        </w:rPr>
        <w:t>Проєкт</w:t>
      </w:r>
      <w:proofErr w:type="spellEnd"/>
      <w:r w:rsidRPr="00A93330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E7DFA1D" w14:textId="77777777" w:rsidR="00A93330" w:rsidRPr="00DF2891" w:rsidRDefault="00A93330" w:rsidP="00A93330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8942B21" w14:textId="77777777" w:rsidR="00A93330" w:rsidRPr="00104BBD" w:rsidRDefault="00A93330" w:rsidP="00A93330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D82DAE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D82DAE">
        <w:rPr>
          <w:color w:val="auto"/>
          <w:sz w:val="24"/>
          <w:szCs w:val="24"/>
        </w:rPr>
        <w:t>проєкту</w:t>
      </w:r>
      <w:proofErr w:type="spellEnd"/>
      <w:r w:rsidRPr="00D82DAE">
        <w:rPr>
          <w:color w:val="auto"/>
          <w:sz w:val="24"/>
          <w:szCs w:val="24"/>
        </w:rPr>
        <w:t xml:space="preserve"> рішення стане виконання постанови Шевченківського районного суду м. Києва від 27.06.2012 у справі № 2610/3926/2012, з урахуванням ухвали Шевченківського районного суду м. Києва від 11.06.2021 у справі №</w:t>
      </w:r>
      <w:r>
        <w:rPr>
          <w:color w:val="auto"/>
          <w:sz w:val="24"/>
          <w:szCs w:val="24"/>
        </w:rPr>
        <w:t>  </w:t>
      </w:r>
      <w:r w:rsidRPr="00D82DAE">
        <w:rPr>
          <w:color w:val="auto"/>
          <w:sz w:val="24"/>
          <w:szCs w:val="24"/>
        </w:rPr>
        <w:t>2610/3926/2012, 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</w:t>
      </w:r>
      <w:r>
        <w:rPr>
          <w:color w:val="auto"/>
          <w:sz w:val="24"/>
          <w:szCs w:val="24"/>
        </w:rPr>
        <w:t xml:space="preserve"> та реалізація громадянами своїх прав на оформлення земельних ділянок</w:t>
      </w:r>
      <w:r w:rsidRPr="00D82DAE">
        <w:rPr>
          <w:color w:val="auto"/>
          <w:sz w:val="24"/>
          <w:szCs w:val="24"/>
        </w:rPr>
        <w:t>.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CA775D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9EF3BEE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</w:t>
    </w:r>
    <w:r w:rsidR="00B10536">
      <w:rPr>
        <w:sz w:val="12"/>
        <w:szCs w:val="12"/>
      </w:rPr>
      <w:t xml:space="preserve">                                        </w:t>
    </w:r>
    <w:r w:rsidR="00E770AC">
      <w:rPr>
        <w:sz w:val="12"/>
        <w:szCs w:val="12"/>
      </w:rPr>
      <w:t xml:space="preserve">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CA775D">
      <w:rPr>
        <w:sz w:val="12"/>
        <w:szCs w:val="12"/>
        <w:lang w:val="ru-RU"/>
      </w:rPr>
      <w:t>ПЗН-64241</w:t>
    </w:r>
    <w:r w:rsidR="00862990">
      <w:rPr>
        <w:sz w:val="12"/>
        <w:szCs w:val="12"/>
      </w:rPr>
      <w:t xml:space="preserve"> від </w:t>
    </w:r>
    <w:r w:rsidR="00B2667F" w:rsidRPr="00CA775D">
      <w:rPr>
        <w:sz w:val="12"/>
        <w:szCs w:val="12"/>
        <w:lang w:val="ru-RU"/>
      </w:rPr>
      <w:t>21.06.2024</w:t>
    </w:r>
    <w:r w:rsidR="00862990">
      <w:rPr>
        <w:sz w:val="12"/>
        <w:szCs w:val="12"/>
      </w:rPr>
      <w:t xml:space="preserve"> до </w:t>
    </w:r>
    <w:r w:rsidR="00B10536">
      <w:rPr>
        <w:sz w:val="12"/>
        <w:szCs w:val="12"/>
      </w:rPr>
      <w:t>справи</w:t>
    </w:r>
    <w:r w:rsidR="00862990">
      <w:rPr>
        <w:sz w:val="12"/>
        <w:szCs w:val="12"/>
      </w:rPr>
      <w:t xml:space="preserve"> 766053282</w:t>
    </w:r>
  </w:p>
  <w:p w14:paraId="2E60DAB9" w14:textId="6158AB45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C2A6E" w:rsidRPr="004C2A6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E34B0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E240C"/>
    <w:rsid w:val="003F08A4"/>
    <w:rsid w:val="003F796B"/>
    <w:rsid w:val="004223BA"/>
    <w:rsid w:val="00446BFC"/>
    <w:rsid w:val="004571B2"/>
    <w:rsid w:val="00466C3C"/>
    <w:rsid w:val="00485E81"/>
    <w:rsid w:val="00496595"/>
    <w:rsid w:val="004C2A6E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B6E7F"/>
    <w:rsid w:val="006D0CA1"/>
    <w:rsid w:val="006D0D25"/>
    <w:rsid w:val="006E02F0"/>
    <w:rsid w:val="006F5153"/>
    <w:rsid w:val="00707471"/>
    <w:rsid w:val="00720C46"/>
    <w:rsid w:val="00725E0A"/>
    <w:rsid w:val="007268EC"/>
    <w:rsid w:val="007313D4"/>
    <w:rsid w:val="00731DC2"/>
    <w:rsid w:val="007355C9"/>
    <w:rsid w:val="00745F89"/>
    <w:rsid w:val="0075609F"/>
    <w:rsid w:val="00765699"/>
    <w:rsid w:val="00765ED6"/>
    <w:rsid w:val="007716B3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93330"/>
    <w:rsid w:val="00AA10F9"/>
    <w:rsid w:val="00AD6BDF"/>
    <w:rsid w:val="00AF38B3"/>
    <w:rsid w:val="00B10536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A775D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7501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Карнаушенко Оксана Олександрівна</cp:lastModifiedBy>
  <cp:revision>7</cp:revision>
  <cp:lastPrinted>2024-07-01T08:24:00Z</cp:lastPrinted>
  <dcterms:created xsi:type="dcterms:W3CDTF">2024-06-21T06:11:00Z</dcterms:created>
  <dcterms:modified xsi:type="dcterms:W3CDTF">2024-07-01T08:24:00Z</dcterms:modified>
</cp:coreProperties>
</file>