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691014420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691014420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ПЗН-58720 від 29.09.2023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A7A1E15" w14:textId="52CC3648" w:rsidR="004D1119" w:rsidRPr="00851B63" w:rsidRDefault="00851B63" w:rsidP="00851B63">
      <w:pPr>
        <w:pStyle w:val="a7"/>
        <w:shd w:val="clear" w:color="auto" w:fill="auto"/>
        <w:spacing w:line="266" w:lineRule="auto"/>
        <w:ind w:right="2784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851B63">
        <w:rPr>
          <w:b/>
          <w:i/>
          <w:color w:val="000000" w:themeColor="text1"/>
          <w:sz w:val="24"/>
          <w:szCs w:val="24"/>
        </w:rPr>
        <w:t xml:space="preserve">Про передачу ТОВАРИСТВУ З ОБМЕЖЕНОЮ ВІДПОВІДАЛЬНІСТЮ «ІНВЕСТБУД 11» земельної ділянки в </w:t>
      </w:r>
      <w:r w:rsidRPr="00851B63">
        <w:rPr>
          <w:rStyle w:val="a9"/>
          <w:b/>
          <w:sz w:val="24"/>
          <w:szCs w:val="24"/>
        </w:rPr>
        <w:t>оренду</w:t>
      </w:r>
      <w:r w:rsidRPr="00851B63">
        <w:rPr>
          <w:i/>
          <w:color w:val="000000" w:themeColor="text1"/>
          <w:sz w:val="24"/>
          <w:szCs w:val="24"/>
        </w:rPr>
        <w:t xml:space="preserve"> </w:t>
      </w:r>
      <w:r w:rsidRPr="00851B63">
        <w:rPr>
          <w:b/>
          <w:i/>
          <w:iCs/>
          <w:sz w:val="24"/>
          <w:szCs w:val="24"/>
        </w:rPr>
        <w:t xml:space="preserve">для </w:t>
      </w:r>
      <w:r w:rsidRPr="00851B63">
        <w:rPr>
          <w:b/>
          <w:i/>
          <w:iCs/>
          <w:color w:val="000000" w:themeColor="text1"/>
          <w:sz w:val="24"/>
          <w:szCs w:val="24"/>
        </w:rPr>
        <w:t xml:space="preserve">експлуатації та обслуговування адміністративно-виробничої бази </w:t>
      </w:r>
      <w:r w:rsidRPr="00851B63">
        <w:rPr>
          <w:b/>
          <w:i/>
          <w:color w:val="000000" w:themeColor="text1"/>
          <w:sz w:val="24"/>
          <w:szCs w:val="24"/>
        </w:rPr>
        <w:t xml:space="preserve">на </w:t>
      </w:r>
      <w:r w:rsidRPr="00851B63">
        <w:rPr>
          <w:b/>
          <w:i/>
          <w:iCs/>
          <w:color w:val="000000" w:themeColor="text1"/>
          <w:sz w:val="24"/>
          <w:szCs w:val="24"/>
        </w:rPr>
        <w:t xml:space="preserve">вул. Колекторній, 3-Б </w:t>
      </w:r>
      <w:r w:rsidRPr="00851B63">
        <w:rPr>
          <w:b/>
          <w:i/>
          <w:color w:val="000000" w:themeColor="text1"/>
          <w:sz w:val="24"/>
          <w:szCs w:val="24"/>
        </w:rPr>
        <w:t xml:space="preserve">у </w:t>
      </w:r>
      <w:r>
        <w:rPr>
          <w:b/>
          <w:i/>
          <w:color w:val="000000" w:themeColor="text1"/>
          <w:sz w:val="24"/>
          <w:szCs w:val="24"/>
          <w:lang w:val="uk-UA"/>
        </w:rPr>
        <w:t xml:space="preserve">                        </w:t>
      </w:r>
      <w:r w:rsidRPr="00851B63">
        <w:rPr>
          <w:b/>
          <w:i/>
          <w:iCs/>
          <w:color w:val="000000" w:themeColor="text1"/>
          <w:sz w:val="24"/>
          <w:szCs w:val="24"/>
        </w:rPr>
        <w:t>Дарницькому</w:t>
      </w:r>
      <w:r w:rsidRPr="00851B63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379"/>
      </w:tblGrid>
      <w:tr w:rsidR="004D1119" w14:paraId="59D7EDE9" w14:textId="77777777" w:rsidTr="00AA5FF2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379" w:type="dxa"/>
            <w:shd w:val="clear" w:color="auto" w:fill="FFFFFF"/>
          </w:tcPr>
          <w:p w14:paraId="2C8733B8" w14:textId="37B37BD8" w:rsidR="004D1119" w:rsidRPr="00140354" w:rsidRDefault="004D1119" w:rsidP="00AA5FF2">
            <w:pPr>
              <w:pStyle w:val="a7"/>
              <w:shd w:val="clear" w:color="auto" w:fill="auto"/>
              <w:spacing w:after="0"/>
              <w:ind w:left="129" w:firstLine="0"/>
              <w:rPr>
                <w:sz w:val="24"/>
                <w:szCs w:val="24"/>
                <w:lang w:val="uk-UA"/>
              </w:rPr>
            </w:pPr>
            <w:r w:rsidRPr="00A43048">
              <w:rPr>
                <w:i/>
                <w:iCs/>
                <w:sz w:val="24"/>
                <w:szCs w:val="24"/>
              </w:rPr>
              <w:t>ТОВАРИСТВО З ОБМЕЖЕНОЮ ВІДПОВІДАЛЬНІСТЮ «ІНВЕСТБУД 11»</w:t>
            </w:r>
            <w:r w:rsidR="00140354">
              <w:rPr>
                <w:i/>
                <w:iCs/>
                <w:sz w:val="24"/>
                <w:szCs w:val="24"/>
                <w:lang w:val="uk-UA"/>
              </w:rPr>
              <w:t xml:space="preserve"> (далі – ТОВ </w:t>
            </w:r>
            <w:r w:rsidR="00140354" w:rsidRPr="00A43048">
              <w:rPr>
                <w:i/>
                <w:iCs/>
                <w:sz w:val="24"/>
                <w:szCs w:val="24"/>
              </w:rPr>
              <w:t>«ІНВЕСТБУД 11»</w:t>
            </w:r>
            <w:r w:rsidR="00140354">
              <w:rPr>
                <w:i/>
                <w:iCs/>
                <w:sz w:val="24"/>
                <w:szCs w:val="24"/>
                <w:lang w:val="uk-UA"/>
              </w:rPr>
              <w:t>)</w:t>
            </w:r>
          </w:p>
        </w:tc>
      </w:tr>
      <w:tr w:rsidR="004D1119" w:rsidRPr="004A5DBD" w14:paraId="6A6CF238" w14:textId="77777777" w:rsidTr="00AA5FF2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D0E9667" w14:textId="53907098" w:rsidR="004D1119" w:rsidRPr="004D1119" w:rsidRDefault="006E10B3" w:rsidP="00BD7658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</w:tc>
        <w:tc>
          <w:tcPr>
            <w:tcW w:w="6379" w:type="dxa"/>
            <w:shd w:val="clear" w:color="auto" w:fill="FFFFFF"/>
          </w:tcPr>
          <w:p w14:paraId="515D1D36" w14:textId="1BE73C19" w:rsidR="00045ECD" w:rsidRPr="00045ECD" w:rsidRDefault="0061207F" w:rsidP="00AA5FF2">
            <w:pPr>
              <w:shd w:val="clear" w:color="auto" w:fill="FFFFFF"/>
              <w:spacing w:after="0" w:line="300" w:lineRule="atLeast"/>
              <w:ind w:left="129"/>
              <w:textAlignment w:val="baseline"/>
              <w:rPr>
                <w:rFonts w:ascii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hyperlink r:id="rId11" w:history="1">
              <w:r w:rsidR="00045ECD" w:rsidRPr="00045ECD">
                <w:rPr>
                  <w:rFonts w:ascii="Times New Roman" w:eastAsia="Times New Roman" w:hAnsi="Times New Roman" w:cs="Times New Roman"/>
                  <w:i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 xml:space="preserve">ТОВАРИСТВО З ОБМЕЖЕНОЮ ВІДПОВІДАЛЬНІСТЮ </w:t>
              </w:r>
              <w:r w:rsidR="00045ECD">
                <w:rPr>
                  <w:rFonts w:ascii="Times New Roman" w:eastAsia="Times New Roman" w:hAnsi="Times New Roman" w:cs="Times New Roman"/>
                  <w:i/>
                  <w:color w:val="000000" w:themeColor="text1"/>
                  <w:sz w:val="24"/>
                  <w:szCs w:val="24"/>
                  <w:bdr w:val="none" w:sz="0" w:space="0" w:color="auto" w:frame="1"/>
                  <w:lang w:val="uk-UA" w:eastAsia="ru-RU"/>
                </w:rPr>
                <w:t>«</w:t>
              </w:r>
              <w:r w:rsidR="00045ECD" w:rsidRPr="00045ECD">
                <w:rPr>
                  <w:rFonts w:ascii="Times New Roman" w:eastAsia="Times New Roman" w:hAnsi="Times New Roman" w:cs="Times New Roman"/>
                  <w:i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>ОРХІДЕЯ-БУД</w:t>
              </w:r>
              <w:r w:rsidR="00045ECD">
                <w:rPr>
                  <w:rFonts w:ascii="Times New Roman" w:eastAsia="Times New Roman" w:hAnsi="Times New Roman" w:cs="Times New Roman"/>
                  <w:i/>
                  <w:color w:val="000000" w:themeColor="text1"/>
                  <w:sz w:val="24"/>
                  <w:szCs w:val="24"/>
                  <w:bdr w:val="none" w:sz="0" w:space="0" w:color="auto" w:frame="1"/>
                  <w:lang w:val="uk-UA" w:eastAsia="ru-RU"/>
                </w:rPr>
                <w:t>»</w:t>
              </w:r>
            </w:hyperlink>
            <w:r w:rsidR="00045ECD" w:rsidRPr="00045EC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14:paraId="13ACE229" w14:textId="2A665614" w:rsidR="004D1119" w:rsidRPr="00045ECD" w:rsidRDefault="00045ECD" w:rsidP="00AA5FF2">
            <w:pPr>
              <w:pStyle w:val="a7"/>
              <w:shd w:val="clear" w:color="auto" w:fill="auto"/>
              <w:spacing w:after="0"/>
              <w:ind w:left="129" w:firstLine="0"/>
              <w:rPr>
                <w:i/>
                <w:iCs/>
                <w:sz w:val="24"/>
                <w:szCs w:val="24"/>
                <w:lang w:val="ru-RU"/>
              </w:rPr>
            </w:pPr>
            <w:r w:rsidRPr="00416782">
              <w:rPr>
                <w:i/>
                <w:color w:val="1F1F1F"/>
                <w:sz w:val="24"/>
                <w:szCs w:val="24"/>
                <w:lang w:eastAsia="ru-RU"/>
              </w:rPr>
              <w:t xml:space="preserve">Україна, місто Київ, </w:t>
            </w:r>
            <w:r>
              <w:rPr>
                <w:i/>
                <w:color w:val="1F1F1F"/>
                <w:sz w:val="24"/>
                <w:szCs w:val="24"/>
                <w:lang w:val="uk-UA" w:eastAsia="ru-RU"/>
              </w:rPr>
              <w:t>вул.</w:t>
            </w:r>
            <w:r w:rsidRPr="00416782">
              <w:rPr>
                <w:i/>
                <w:color w:val="1F1F1F"/>
                <w:sz w:val="24"/>
                <w:szCs w:val="24"/>
                <w:lang w:eastAsia="ru-RU"/>
              </w:rPr>
              <w:t xml:space="preserve"> ПОПУДРЕНКА</w:t>
            </w:r>
          </w:p>
        </w:tc>
      </w:tr>
      <w:tr w:rsidR="004D1119" w:rsidRPr="00854FAD" w14:paraId="2EEB9864" w14:textId="77777777" w:rsidTr="00AA5FF2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24AD2935" w:rsidR="004D1119" w:rsidRPr="004D1119" w:rsidRDefault="006E10B3" w:rsidP="00BD7658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395C8F20" w14:textId="52D43D66" w:rsidR="004D1119" w:rsidRPr="00A43048" w:rsidRDefault="00045ECD" w:rsidP="00AA5FF2">
            <w:pPr>
              <w:pStyle w:val="a7"/>
              <w:shd w:val="clear" w:color="auto" w:fill="auto"/>
              <w:spacing w:after="0"/>
              <w:ind w:left="129" w:firstLine="0"/>
              <w:rPr>
                <w:i/>
                <w:iCs/>
                <w:sz w:val="24"/>
                <w:szCs w:val="24"/>
                <w:lang w:val="ru-RU"/>
              </w:rPr>
            </w:pPr>
            <w:r w:rsidRPr="00045ECD">
              <w:rPr>
                <w:rStyle w:val="name"/>
                <w:i/>
                <w:color w:val="1F1F1F"/>
                <w:sz w:val="24"/>
                <w:szCs w:val="24"/>
                <w:bdr w:val="none" w:sz="0" w:space="0" w:color="auto" w:frame="1"/>
              </w:rPr>
              <w:t>ЕЛЬ-БАДАУІ ХУССЕЙН МОХАМАД ХУССЕЙН</w:t>
            </w:r>
            <w:r w:rsidRPr="00045ECD">
              <w:rPr>
                <w:i/>
                <w:color w:val="1F1F1F"/>
                <w:sz w:val="24"/>
                <w:szCs w:val="24"/>
              </w:rPr>
              <w:br/>
            </w:r>
            <w:r w:rsidRPr="00045ECD">
              <w:rPr>
                <w:i/>
                <w:color w:val="1F1F1F"/>
                <w:sz w:val="24"/>
                <w:szCs w:val="24"/>
                <w:shd w:val="clear" w:color="auto" w:fill="FFFFFF"/>
              </w:rPr>
              <w:t>Україна, 07401, Київська обл., місто Бровари, вул.Ялинкова</w:t>
            </w:r>
          </w:p>
        </w:tc>
      </w:tr>
      <w:tr w:rsidR="004D1119" w:rsidRPr="004D1119" w14:paraId="0AACDDBA" w14:textId="77777777" w:rsidTr="00AA5FF2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9" w:type="dxa"/>
            <w:shd w:val="clear" w:color="auto" w:fill="FFFFFF"/>
          </w:tcPr>
          <w:p w14:paraId="41E1B36B" w14:textId="77777777" w:rsidR="004D1119" w:rsidRPr="00A43048" w:rsidRDefault="006E106A" w:rsidP="00AA5FF2">
            <w:pPr>
              <w:pStyle w:val="a7"/>
              <w:shd w:val="clear" w:color="auto" w:fill="auto"/>
              <w:spacing w:after="0"/>
              <w:ind w:left="129" w:firstLine="0"/>
              <w:rPr>
                <w:i/>
                <w:iCs/>
                <w:sz w:val="24"/>
                <w:szCs w:val="24"/>
                <w:lang w:val="ru-RU"/>
              </w:rPr>
            </w:pPr>
            <w:r w:rsidRPr="00140354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14.08.2023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691014420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8000000000:90:172:0040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AA5FF2">
        <w:trPr>
          <w:trHeight w:val="37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Дарницький, вул. Колекторна, 3-Б</w:t>
            </w:r>
          </w:p>
        </w:tc>
      </w:tr>
      <w:tr w:rsidR="004D1119" w14:paraId="3D5F4781" w14:textId="77777777" w:rsidTr="001525DE">
        <w:trPr>
          <w:trHeight w:val="24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0,6774 га</w:t>
            </w:r>
          </w:p>
        </w:tc>
      </w:tr>
      <w:tr w:rsidR="004D1119" w:rsidRPr="0080577C" w14:paraId="0C66F18A" w14:textId="77777777" w:rsidTr="001525D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3CE64EC" w:rsidR="004D1119" w:rsidRPr="006E10B3" w:rsidRDefault="006E10B3" w:rsidP="00140354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B1D83B5" w:rsidR="004D1119" w:rsidRPr="00A43048" w:rsidRDefault="00140354" w:rsidP="00C9448A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AA5FF2">
              <w:rPr>
                <w:i/>
                <w:sz w:val="24"/>
                <w:szCs w:val="24"/>
              </w:rPr>
              <w:t xml:space="preserve"> на </w:t>
            </w:r>
            <w:r w:rsidR="00C9448A">
              <w:rPr>
                <w:i/>
                <w:sz w:val="24"/>
                <w:szCs w:val="24"/>
              </w:rPr>
              <w:t>10</w:t>
            </w:r>
            <w:r w:rsidR="00AA5FF2">
              <w:rPr>
                <w:i/>
                <w:sz w:val="24"/>
                <w:szCs w:val="24"/>
              </w:rPr>
              <w:t xml:space="preserve"> років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1525DE">
        <w:trPr>
          <w:trHeight w:val="7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7C4DB64" w:rsidR="004D1119" w:rsidRPr="00A43048" w:rsidRDefault="00140354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</w:t>
            </w:r>
            <w:r w:rsidR="00CD0A63" w:rsidRPr="00CD0A63">
              <w:rPr>
                <w:i/>
                <w:iCs/>
                <w:sz w:val="24"/>
                <w:szCs w:val="24"/>
              </w:rPr>
              <w:t>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14:paraId="550A073B" w14:textId="77777777" w:rsidTr="00851B63">
        <w:trPr>
          <w:trHeight w:val="13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D1171B0" w:rsidR="00A21758" w:rsidRPr="00A43048" w:rsidRDefault="00C675D8" w:rsidP="00140354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11.02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  <w:r w:rsidR="00851B63">
              <w:rPr>
                <w:rStyle w:val="a9"/>
                <w:sz w:val="24"/>
                <w:szCs w:val="24"/>
              </w:rPr>
              <w:t>(</w:t>
            </w:r>
            <w:r w:rsidR="00851B63" w:rsidRPr="00851B63">
              <w:rPr>
                <w:i/>
                <w:iCs/>
                <w:sz w:val="24"/>
                <w:szCs w:val="24"/>
              </w:rPr>
              <w:t xml:space="preserve">для </w:t>
            </w:r>
            <w:r w:rsidR="00851B63" w:rsidRPr="00851B63">
              <w:rPr>
                <w:i/>
                <w:iCs/>
                <w:color w:val="000000" w:themeColor="text1"/>
                <w:sz w:val="24"/>
                <w:szCs w:val="24"/>
              </w:rPr>
              <w:t>експлуатації та обслуговування адміністративно-виробничої бази)</w:t>
            </w:r>
          </w:p>
        </w:tc>
      </w:tr>
      <w:tr w:rsidR="00E93A88" w14:paraId="2E2CBEBD" w14:textId="77777777" w:rsidTr="00AA5FF2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140354">
            <w:pPr>
              <w:pStyle w:val="1"/>
              <w:shd w:val="clear" w:color="auto" w:fill="auto"/>
              <w:spacing w:line="201" w:lineRule="auto"/>
              <w:ind w:right="-249"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5F0E149" w:rsidR="00E93A88" w:rsidRPr="00A43048" w:rsidRDefault="004526B4" w:rsidP="004526B4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4526B4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6 942 415</w:t>
            </w:r>
            <w:r>
              <w:rPr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98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1525DE" w14:paraId="59BC52D9" w14:textId="77777777" w:rsidTr="00AA5FF2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1525D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2"/>
                <w:szCs w:val="24"/>
                <w:lang w:val="ru-RU"/>
              </w:rPr>
            </w:pPr>
            <w:r w:rsidRPr="001525DE">
              <w:rPr>
                <w:sz w:val="22"/>
                <w:szCs w:val="24"/>
                <w:lang w:val="ru-RU"/>
              </w:rPr>
              <w:t xml:space="preserve"> </w:t>
            </w:r>
            <w:r w:rsidR="00DC4060" w:rsidRPr="001525DE">
              <w:rPr>
                <w:sz w:val="22"/>
                <w:szCs w:val="24"/>
              </w:rPr>
              <w:t>*</w:t>
            </w:r>
            <w:r w:rsidR="00DC4060" w:rsidRPr="001525DE">
              <w:rPr>
                <w:i/>
                <w:sz w:val="22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1525DE">
              <w:rPr>
                <w:i/>
                <w:sz w:val="22"/>
                <w:szCs w:val="24"/>
                <w:lang w:val="ru-RU"/>
              </w:rPr>
              <w:t xml:space="preserve">  </w:t>
            </w:r>
          </w:p>
          <w:p w14:paraId="1E66684F" w14:textId="77777777" w:rsidR="00DC4060" w:rsidRPr="001525D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2"/>
                <w:szCs w:val="24"/>
                <w:lang w:val="ru-RU"/>
              </w:rPr>
            </w:pPr>
            <w:r w:rsidRPr="001525DE">
              <w:rPr>
                <w:i/>
                <w:sz w:val="22"/>
                <w:szCs w:val="24"/>
                <w:lang w:val="ru-RU"/>
              </w:rPr>
              <w:t xml:space="preserve"> </w:t>
            </w:r>
            <w:r w:rsidR="00DC4060" w:rsidRPr="001525DE">
              <w:rPr>
                <w:i/>
                <w:sz w:val="22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1525DE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6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BD3D04E" w14:textId="7A8D408C" w:rsidR="004D1119" w:rsidRPr="00B14A74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B14A74">
        <w:rPr>
          <w:sz w:val="24"/>
          <w:szCs w:val="24"/>
          <w:lang w:val="uk-UA"/>
        </w:rPr>
        <w:t>Відповідно до стат</w:t>
      </w:r>
      <w:r w:rsidR="00045ECD" w:rsidRPr="00B14A74">
        <w:rPr>
          <w:sz w:val="24"/>
          <w:szCs w:val="24"/>
          <w:lang w:val="uk-UA"/>
        </w:rPr>
        <w:t>ей 9,</w:t>
      </w:r>
      <w:r w:rsidRPr="00B14A74">
        <w:rPr>
          <w:sz w:val="24"/>
          <w:szCs w:val="24"/>
          <w:lang w:val="uk-UA"/>
        </w:rPr>
        <w:t xml:space="preserve"> 123 Земельн</w:t>
      </w:r>
      <w:r w:rsidR="00DC4060" w:rsidRPr="00B14A74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B14A74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B14A74">
        <w:rPr>
          <w:sz w:val="24"/>
          <w:szCs w:val="24"/>
          <w:lang w:val="uk-UA"/>
        </w:rPr>
        <w:t xml:space="preserve">мельну ділянку </w:t>
      </w:r>
      <w:r w:rsidR="00045ECD" w:rsidRPr="00B14A74">
        <w:rPr>
          <w:sz w:val="24"/>
          <w:szCs w:val="24"/>
          <w:lang w:val="uk-UA"/>
        </w:rPr>
        <w:t>від 29.09.2023 № НВ-0002035402023),</w:t>
      </w:r>
      <w:r w:rsidRPr="00B14A74">
        <w:rPr>
          <w:sz w:val="24"/>
          <w:szCs w:val="24"/>
          <w:lang w:val="uk-UA"/>
        </w:rPr>
        <w:t xml:space="preserve"> </w:t>
      </w:r>
      <w:r w:rsidR="0044297A" w:rsidRPr="00B14A74">
        <w:rPr>
          <w:sz w:val="24"/>
          <w:szCs w:val="24"/>
          <w:lang w:val="uk-UA"/>
        </w:rPr>
        <w:t>право</w:t>
      </w:r>
      <w:r w:rsidRPr="00B14A74">
        <w:rPr>
          <w:sz w:val="24"/>
          <w:szCs w:val="24"/>
          <w:lang w:val="uk-UA"/>
        </w:rPr>
        <w:t xml:space="preserve"> комунальної </w:t>
      </w:r>
      <w:r w:rsidRPr="001525DE">
        <w:rPr>
          <w:color w:val="000000" w:themeColor="text1"/>
          <w:sz w:val="24"/>
          <w:szCs w:val="24"/>
          <w:lang w:val="uk-UA"/>
        </w:rPr>
        <w:t xml:space="preserve">власності </w:t>
      </w:r>
      <w:r w:rsidR="00DC4060" w:rsidRPr="001525DE">
        <w:rPr>
          <w:color w:val="000000" w:themeColor="text1"/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1525DE">
        <w:rPr>
          <w:color w:val="000000" w:themeColor="text1"/>
          <w:sz w:val="24"/>
          <w:szCs w:val="24"/>
          <w:lang w:val="uk-UA"/>
        </w:rPr>
        <w:t xml:space="preserve"> поряд</w:t>
      </w:r>
      <w:r w:rsidR="00DC4060" w:rsidRPr="001525DE">
        <w:rPr>
          <w:color w:val="000000" w:themeColor="text1"/>
          <w:sz w:val="24"/>
          <w:szCs w:val="24"/>
          <w:lang w:val="uk-UA"/>
        </w:rPr>
        <w:t xml:space="preserve">ку </w:t>
      </w:r>
      <w:r w:rsidR="00AA5FF2" w:rsidRPr="001525DE">
        <w:rPr>
          <w:color w:val="000000" w:themeColor="text1"/>
          <w:sz w:val="24"/>
          <w:szCs w:val="24"/>
          <w:lang w:val="uk-UA"/>
        </w:rPr>
        <w:t>(право власності зареєстровано в Державному реєстрі речових прав на нерухо</w:t>
      </w:r>
      <w:r w:rsidR="00BD7658" w:rsidRPr="001525DE">
        <w:rPr>
          <w:color w:val="000000" w:themeColor="text1"/>
          <w:sz w:val="24"/>
          <w:szCs w:val="24"/>
          <w:lang w:val="uk-UA"/>
        </w:rPr>
        <w:t>ме майно 25.07.</w:t>
      </w:r>
      <w:r w:rsidR="00AA5FF2" w:rsidRPr="001525DE">
        <w:rPr>
          <w:color w:val="000000" w:themeColor="text1"/>
          <w:sz w:val="24"/>
          <w:szCs w:val="24"/>
          <w:lang w:val="uk-UA"/>
        </w:rPr>
        <w:t>2023, номер відомостей про речове право 51168385)</w:t>
      </w:r>
      <w:r w:rsidR="0044297A" w:rsidRPr="001525DE">
        <w:rPr>
          <w:color w:val="000000" w:themeColor="text1"/>
          <w:sz w:val="24"/>
          <w:szCs w:val="24"/>
          <w:lang w:val="uk-UA"/>
        </w:rPr>
        <w:t xml:space="preserve">, </w:t>
      </w:r>
      <w:r w:rsidR="00DC4060" w:rsidRPr="001525DE">
        <w:rPr>
          <w:color w:val="000000" w:themeColor="text1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1525DE">
        <w:rPr>
          <w:color w:val="000000" w:themeColor="text1"/>
          <w:sz w:val="24"/>
          <w:szCs w:val="24"/>
          <w:lang w:val="uk-UA"/>
        </w:rPr>
        <w:t>розроблено проє</w:t>
      </w:r>
      <w:r w:rsidR="005639F6" w:rsidRPr="001525DE">
        <w:rPr>
          <w:color w:val="000000" w:themeColor="text1"/>
          <w:sz w:val="24"/>
          <w:szCs w:val="24"/>
          <w:lang w:val="uk-UA"/>
        </w:rPr>
        <w:t xml:space="preserve">кт </w:t>
      </w:r>
      <w:r w:rsidRPr="001525DE">
        <w:rPr>
          <w:color w:val="000000" w:themeColor="text1"/>
          <w:sz w:val="24"/>
          <w:szCs w:val="24"/>
          <w:lang w:val="uk-UA"/>
        </w:rPr>
        <w:t xml:space="preserve">рішення Київської міської </w:t>
      </w:r>
      <w:r w:rsidR="00BD7658" w:rsidRPr="001525DE">
        <w:rPr>
          <w:color w:val="000000" w:themeColor="text1"/>
          <w:sz w:val="24"/>
          <w:szCs w:val="24"/>
          <w:lang w:val="uk-UA"/>
        </w:rPr>
        <w:t>ради щодо передачі</w:t>
      </w:r>
      <w:r w:rsidRPr="001525DE">
        <w:rPr>
          <w:color w:val="000000" w:themeColor="text1"/>
          <w:sz w:val="24"/>
          <w:szCs w:val="24"/>
          <w:lang w:val="uk-UA"/>
        </w:rPr>
        <w:t xml:space="preserve"> земельної ділянки без зміни її меж та цільового призначення без складання документації із землеустрою.</w:t>
      </w:r>
    </w:p>
    <w:p w14:paraId="5E2CAD56" w14:textId="77777777" w:rsidR="0044604C" w:rsidRPr="001525DE" w:rsidRDefault="0044604C" w:rsidP="004D1119">
      <w:pPr>
        <w:pStyle w:val="1"/>
        <w:shd w:val="clear" w:color="auto" w:fill="auto"/>
        <w:ind w:firstLine="420"/>
        <w:jc w:val="both"/>
        <w:rPr>
          <w:sz w:val="2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7E301E7A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CEC247" w14:textId="77777777" w:rsidR="004D1119" w:rsidRPr="0044604C" w:rsidRDefault="004D1119" w:rsidP="004D1119">
      <w:pPr>
        <w:pStyle w:val="22"/>
        <w:shd w:val="clear" w:color="auto" w:fill="auto"/>
        <w:spacing w:after="0"/>
        <w:ind w:left="2680"/>
        <w:rPr>
          <w:rFonts w:ascii="Times New Roman" w:hAnsi="Times New Roman" w:cs="Times New Roman"/>
          <w:sz w:val="12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D1119" w:rsidRPr="0080577C" w14:paraId="713ABCEB" w14:textId="77777777" w:rsidTr="003E5339">
        <w:trPr>
          <w:cantSplit/>
          <w:trHeight w:val="445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4DB0D80C" w:rsidR="004D1119" w:rsidRPr="005639F6" w:rsidRDefault="00B14A74" w:rsidP="0044604C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14230E">
              <w:rPr>
                <w:i/>
                <w:sz w:val="24"/>
                <w:szCs w:val="24"/>
              </w:rPr>
              <w:t>Земельна ділянка забудована нежи</w:t>
            </w:r>
            <w:r>
              <w:rPr>
                <w:i/>
                <w:sz w:val="24"/>
                <w:szCs w:val="24"/>
              </w:rPr>
              <w:t>тловими</w:t>
            </w:r>
            <w:r w:rsidRPr="0014230E">
              <w:rPr>
                <w:i/>
                <w:sz w:val="24"/>
                <w:szCs w:val="24"/>
              </w:rPr>
              <w:t xml:space="preserve"> буд</w:t>
            </w:r>
            <w:r>
              <w:rPr>
                <w:i/>
                <w:sz w:val="24"/>
                <w:szCs w:val="24"/>
              </w:rPr>
              <w:t xml:space="preserve">івлями </w:t>
            </w:r>
            <w:r w:rsidRPr="0014230E">
              <w:rPr>
                <w:i/>
                <w:sz w:val="24"/>
                <w:szCs w:val="24"/>
              </w:rPr>
              <w:t xml:space="preserve">«літ. </w:t>
            </w:r>
            <w:r>
              <w:rPr>
                <w:i/>
                <w:sz w:val="24"/>
                <w:szCs w:val="24"/>
              </w:rPr>
              <w:t>Д, Ж, К</w:t>
            </w:r>
            <w:r w:rsidRPr="0014230E">
              <w:rPr>
                <w:i/>
                <w:sz w:val="24"/>
                <w:szCs w:val="24"/>
              </w:rPr>
              <w:t xml:space="preserve">» (реєстраційний номер об’єкта нерухомого майна: </w:t>
            </w:r>
            <w:r>
              <w:rPr>
                <w:i/>
                <w:sz w:val="24"/>
                <w:szCs w:val="24"/>
              </w:rPr>
              <w:t>1364633880000</w:t>
            </w:r>
            <w:r w:rsidRPr="0014230E">
              <w:rPr>
                <w:i/>
                <w:sz w:val="24"/>
                <w:szCs w:val="24"/>
              </w:rPr>
              <w:t xml:space="preserve">) загальною площею </w:t>
            </w:r>
            <w:r>
              <w:rPr>
                <w:i/>
                <w:sz w:val="24"/>
                <w:szCs w:val="24"/>
              </w:rPr>
              <w:t>1902,2</w:t>
            </w:r>
            <w:r w:rsidRPr="0014230E">
              <w:rPr>
                <w:i/>
                <w:sz w:val="24"/>
                <w:szCs w:val="24"/>
              </w:rPr>
              <w:t xml:space="preserve"> кв.м, як</w:t>
            </w:r>
            <w:r>
              <w:rPr>
                <w:i/>
                <w:sz w:val="24"/>
                <w:szCs w:val="24"/>
              </w:rPr>
              <w:t>і</w:t>
            </w:r>
            <w:r w:rsidRPr="0014230E">
              <w:rPr>
                <w:i/>
                <w:sz w:val="24"/>
                <w:szCs w:val="24"/>
              </w:rPr>
              <w:t xml:space="preserve"> перебува</w:t>
            </w:r>
            <w:r>
              <w:rPr>
                <w:i/>
                <w:sz w:val="24"/>
                <w:szCs w:val="24"/>
              </w:rPr>
              <w:t>ють</w:t>
            </w:r>
            <w:r w:rsidRPr="0014230E">
              <w:rPr>
                <w:i/>
                <w:sz w:val="24"/>
                <w:szCs w:val="24"/>
              </w:rPr>
              <w:t xml:space="preserve"> у власності ТОВ «</w:t>
            </w:r>
            <w:r w:rsidRPr="00A43048">
              <w:rPr>
                <w:i/>
                <w:iCs/>
                <w:sz w:val="24"/>
                <w:szCs w:val="24"/>
              </w:rPr>
              <w:t>ІНВЕСТБУД 11</w:t>
            </w:r>
            <w:r w:rsidRPr="0014230E">
              <w:rPr>
                <w:i/>
                <w:sz w:val="24"/>
                <w:szCs w:val="24"/>
              </w:rPr>
              <w:t>» на підставі договору купівлі-продажу</w:t>
            </w:r>
            <w:r>
              <w:rPr>
                <w:i/>
                <w:sz w:val="24"/>
                <w:szCs w:val="24"/>
              </w:rPr>
              <w:t xml:space="preserve"> майна від 31.10.1997, акту прийому-передачі                             </w:t>
            </w:r>
            <w:r w:rsidRPr="0014230E">
              <w:rPr>
                <w:i/>
                <w:sz w:val="24"/>
                <w:szCs w:val="24"/>
              </w:rPr>
              <w:t xml:space="preserve">від </w:t>
            </w:r>
            <w:r>
              <w:rPr>
                <w:i/>
                <w:sz w:val="24"/>
                <w:szCs w:val="24"/>
              </w:rPr>
              <w:t>31.10.1997</w:t>
            </w:r>
            <w:r w:rsidRPr="0014230E">
              <w:rPr>
                <w:i/>
                <w:sz w:val="24"/>
                <w:szCs w:val="24"/>
              </w:rPr>
              <w:t xml:space="preserve">, право власності 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>зареєстровано в Державному реєстрі речових прав на нерухоме майно 2</w:t>
            </w:r>
            <w:r w:rsidR="0045403A">
              <w:rPr>
                <w:i/>
                <w:color w:val="000000" w:themeColor="text1"/>
                <w:sz w:val="24"/>
                <w:szCs w:val="24"/>
              </w:rPr>
              <w:t>6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>.0</w:t>
            </w:r>
            <w:r>
              <w:rPr>
                <w:i/>
                <w:color w:val="000000" w:themeColor="text1"/>
                <w:sz w:val="24"/>
                <w:szCs w:val="24"/>
              </w:rPr>
              <w:t>9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>.20</w:t>
            </w:r>
            <w:r>
              <w:rPr>
                <w:i/>
                <w:color w:val="000000" w:themeColor="text1"/>
                <w:sz w:val="24"/>
                <w:szCs w:val="24"/>
              </w:rPr>
              <w:t>17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44604C">
              <w:rPr>
                <w:i/>
                <w:color w:val="000000" w:themeColor="text1"/>
                <w:sz w:val="24"/>
                <w:szCs w:val="24"/>
              </w:rPr>
              <w:t xml:space="preserve">                      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 xml:space="preserve"> номер запису про право власності </w:t>
            </w:r>
            <w:r>
              <w:rPr>
                <w:i/>
                <w:color w:val="000000" w:themeColor="text1"/>
                <w:sz w:val="24"/>
                <w:szCs w:val="24"/>
              </w:rPr>
              <w:t>22571294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</w:t>
            </w:r>
            <w:r w:rsidR="0044604C">
              <w:rPr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 xml:space="preserve"> майно від </w:t>
            </w:r>
            <w:r w:rsidRPr="0014230E">
              <w:rPr>
                <w:bCs/>
                <w:i/>
                <w:color w:val="000000" w:themeColor="text1"/>
                <w:sz w:val="24"/>
                <w:szCs w:val="24"/>
              </w:rPr>
              <w:t>28.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09</w:t>
            </w:r>
            <w:r w:rsidRPr="0014230E">
              <w:rPr>
                <w:bCs/>
                <w:i/>
                <w:color w:val="000000" w:themeColor="text1"/>
                <w:sz w:val="24"/>
                <w:szCs w:val="24"/>
              </w:rPr>
              <w:t>.202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3</w:t>
            </w:r>
            <w:r w:rsidRPr="0014230E">
              <w:rPr>
                <w:bCs/>
                <w:i/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348471589</w:t>
            </w:r>
            <w:r w:rsidRPr="0014230E">
              <w:rPr>
                <w:i/>
                <w:color w:val="000000" w:themeColor="text1"/>
                <w:sz w:val="24"/>
                <w:szCs w:val="24"/>
              </w:rPr>
              <w:t>).</w:t>
            </w:r>
            <w:r w:rsidR="00882577">
              <w:rPr>
                <w:i/>
                <w:color w:val="000000" w:themeColor="text1"/>
                <w:sz w:val="24"/>
                <w:szCs w:val="24"/>
              </w:rPr>
              <w:t xml:space="preserve"> Крім того, на ділянці  розташовані навіси (літ. Е, З, И), які збудовані господарським способом </w:t>
            </w:r>
            <w:r w:rsidR="00882577" w:rsidRPr="0014230E">
              <w:rPr>
                <w:i/>
                <w:sz w:val="24"/>
                <w:szCs w:val="24"/>
              </w:rPr>
              <w:t>ТОВ «</w:t>
            </w:r>
            <w:r w:rsidR="00882577" w:rsidRPr="00A43048">
              <w:rPr>
                <w:i/>
                <w:iCs/>
                <w:sz w:val="24"/>
                <w:szCs w:val="24"/>
              </w:rPr>
              <w:t>ІНВЕСТБУД 11</w:t>
            </w:r>
            <w:r w:rsidR="00882577" w:rsidRPr="0014230E">
              <w:rPr>
                <w:i/>
                <w:sz w:val="24"/>
                <w:szCs w:val="24"/>
              </w:rPr>
              <w:t>»</w:t>
            </w:r>
            <w:r w:rsidR="00882577">
              <w:rPr>
                <w:i/>
                <w:sz w:val="24"/>
                <w:szCs w:val="24"/>
              </w:rPr>
              <w:t xml:space="preserve"> (</w:t>
            </w:r>
            <w:r w:rsidR="00882577">
              <w:rPr>
                <w:i/>
                <w:color w:val="000000" w:themeColor="text1"/>
                <w:sz w:val="24"/>
                <w:szCs w:val="24"/>
              </w:rPr>
              <w:t xml:space="preserve">експлікація будівель </w:t>
            </w:r>
            <w:r w:rsidR="0045403A">
              <w:rPr>
                <w:i/>
                <w:sz w:val="24"/>
                <w:szCs w:val="24"/>
              </w:rPr>
              <w:t>додається</w:t>
            </w:r>
            <w:r w:rsidR="0045403A" w:rsidRPr="0014230E">
              <w:rPr>
                <w:i/>
                <w:sz w:val="24"/>
                <w:szCs w:val="24"/>
              </w:rPr>
              <w:t xml:space="preserve"> </w:t>
            </w:r>
            <w:r w:rsidR="0045403A">
              <w:rPr>
                <w:i/>
                <w:sz w:val="24"/>
                <w:szCs w:val="24"/>
              </w:rPr>
              <w:t>до</w:t>
            </w:r>
            <w:r w:rsidR="0044604C">
              <w:rPr>
                <w:i/>
                <w:sz w:val="24"/>
                <w:szCs w:val="24"/>
              </w:rPr>
              <w:t xml:space="preserve"> </w:t>
            </w:r>
            <w:r w:rsidR="0045403A">
              <w:rPr>
                <w:i/>
                <w:sz w:val="24"/>
                <w:szCs w:val="24"/>
              </w:rPr>
              <w:t xml:space="preserve">заяви </w:t>
            </w:r>
            <w:r w:rsidR="00882577" w:rsidRPr="0014230E">
              <w:rPr>
                <w:i/>
                <w:sz w:val="24"/>
                <w:szCs w:val="24"/>
              </w:rPr>
              <w:t>ТОВ «</w:t>
            </w:r>
            <w:r w:rsidR="00882577" w:rsidRPr="00A43048">
              <w:rPr>
                <w:i/>
                <w:iCs/>
                <w:sz w:val="24"/>
                <w:szCs w:val="24"/>
              </w:rPr>
              <w:t>ІНВЕСТБУД 11</w:t>
            </w:r>
            <w:r w:rsidR="00882577" w:rsidRPr="0014230E">
              <w:rPr>
                <w:i/>
                <w:sz w:val="24"/>
                <w:szCs w:val="24"/>
              </w:rPr>
              <w:t>»</w:t>
            </w:r>
            <w:r w:rsidR="0045403A">
              <w:rPr>
                <w:color w:val="000000" w:themeColor="text1"/>
                <w:szCs w:val="28"/>
              </w:rPr>
              <w:t xml:space="preserve"> </w:t>
            </w:r>
            <w:r w:rsidR="0045403A">
              <w:rPr>
                <w:i/>
                <w:color w:val="000000" w:themeColor="text1"/>
                <w:sz w:val="24"/>
                <w:szCs w:val="24"/>
              </w:rPr>
              <w:t>від 11.08.</w:t>
            </w:r>
            <w:r w:rsidR="0045403A" w:rsidRPr="0045403A">
              <w:rPr>
                <w:i/>
                <w:color w:val="000000" w:themeColor="text1"/>
                <w:sz w:val="24"/>
                <w:szCs w:val="24"/>
              </w:rPr>
              <w:t xml:space="preserve">2023 </w:t>
            </w:r>
            <w:r w:rsidR="0044604C">
              <w:rPr>
                <w:i/>
                <w:color w:val="000000" w:themeColor="text1"/>
                <w:sz w:val="24"/>
                <w:szCs w:val="24"/>
              </w:rPr>
              <w:t xml:space="preserve">                    </w:t>
            </w:r>
            <w:r w:rsidR="0045403A" w:rsidRPr="0045403A">
              <w:rPr>
                <w:i/>
                <w:color w:val="000000" w:themeColor="text1"/>
                <w:sz w:val="24"/>
                <w:szCs w:val="24"/>
              </w:rPr>
              <w:t>№ 72361-007749495-031-03</w:t>
            </w:r>
            <w:r w:rsidR="00882577" w:rsidRPr="0045403A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80577C" w14:paraId="0090C0B3" w14:textId="77777777" w:rsidTr="001525DE">
        <w:trPr>
          <w:cantSplit/>
          <w:trHeight w:val="422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4911FAEB" w:rsidR="004D1119" w:rsidRPr="005639F6" w:rsidRDefault="005639F6" w:rsidP="00E31412">
            <w:pPr>
              <w:spacing w:line="276" w:lineRule="auto"/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80577C" w14:paraId="6224F51E" w14:textId="77777777" w:rsidTr="003E5339">
        <w:trPr>
          <w:cantSplit/>
          <w:trHeight w:val="126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A32C749" w:rsidR="004D1119" w:rsidRPr="005639F6" w:rsidRDefault="005639F6" w:rsidP="00E3141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</w:t>
            </w:r>
            <w:r w:rsidR="005E018B">
              <w:rPr>
                <w:i/>
                <w:sz w:val="24"/>
                <w:szCs w:val="24"/>
              </w:rPr>
              <w:t xml:space="preserve">території </w:t>
            </w:r>
            <w:r w:rsidR="005E018B" w:rsidRPr="005E018B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комунально-складські (існуючі)</w:t>
            </w:r>
            <w:r w:rsidRPr="005E018B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4D1119" w:rsidRPr="0080577C" w14:paraId="4307FC21" w14:textId="77777777" w:rsidTr="00501E57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31412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80577C" w14:paraId="7119DCC8" w14:textId="77777777" w:rsidTr="00501E57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722A0D28" w:rsidR="00DC31BC" w:rsidRDefault="005639F6" w:rsidP="00E31412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4D1119" w:rsidRPr="0080577C" w14:paraId="3DFF5C39" w14:textId="77777777" w:rsidTr="00501E57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1C8F" w14:textId="2C6504A2" w:rsidR="00423DB8" w:rsidRPr="003E5339" w:rsidRDefault="00501E57" w:rsidP="0044604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4526B4">
              <w:rPr>
                <w:rFonts w:ascii="Times New Roman" w:hAnsi="Times New Roman" w:cs="Times New Roman"/>
                <w:i/>
              </w:rPr>
              <w:t xml:space="preserve">Земельна ділянка площею </w:t>
            </w:r>
            <w:r w:rsidRPr="004526B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0,6774</w:t>
            </w:r>
            <w:r w:rsidRPr="004526B4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га (кадастровий </w:t>
            </w:r>
            <w:r w:rsidR="00423DB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</w:t>
            </w:r>
            <w:r w:rsidRPr="004526B4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номер </w:t>
            </w:r>
            <w:r w:rsidR="0045403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8000000000:90:172:0040</w:t>
            </w:r>
            <w:r w:rsidRPr="004526B4">
              <w:rPr>
                <w:rFonts w:ascii="Times New Roman" w:hAnsi="Times New Roman" w:cs="Times New Roman"/>
                <w:i/>
              </w:rPr>
              <w:t>)</w:t>
            </w:r>
            <w:r w:rsidR="00660746">
              <w:rPr>
                <w:rFonts w:ascii="Times New Roman" w:hAnsi="Times New Roman" w:cs="Times New Roman"/>
                <w:i/>
              </w:rPr>
              <w:t xml:space="preserve"> сформована в результаті поділу</w:t>
            </w:r>
            <w:r w:rsidRPr="004526B4">
              <w:rPr>
                <w:rFonts w:ascii="Times New Roman" w:hAnsi="Times New Roman" w:cs="Times New Roman"/>
                <w:i/>
              </w:rPr>
              <w:t xml:space="preserve"> земельної ділянки </w:t>
            </w:r>
            <w:r w:rsidR="0045403A">
              <w:rPr>
                <w:rFonts w:ascii="Times New Roman" w:hAnsi="Times New Roman" w:cs="Times New Roman"/>
                <w:i/>
              </w:rPr>
              <w:t>з к</w:t>
            </w:r>
            <w:r w:rsidRPr="004526B4">
              <w:rPr>
                <w:rFonts w:ascii="Times New Roman" w:hAnsi="Times New Roman" w:cs="Times New Roman"/>
                <w:i/>
              </w:rPr>
              <w:t>адастрови</w:t>
            </w:r>
            <w:r w:rsidR="0045403A">
              <w:rPr>
                <w:rFonts w:ascii="Times New Roman" w:hAnsi="Times New Roman" w:cs="Times New Roman"/>
                <w:i/>
              </w:rPr>
              <w:t>м</w:t>
            </w:r>
            <w:r w:rsidRPr="004526B4">
              <w:rPr>
                <w:rFonts w:ascii="Times New Roman" w:hAnsi="Times New Roman" w:cs="Times New Roman"/>
                <w:i/>
              </w:rPr>
              <w:t xml:space="preserve"> номер</w:t>
            </w:r>
            <w:r w:rsidR="0045403A">
              <w:rPr>
                <w:rFonts w:ascii="Times New Roman" w:hAnsi="Times New Roman" w:cs="Times New Roman"/>
                <w:i/>
              </w:rPr>
              <w:t>ом</w:t>
            </w:r>
            <w:r w:rsidRPr="004526B4">
              <w:rPr>
                <w:rFonts w:ascii="Times New Roman" w:hAnsi="Times New Roman" w:cs="Times New Roman"/>
                <w:i/>
              </w:rPr>
              <w:t xml:space="preserve"> 8000000000:90:172:0009, яка перебувала в оренді </w:t>
            </w:r>
            <w:r w:rsidR="00660746">
              <w:rPr>
                <w:rFonts w:ascii="Times New Roman" w:hAnsi="Times New Roman" w:cs="Times New Roman"/>
                <w:i/>
              </w:rPr>
              <w:t xml:space="preserve">                              </w:t>
            </w:r>
            <w:r w:rsidRPr="004526B4">
              <w:rPr>
                <w:rFonts w:ascii="Times New Roman" w:hAnsi="Times New Roman" w:cs="Times New Roman"/>
                <w:i/>
              </w:rPr>
              <w:t>ТОВ «</w:t>
            </w:r>
            <w:r w:rsidRPr="004526B4">
              <w:rPr>
                <w:rFonts w:ascii="Times New Roman" w:hAnsi="Times New Roman" w:cs="Times New Roman"/>
                <w:i/>
                <w:iCs/>
              </w:rPr>
              <w:t>ІНВЕСТБУД 11</w:t>
            </w:r>
            <w:r w:rsidRPr="004526B4">
              <w:rPr>
                <w:rFonts w:ascii="Times New Roman" w:hAnsi="Times New Roman" w:cs="Times New Roman"/>
                <w:i/>
              </w:rPr>
              <w:t xml:space="preserve">», ТОВ фірми «Ерідан» </w:t>
            </w:r>
            <w:r w:rsidR="00851B63" w:rsidRPr="00851B63">
              <w:rPr>
                <w:rFonts w:ascii="Times New Roman" w:hAnsi="Times New Roman" w:cs="Times New Roman"/>
                <w:i/>
                <w:iCs/>
              </w:rPr>
              <w:t xml:space="preserve">для </w:t>
            </w:r>
            <w:r w:rsidR="006D66E4">
              <w:rPr>
                <w:rFonts w:ascii="Times New Roman" w:hAnsi="Times New Roman" w:cs="Times New Roman"/>
                <w:i/>
                <w:iCs/>
              </w:rPr>
              <w:t xml:space="preserve">              </w:t>
            </w:r>
            <w:r w:rsidR="00851B63" w:rsidRPr="00851B6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експлуатації та обслуговування адміністративно-виробничої бази</w:t>
            </w:r>
            <w:r w:rsidR="001525D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004526B4">
              <w:rPr>
                <w:rFonts w:ascii="Times New Roman" w:hAnsi="Times New Roman" w:cs="Times New Roman"/>
                <w:i/>
              </w:rPr>
              <w:t>на підставі рішення Київської міської ради від 14.06.2007</w:t>
            </w:r>
            <w:r w:rsidR="00423DB8">
              <w:rPr>
                <w:rFonts w:ascii="Times New Roman" w:hAnsi="Times New Roman" w:cs="Times New Roman"/>
                <w:i/>
              </w:rPr>
              <w:t xml:space="preserve">                        </w:t>
            </w:r>
            <w:r w:rsidRPr="004526B4">
              <w:rPr>
                <w:rFonts w:ascii="Times New Roman" w:hAnsi="Times New Roman" w:cs="Times New Roman"/>
                <w:i/>
              </w:rPr>
              <w:t xml:space="preserve"> № 821</w:t>
            </w:r>
            <w:r w:rsidRPr="003E5339">
              <w:rPr>
                <w:rFonts w:ascii="Times New Roman" w:hAnsi="Times New Roman" w:cs="Times New Roman"/>
                <w:i/>
              </w:rPr>
              <w:t xml:space="preserve">/1482, 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</w:rPr>
              <w:t>догов</w:t>
            </w:r>
            <w:r w:rsidRPr="003E5339">
              <w:rPr>
                <w:rFonts w:ascii="Times New Roman" w:hAnsi="Times New Roman" w:cs="Times New Roman"/>
                <w:i/>
                <w:color w:val="000000" w:themeColor="text1"/>
              </w:rPr>
              <w:t xml:space="preserve">ору 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</w:rPr>
              <w:t xml:space="preserve">оренди земельної ділянки від </w:t>
            </w:r>
            <w:r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07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.0</w:t>
            </w:r>
            <w:r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4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.200</w:t>
            </w:r>
            <w:r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8</w:t>
            </w:r>
            <w:r w:rsidR="00423DB8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                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 w:rsidR="005E018B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6</w:t>
            </w:r>
            <w:r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3-6-00485</w:t>
            </w:r>
            <w:r w:rsidR="00423DB8" w:rsidRPr="003E533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.</w:t>
            </w:r>
          </w:p>
          <w:p w14:paraId="1AA19A03" w14:textId="449E344A" w:rsidR="003E5339" w:rsidRPr="003E5339" w:rsidRDefault="001525DE" w:rsidP="003E5339">
            <w:pPr>
              <w:pStyle w:val="a5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Відповідно до протоколу № 23 засідання постійної комісії Київської міської ради з питань містобудування, архітектури та землекористування від 18.10.2016 та висновку постійної комісії Київської міської ради з питань містобудування, архітектури та землекористування до кадастрової справи                      № А-21387 поновлено вищезазначений договір </w:t>
            </w:r>
            <w:r w:rsidRPr="003E5339">
              <w:rPr>
                <w:i/>
                <w:color w:val="000000" w:themeColor="text1"/>
                <w:sz w:val="24"/>
                <w:szCs w:val="24"/>
              </w:rPr>
              <w:t xml:space="preserve">земельної ділянки </w:t>
            </w:r>
            <w:r w:rsidRPr="003E5339">
              <w:rPr>
                <w:i/>
                <w:sz w:val="24"/>
                <w:szCs w:val="24"/>
              </w:rPr>
              <w:t xml:space="preserve">з кадастровим номером 8000000000:90:172:0009 </w:t>
            </w:r>
            <w:r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на 5 років</w:t>
            </w:r>
            <w:r w:rsidR="006D66E4"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та</w:t>
            </w:r>
            <w:r w:rsidR="003E5339"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укладено договір про поновлення </w:t>
            </w:r>
            <w:r w:rsidR="003E5339" w:rsidRPr="003E5339">
              <w:rPr>
                <w:i/>
                <w:sz w:val="24"/>
                <w:szCs w:val="24"/>
              </w:rPr>
              <w:t xml:space="preserve">договору оренди </w:t>
            </w:r>
            <w:r w:rsidR="003E5339" w:rsidRPr="003E5339">
              <w:rPr>
                <w:i/>
                <w:color w:val="000000" w:themeColor="text1"/>
                <w:sz w:val="24"/>
                <w:szCs w:val="24"/>
              </w:rPr>
              <w:t xml:space="preserve">земельної ділянки від </w:t>
            </w:r>
            <w:r w:rsidR="003E5339"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04.07.2017 № 631 (</w:t>
            </w:r>
            <w:r w:rsidR="003E5339" w:rsidRPr="003E5339">
              <w:rPr>
                <w:i/>
                <w:color w:val="000000" w:themeColor="text1"/>
                <w:sz w:val="24"/>
                <w:szCs w:val="24"/>
              </w:rPr>
              <w:t xml:space="preserve">термін дії якого закінчився </w:t>
            </w:r>
            <w:r w:rsidR="003E5339" w:rsidRPr="003E5339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04.07.2022)</w:t>
            </w:r>
            <w:r w:rsidR="003E5339" w:rsidRPr="003E5339"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27FA0786" w14:textId="1B74A807" w:rsidR="004D1119" w:rsidRPr="00E31412" w:rsidRDefault="003E5339" w:rsidP="006D66E4">
            <w:pPr>
              <w:spacing w:line="276" w:lineRule="auto"/>
              <w:jc w:val="both"/>
              <w:rPr>
                <w:bCs/>
                <w:i/>
                <w:lang w:val="en-US"/>
              </w:rPr>
            </w:pP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Технічна документація із землеустрою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щодо поділу земельної ділянки </w:t>
            </w:r>
            <w:r>
              <w:rPr>
                <w:rFonts w:ascii="Times New Roman" w:hAnsi="Times New Roman" w:cs="Times New Roman"/>
                <w:i/>
              </w:rPr>
              <w:t>з к</w:t>
            </w:r>
            <w:r w:rsidRPr="004526B4">
              <w:rPr>
                <w:rFonts w:ascii="Times New Roman" w:hAnsi="Times New Roman" w:cs="Times New Roman"/>
                <w:i/>
              </w:rPr>
              <w:t>адастрови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Pr="004526B4">
              <w:rPr>
                <w:rFonts w:ascii="Times New Roman" w:hAnsi="Times New Roman" w:cs="Times New Roman"/>
                <w:i/>
              </w:rPr>
              <w:t xml:space="preserve"> номер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 w:rsidRPr="004526B4">
              <w:rPr>
                <w:rFonts w:ascii="Times New Roman" w:hAnsi="Times New Roman" w:cs="Times New Roman"/>
                <w:i/>
              </w:rPr>
              <w:t xml:space="preserve"> 8000000000:90:172:0009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>затверджена замовник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ами (</w:t>
            </w:r>
            <w:r w:rsidRPr="004526B4">
              <w:rPr>
                <w:rFonts w:ascii="Times New Roman" w:hAnsi="Times New Roman" w:cs="Times New Roman"/>
                <w:i/>
              </w:rPr>
              <w:t>ТОВ «</w:t>
            </w:r>
            <w:r w:rsidRPr="004526B4">
              <w:rPr>
                <w:rFonts w:ascii="Times New Roman" w:hAnsi="Times New Roman" w:cs="Times New Roman"/>
                <w:i/>
                <w:iCs/>
              </w:rPr>
              <w:t>ІНВЕСТБУД 11</w:t>
            </w:r>
            <w:r>
              <w:rPr>
                <w:rFonts w:ascii="Times New Roman" w:hAnsi="Times New Roman" w:cs="Times New Roman"/>
                <w:i/>
              </w:rPr>
              <w:t>», ТОВ фірма</w:t>
            </w:r>
          </w:p>
        </w:tc>
      </w:tr>
      <w:tr w:rsidR="00501E57" w:rsidRPr="0015382D" w14:paraId="6F9542C8" w14:textId="77777777" w:rsidTr="00660746">
        <w:trPr>
          <w:cantSplit/>
          <w:trHeight w:val="4372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0778" w14:textId="77777777" w:rsidR="00501E57" w:rsidRPr="001120B7" w:rsidRDefault="00501E57" w:rsidP="009259CA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22BE" w14:textId="37A04D1C" w:rsidR="003E5339" w:rsidRDefault="003E5339" w:rsidP="003E53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«Ерідан»)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 до статті 186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Земельного кодексу України (в редакції чинній на момент розробки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технічної документації</w:t>
            </w:r>
            <w:r w:rsidRPr="00423EC3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6607D5C7" w14:textId="629EB9CD" w:rsidR="00423DB8" w:rsidRPr="00C9448A" w:rsidRDefault="00423DB8" w:rsidP="004526B4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51B63">
              <w:rPr>
                <w:bCs/>
                <w:i/>
                <w:sz w:val="24"/>
                <w:szCs w:val="24"/>
              </w:rPr>
              <w:t xml:space="preserve"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</w:t>
            </w:r>
            <w:r w:rsidR="00C9448A" w:rsidRPr="00C9448A">
              <w:rPr>
                <w:i/>
                <w:sz w:val="24"/>
                <w:szCs w:val="24"/>
              </w:rPr>
              <w:t>відповідно до вимог законодавства України</w:t>
            </w:r>
            <w:r w:rsidRPr="00C9448A">
              <w:rPr>
                <w:bCs/>
                <w:i/>
                <w:sz w:val="24"/>
                <w:szCs w:val="24"/>
              </w:rPr>
              <w:t>.</w:t>
            </w:r>
          </w:p>
          <w:p w14:paraId="25438753" w14:textId="257DBB94" w:rsidR="00501E57" w:rsidRPr="00851B63" w:rsidRDefault="00501E57" w:rsidP="004526B4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51B63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AAB3107" w14:textId="5E91A507" w:rsidR="00501E57" w:rsidRPr="00851B63" w:rsidRDefault="00501E57" w:rsidP="004526B4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51B63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484A407" w14:textId="77777777" w:rsidR="00501E57" w:rsidRPr="00851B63" w:rsidRDefault="00501E57" w:rsidP="004526B4">
            <w:pPr>
              <w:pStyle w:val="2"/>
              <w:spacing w:before="0" w:after="0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/>
              </w:rPr>
            </w:pPr>
            <w:r w:rsidRPr="00851B63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Зважаючи на вказане, цей проєкт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1525DE" w:rsidRDefault="004D1119" w:rsidP="00501E5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E2B03EA" w14:textId="22221C24" w:rsidR="004D1119" w:rsidRPr="004526B4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4526B4">
        <w:rPr>
          <w:sz w:val="24"/>
          <w:szCs w:val="24"/>
          <w:lang w:val="uk-UA"/>
        </w:rPr>
        <w:t>Київської міської ради</w:t>
      </w:r>
      <w:r w:rsidRPr="004526B4">
        <w:rPr>
          <w:sz w:val="24"/>
          <w:szCs w:val="24"/>
          <w:lang w:val="uk-UA"/>
        </w:rPr>
        <w:t xml:space="preserve"> від 20</w:t>
      </w:r>
      <w:r w:rsidR="0078503B" w:rsidRPr="004526B4">
        <w:rPr>
          <w:sz w:val="24"/>
          <w:szCs w:val="24"/>
          <w:lang w:val="uk-UA"/>
        </w:rPr>
        <w:t>.04.</w:t>
      </w:r>
      <w:r w:rsidRPr="004526B4">
        <w:rPr>
          <w:sz w:val="24"/>
          <w:szCs w:val="24"/>
          <w:lang w:val="uk-UA"/>
        </w:rPr>
        <w:t>2017 № 241/2463.</w:t>
      </w:r>
    </w:p>
    <w:p w14:paraId="2B545DFD" w14:textId="7A0AC58F" w:rsidR="00C15B54" w:rsidRPr="004526B4" w:rsidRDefault="00C15B54" w:rsidP="004526B4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Про</w:t>
      </w:r>
      <w:r w:rsidR="004526B4">
        <w:rPr>
          <w:sz w:val="24"/>
          <w:szCs w:val="24"/>
          <w:lang w:val="uk-UA"/>
        </w:rPr>
        <w:t xml:space="preserve">єкт рішення </w:t>
      </w:r>
      <w:r w:rsidRPr="004526B4">
        <w:rPr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4526B4" w:rsidRDefault="005F2210" w:rsidP="004526B4">
      <w:pPr>
        <w:tabs>
          <w:tab w:val="left" w:pos="993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3E5339" w:rsidRDefault="005639F6" w:rsidP="004526B4">
      <w:pPr>
        <w:pStyle w:val="1"/>
        <w:shd w:val="clear" w:color="auto" w:fill="auto"/>
        <w:spacing w:after="0"/>
        <w:ind w:firstLine="425"/>
        <w:contextualSpacing/>
        <w:jc w:val="both"/>
        <w:rPr>
          <w:sz w:val="20"/>
          <w:szCs w:val="20"/>
          <w:lang w:val="uk-UA"/>
        </w:rPr>
      </w:pPr>
    </w:p>
    <w:p w14:paraId="2955D0AA" w14:textId="77777777" w:rsidR="004D1119" w:rsidRPr="004526B4" w:rsidRDefault="004D1119" w:rsidP="004526B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5"/>
        <w:rPr>
          <w:sz w:val="24"/>
          <w:szCs w:val="24"/>
          <w:lang w:val="uk-UA"/>
        </w:rPr>
      </w:pPr>
      <w:r w:rsidRPr="004526B4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C32C39A" w14:textId="77777777" w:rsidR="004D1119" w:rsidRPr="004526B4" w:rsidRDefault="004D1119" w:rsidP="004526B4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286CD7A" w14:textId="1DB43D72" w:rsidR="006C7FB9" w:rsidRDefault="006C7FB9" w:rsidP="004526B4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124E84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Податкового к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одексу України, Закону України «Про оренду з</w:t>
      </w:r>
      <w:r w:rsidR="0000689D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емлі» та рішення </w:t>
      </w:r>
      <w:r w:rsidR="00A21758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міської ради</w:t>
      </w:r>
      <w:r w:rsidR="0000689D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9251E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5644E3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08.12.2022 № 5828/5869 «Про бюджет міста Києва на 2023 рік</w:t>
      </w:r>
      <w:r w:rsidR="00B9251E"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орієнтовний розмір річної орендної плати складатиме: </w:t>
      </w:r>
      <w:r w:rsidR="004526B4" w:rsidRPr="004526B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208 272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 </w:t>
      </w:r>
      <w:r w:rsid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="000C7B40"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%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).</w:t>
      </w:r>
    </w:p>
    <w:p w14:paraId="26A5EF45" w14:textId="77777777" w:rsidR="003E5339" w:rsidRPr="003E5339" w:rsidRDefault="003E5339" w:rsidP="004526B4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sz w:val="10"/>
          <w:szCs w:val="24"/>
          <w:lang w:val="uk-UA"/>
        </w:rPr>
      </w:pPr>
    </w:p>
    <w:p w14:paraId="6498103B" w14:textId="77777777" w:rsidR="004D1119" w:rsidRPr="004526B4" w:rsidRDefault="004D1119" w:rsidP="004526B4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5"/>
        <w:rPr>
          <w:sz w:val="24"/>
          <w:szCs w:val="24"/>
          <w:lang w:val="uk-UA"/>
        </w:rPr>
      </w:pPr>
      <w:r w:rsidRPr="004526B4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4851D80F" w:rsidR="004D1119" w:rsidRPr="004526B4" w:rsidRDefault="004D1119" w:rsidP="004526B4">
      <w:pPr>
        <w:pStyle w:val="1"/>
        <w:shd w:val="clear" w:color="auto" w:fill="auto"/>
        <w:spacing w:after="0"/>
        <w:ind w:firstLine="425"/>
        <w:contextualSpacing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Наслідками прийняття розробленого проєкту рішення стане</w:t>
      </w:r>
      <w:r w:rsidR="004251B0" w:rsidRPr="004526B4">
        <w:rPr>
          <w:sz w:val="24"/>
          <w:szCs w:val="24"/>
          <w:lang w:val="uk-UA"/>
        </w:rPr>
        <w:t xml:space="preserve"> </w:t>
      </w:r>
      <w:r w:rsidRPr="004526B4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4526B4">
        <w:rPr>
          <w:sz w:val="24"/>
          <w:szCs w:val="24"/>
          <w:lang w:val="uk-UA"/>
        </w:rPr>
        <w:t xml:space="preserve"> корист</w:t>
      </w:r>
      <w:r w:rsidR="004526B4">
        <w:rPr>
          <w:sz w:val="24"/>
          <w:szCs w:val="24"/>
          <w:lang w:val="uk-UA"/>
        </w:rPr>
        <w:t>ув</w:t>
      </w:r>
      <w:r w:rsidR="000C7B40" w:rsidRPr="004526B4">
        <w:rPr>
          <w:sz w:val="24"/>
          <w:szCs w:val="24"/>
          <w:lang w:val="uk-UA"/>
        </w:rPr>
        <w:t>ання земельно</w:t>
      </w:r>
      <w:r w:rsidR="004526B4">
        <w:rPr>
          <w:sz w:val="24"/>
          <w:szCs w:val="24"/>
          <w:lang w:val="uk-UA"/>
        </w:rPr>
        <w:t>ю</w:t>
      </w:r>
      <w:r w:rsidR="000C7B40" w:rsidRPr="004526B4">
        <w:rPr>
          <w:sz w:val="24"/>
          <w:szCs w:val="24"/>
          <w:lang w:val="uk-UA"/>
        </w:rPr>
        <w:t xml:space="preserve"> ділянк</w:t>
      </w:r>
      <w:r w:rsidR="004526B4">
        <w:rPr>
          <w:sz w:val="24"/>
          <w:szCs w:val="24"/>
          <w:lang w:val="uk-UA"/>
        </w:rPr>
        <w:t>ою</w:t>
      </w:r>
      <w:r w:rsidR="000C7B40" w:rsidRPr="004526B4">
        <w:rPr>
          <w:sz w:val="24"/>
          <w:szCs w:val="24"/>
          <w:lang w:val="uk-UA"/>
        </w:rPr>
        <w:t>.</w:t>
      </w:r>
    </w:p>
    <w:p w14:paraId="1ABF69F8" w14:textId="77777777" w:rsidR="004D1119" w:rsidRPr="004526B4" w:rsidRDefault="004D1119" w:rsidP="007778A0">
      <w:pPr>
        <w:pStyle w:val="22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4526B4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526B4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3E5339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3E5339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3E5339" w:rsidRDefault="00E41057" w:rsidP="003E5339">
      <w:pPr>
        <w:spacing w:line="240" w:lineRule="auto"/>
        <w:rPr>
          <w:sz w:val="12"/>
          <w:lang w:val="ru-RU"/>
        </w:rPr>
      </w:pPr>
    </w:p>
    <w:sectPr w:rsidR="00E41057" w:rsidRPr="003E5339" w:rsidSect="003E5339">
      <w:headerReference w:type="default" r:id="rId12"/>
      <w:pgSz w:w="11906" w:h="16838" w:code="9"/>
      <w:pgMar w:top="709" w:right="758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E62C7" w14:textId="77777777" w:rsidR="006B5D06" w:rsidRDefault="006B5D06" w:rsidP="004D1119">
      <w:pPr>
        <w:spacing w:after="0" w:line="240" w:lineRule="auto"/>
      </w:pPr>
      <w:r>
        <w:separator/>
      </w:r>
    </w:p>
  </w:endnote>
  <w:endnote w:type="continuationSeparator" w:id="0">
    <w:p w14:paraId="37BDCE15" w14:textId="77777777" w:rsidR="006B5D06" w:rsidRDefault="006B5D0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A9BEA" w14:textId="77777777" w:rsidR="006B5D06" w:rsidRDefault="006B5D06" w:rsidP="004D1119">
      <w:pPr>
        <w:spacing w:after="0" w:line="240" w:lineRule="auto"/>
      </w:pPr>
      <w:r>
        <w:separator/>
      </w:r>
    </w:p>
  </w:footnote>
  <w:footnote w:type="continuationSeparator" w:id="0">
    <w:p w14:paraId="6966B9B6" w14:textId="77777777" w:rsidR="006B5D06" w:rsidRDefault="006B5D0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7CAD8ED">
              <wp:simplePos x="0" y="0"/>
              <wp:positionH relativeFrom="column">
                <wp:posOffset>1137285</wp:posOffset>
              </wp:positionH>
              <wp:positionV relativeFrom="paragraph">
                <wp:posOffset>-266700</wp:posOffset>
              </wp:positionV>
              <wp:extent cx="5410200" cy="38862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1248105699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12CC51E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AA5FF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ПЗН-58720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29.09.2023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AA5FF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справи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691014420</w:t>
                              </w:r>
                            </w:p>
                            <w:p w14:paraId="46F472CC" w14:textId="482B4411" w:rsidR="00854FAD" w:rsidRPr="00854FAD" w:rsidRDefault="00854FAD" w:rsidP="00AA5FF2">
                              <w:pPr>
                                <w:pStyle w:val="ab"/>
                                <w:ind w:right="1002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61207F" w:rsidRPr="0061207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1pt;width:426pt;height: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248105699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12CC51E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AA5FF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ПЗН-58720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29.09.2023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AA5FF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справи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691014420</w:t>
                        </w:r>
                      </w:p>
                      <w:p w14:paraId="46F472CC" w14:textId="482B4411" w:rsidR="00854FAD" w:rsidRPr="00854FAD" w:rsidRDefault="00854FAD" w:rsidP="00AA5FF2">
                        <w:pPr>
                          <w:pStyle w:val="ab"/>
                          <w:ind w:right="1002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61207F" w:rsidRPr="0061207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45ECD"/>
    <w:rsid w:val="00065154"/>
    <w:rsid w:val="00072A72"/>
    <w:rsid w:val="000C7B40"/>
    <w:rsid w:val="000E32C6"/>
    <w:rsid w:val="00124E84"/>
    <w:rsid w:val="00140354"/>
    <w:rsid w:val="001525DE"/>
    <w:rsid w:val="001C3C63"/>
    <w:rsid w:val="001D3750"/>
    <w:rsid w:val="002050D1"/>
    <w:rsid w:val="00221619"/>
    <w:rsid w:val="00225E17"/>
    <w:rsid w:val="00256BA4"/>
    <w:rsid w:val="002620EA"/>
    <w:rsid w:val="00297849"/>
    <w:rsid w:val="002C67E9"/>
    <w:rsid w:val="0032082A"/>
    <w:rsid w:val="003756E5"/>
    <w:rsid w:val="003C4464"/>
    <w:rsid w:val="003C48D1"/>
    <w:rsid w:val="003E5339"/>
    <w:rsid w:val="00423DB8"/>
    <w:rsid w:val="004251B0"/>
    <w:rsid w:val="0044297A"/>
    <w:rsid w:val="0044604C"/>
    <w:rsid w:val="004526B4"/>
    <w:rsid w:val="0045403A"/>
    <w:rsid w:val="00457E5F"/>
    <w:rsid w:val="00465F9E"/>
    <w:rsid w:val="004855E4"/>
    <w:rsid w:val="00494F8F"/>
    <w:rsid w:val="004A3488"/>
    <w:rsid w:val="004A5DBD"/>
    <w:rsid w:val="004D1119"/>
    <w:rsid w:val="004D5BC3"/>
    <w:rsid w:val="00501E57"/>
    <w:rsid w:val="0050254F"/>
    <w:rsid w:val="00503538"/>
    <w:rsid w:val="00511117"/>
    <w:rsid w:val="005639F6"/>
    <w:rsid w:val="005644E3"/>
    <w:rsid w:val="005659FB"/>
    <w:rsid w:val="00582A2E"/>
    <w:rsid w:val="005E018B"/>
    <w:rsid w:val="005F2210"/>
    <w:rsid w:val="005F7F74"/>
    <w:rsid w:val="0061027B"/>
    <w:rsid w:val="0061207F"/>
    <w:rsid w:val="00632F40"/>
    <w:rsid w:val="00640A95"/>
    <w:rsid w:val="00643941"/>
    <w:rsid w:val="006449EB"/>
    <w:rsid w:val="00660746"/>
    <w:rsid w:val="00663205"/>
    <w:rsid w:val="0066447F"/>
    <w:rsid w:val="00677C54"/>
    <w:rsid w:val="00683654"/>
    <w:rsid w:val="006B5D06"/>
    <w:rsid w:val="006C7FB9"/>
    <w:rsid w:val="006D66E4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1B63"/>
    <w:rsid w:val="00854FAD"/>
    <w:rsid w:val="0085512A"/>
    <w:rsid w:val="008710BD"/>
    <w:rsid w:val="00882577"/>
    <w:rsid w:val="00886B09"/>
    <w:rsid w:val="00920863"/>
    <w:rsid w:val="00962266"/>
    <w:rsid w:val="009946E5"/>
    <w:rsid w:val="009D6F39"/>
    <w:rsid w:val="009E5D57"/>
    <w:rsid w:val="00A21758"/>
    <w:rsid w:val="00A43048"/>
    <w:rsid w:val="00A62E96"/>
    <w:rsid w:val="00A76250"/>
    <w:rsid w:val="00A83DF0"/>
    <w:rsid w:val="00AA5FF2"/>
    <w:rsid w:val="00AD1EEC"/>
    <w:rsid w:val="00B12087"/>
    <w:rsid w:val="00B14A74"/>
    <w:rsid w:val="00B3699E"/>
    <w:rsid w:val="00B4075F"/>
    <w:rsid w:val="00B9251E"/>
    <w:rsid w:val="00BA1207"/>
    <w:rsid w:val="00BC39D6"/>
    <w:rsid w:val="00BC5A16"/>
    <w:rsid w:val="00BD7658"/>
    <w:rsid w:val="00BE6672"/>
    <w:rsid w:val="00C074E5"/>
    <w:rsid w:val="00C15B54"/>
    <w:rsid w:val="00C23F8D"/>
    <w:rsid w:val="00C314F1"/>
    <w:rsid w:val="00C53778"/>
    <w:rsid w:val="00C675D8"/>
    <w:rsid w:val="00C73366"/>
    <w:rsid w:val="00C837C6"/>
    <w:rsid w:val="00C9448A"/>
    <w:rsid w:val="00CA36E6"/>
    <w:rsid w:val="00CD0A63"/>
    <w:rsid w:val="00D75A6C"/>
    <w:rsid w:val="00D94885"/>
    <w:rsid w:val="00DC31BC"/>
    <w:rsid w:val="00DC4060"/>
    <w:rsid w:val="00DE2073"/>
    <w:rsid w:val="00DE2B79"/>
    <w:rsid w:val="00E31412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501E5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name">
    <w:name w:val="name"/>
    <w:basedOn w:val="a0"/>
    <w:rsid w:val="00045ECD"/>
  </w:style>
  <w:style w:type="character" w:customStyle="1" w:styleId="20">
    <w:name w:val="Заголовок 2 Знак"/>
    <w:basedOn w:val="a0"/>
    <w:link w:val="2"/>
    <w:rsid w:val="00501E5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1">
    <w:name w:val="No Spacing"/>
    <w:uiPriority w:val="1"/>
    <w:qFormat/>
    <w:rsid w:val="00A7625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u/search/?q=37502243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8205E-403A-4C11-AD9F-3F02A744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6772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>Пояснювальна записка ЮР особа</vt:lpstr>
    </vt:vector>
  </TitlesOfParts>
  <Manager>Управління землеустрою</Manager>
  <Company>ДЕПАРТАМЕНТ ЗЕМЕЛЬНИХ РЕСУРСІВ</Company>
  <LinksUpToDate>false</LinksUpToDate>
  <CharactersWithSpaces>7944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user.kmr</cp:lastModifiedBy>
  <cp:revision>2</cp:revision>
  <cp:lastPrinted>2023-10-26T07:46:00Z</cp:lastPrinted>
  <dcterms:created xsi:type="dcterms:W3CDTF">2023-11-03T12:00:00Z</dcterms:created>
  <dcterms:modified xsi:type="dcterms:W3CDTF">2023-11-03T12:00:00Z</dcterms:modified>
</cp:coreProperties>
</file>