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834649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687374100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687374100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4649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834649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649">
        <w:rPr>
          <w:b/>
          <w:bCs/>
          <w:i w:val="0"/>
          <w:iCs w:val="0"/>
          <w:sz w:val="24"/>
          <w:szCs w:val="24"/>
          <w:lang w:val="ru-RU"/>
        </w:rPr>
        <w:t xml:space="preserve">№ ПЗН-49221 </w:t>
      </w:r>
      <w:proofErr w:type="spellStart"/>
      <w:r w:rsidRPr="0083464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3464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34649">
        <w:rPr>
          <w:b/>
          <w:bCs/>
          <w:i w:val="0"/>
          <w:sz w:val="24"/>
          <w:szCs w:val="24"/>
          <w:lang w:val="ru-RU"/>
        </w:rPr>
        <w:t>05.01.2023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51CB39F1" w:rsidR="00AB6376" w:rsidRPr="00433810" w:rsidRDefault="00AB6376" w:rsidP="00834649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КОМУНАЛЬНОМУ ПІДПРИЄМСТВУ ВИКОНАВЧОГО ОРГАНУ КИЇВРАДИ (КИЇВСЬКОЇ МІСЬКОЇ ДЕРЖАВНОЇ АДМІНІСТРАЦІЇ) «КИЇВТЕПЛОЕНЕРГО» в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котельні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шосе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Стратегічному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, 54 у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Голосіївському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834649">
        <w:rPr>
          <w:rFonts w:eastAsia="Georgia"/>
          <w:b/>
          <w:i/>
          <w:iCs/>
          <w:sz w:val="24"/>
          <w:szCs w:val="24"/>
          <w:lang w:val="ru-RU"/>
        </w:rPr>
        <w:br/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834649" w:rsidRPr="0083464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AB6376" w:rsidRPr="00CF2418" w14:paraId="095E8B0B" w14:textId="77777777" w:rsidTr="00834649">
        <w:trPr>
          <w:cantSplit/>
          <w:trHeight w:val="773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2B54E6C0" w:rsidR="00AB6376" w:rsidRPr="00B30291" w:rsidRDefault="00FB5D25" w:rsidP="0083464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3464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001C5EE" w14:textId="77777777" w:rsidR="00834649" w:rsidRPr="00834649" w:rsidRDefault="00834649" w:rsidP="0083464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34649">
              <w:rPr>
                <w:b w:val="0"/>
                <w:i/>
                <w:sz w:val="24"/>
                <w:szCs w:val="24"/>
                <w:lang w:val="ru-RU"/>
              </w:rPr>
              <w:t>КИЇВСЬКА МІСЬКА РАДА</w:t>
            </w:r>
          </w:p>
          <w:p w14:paraId="71B35F5E" w14:textId="48ED33B2" w:rsidR="00AB6376" w:rsidRPr="00834649" w:rsidRDefault="00834649" w:rsidP="0083464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834649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34649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3464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4649">
              <w:rPr>
                <w:b w:val="0"/>
                <w:i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834649">
              <w:rPr>
                <w:b w:val="0"/>
                <w:i/>
                <w:sz w:val="24"/>
                <w:szCs w:val="24"/>
                <w:lang w:val="ru-RU"/>
              </w:rPr>
              <w:t xml:space="preserve"> район, ВУЛИЦЯ ХРЕЩАТИК, </w:t>
            </w:r>
            <w:proofErr w:type="spellStart"/>
            <w:r w:rsidRPr="00834649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834649">
              <w:rPr>
                <w:b w:val="0"/>
                <w:i/>
                <w:sz w:val="24"/>
                <w:szCs w:val="24"/>
                <w:lang w:val="ru-RU"/>
              </w:rPr>
              <w:t xml:space="preserve">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834649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7C318EB8" w:rsidR="00AB6376" w:rsidRPr="00834649" w:rsidRDefault="00FB5D25" w:rsidP="00834649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28.12.2022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687374100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34649">
        <w:rPr>
          <w:sz w:val="24"/>
          <w:szCs w:val="24"/>
          <w:lang w:val="ru-RU"/>
        </w:rPr>
        <w:t>8000000000:82:415:0008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834649">
        <w:trPr>
          <w:trHeight w:hRule="exact" w:val="36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834649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834649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3464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34649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34649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834649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4649">
              <w:rPr>
                <w:i/>
                <w:iCs/>
                <w:sz w:val="24"/>
                <w:szCs w:val="24"/>
                <w:lang w:val="ru-RU"/>
              </w:rPr>
              <w:t>шосе</w:t>
            </w:r>
            <w:proofErr w:type="spellEnd"/>
            <w:r w:rsidRPr="00834649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649">
              <w:rPr>
                <w:i/>
                <w:iCs/>
                <w:sz w:val="24"/>
                <w:szCs w:val="24"/>
                <w:lang w:val="ru-RU"/>
              </w:rPr>
              <w:t>Стратегічне</w:t>
            </w:r>
            <w:proofErr w:type="spellEnd"/>
            <w:r w:rsidRPr="00834649">
              <w:rPr>
                <w:i/>
                <w:iCs/>
                <w:sz w:val="24"/>
                <w:szCs w:val="24"/>
                <w:lang w:val="ru-RU"/>
              </w:rPr>
              <w:t>, 54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8346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0,0256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834649">
        <w:trPr>
          <w:trHeight w:hRule="exact" w:val="300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0152585F" w:rsidR="00AB6376" w:rsidRPr="00433810" w:rsidRDefault="00834649" w:rsidP="0083464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</w:t>
            </w:r>
            <w:proofErr w:type="spellStart"/>
            <w:r w:rsidR="00AB6376" w:rsidRPr="00834649">
              <w:rPr>
                <w:i/>
                <w:sz w:val="24"/>
                <w:szCs w:val="24"/>
                <w:lang w:val="ru-RU"/>
              </w:rPr>
              <w:t>остійне</w:t>
            </w:r>
            <w:proofErr w:type="spellEnd"/>
            <w:r w:rsidR="00AB6376" w:rsidRPr="0083464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834649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</w:tr>
      <w:tr w:rsidR="00AB6376" w14:paraId="632BE715" w14:textId="77777777" w:rsidTr="00834649">
        <w:trPr>
          <w:trHeight w:hRule="exact" w:val="573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6F3B83BA" w:rsidR="00AB6376" w:rsidRPr="00834649" w:rsidRDefault="00834649" w:rsidP="00834649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834649">
              <w:rPr>
                <w:i/>
                <w:sz w:val="24"/>
                <w:szCs w:val="24"/>
                <w:lang w:val="ru-RU"/>
              </w:rPr>
              <w:t>землі</w:t>
            </w:r>
            <w:proofErr w:type="spellEnd"/>
            <w:r w:rsidRPr="0083464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649"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834649">
              <w:rPr>
                <w:i/>
                <w:sz w:val="24"/>
                <w:szCs w:val="24"/>
                <w:lang w:val="ru-RU"/>
              </w:rPr>
              <w:t xml:space="preserve">, транспорту, </w:t>
            </w:r>
            <w:proofErr w:type="spellStart"/>
            <w:r w:rsidRPr="00834649"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3464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649"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 w:rsidRPr="00834649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4649">
              <w:rPr>
                <w:i/>
                <w:sz w:val="24"/>
                <w:szCs w:val="24"/>
                <w:lang w:val="ru-RU"/>
              </w:rPr>
              <w:t>енергетики</w:t>
            </w:r>
            <w:proofErr w:type="spellEnd"/>
            <w:r w:rsidRPr="00834649"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 w:rsidRPr="00834649"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 w:rsidRPr="0083464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649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AB6376" w14:paraId="759231D0" w14:textId="77777777" w:rsidTr="00834649">
        <w:trPr>
          <w:trHeight w:hRule="exact" w:val="1120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34649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6F26D4FA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834649">
              <w:rPr>
                <w:i/>
                <w:sz w:val="24"/>
                <w:szCs w:val="24"/>
                <w:highlight w:val="white"/>
                <w:lang w:val="uk-UA"/>
              </w:rPr>
              <w:t>14.01</w:t>
            </w:r>
            <w:r w:rsidRPr="00834649">
              <w:rPr>
                <w:rStyle w:val="ac"/>
                <w:sz w:val="24"/>
                <w:szCs w:val="24"/>
                <w:lang w:val="uk-UA"/>
              </w:rPr>
              <w:t xml:space="preserve">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834649" w:rsidRPr="00834649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будівлі котельні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834649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834649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834649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834649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71804CC2" w:rsidR="00AB6376" w:rsidRPr="00433810" w:rsidRDefault="00AB6376" w:rsidP="00834649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834649" w:rsidRPr="00834649">
              <w:rPr>
                <w:rStyle w:val="ac"/>
                <w:sz w:val="24"/>
                <w:szCs w:val="24"/>
                <w:lang w:val="ru-RU"/>
              </w:rPr>
              <w:t xml:space="preserve">160 963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r w:rsidR="00834649" w:rsidRPr="00834649">
              <w:rPr>
                <w:rStyle w:val="ac"/>
                <w:sz w:val="24"/>
                <w:szCs w:val="24"/>
                <w:lang w:val="ru-RU"/>
              </w:rPr>
              <w:t>39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C5CFECA" w14:textId="2B219115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10BC48D7" w:rsidR="00AB6376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24324E5" w14:textId="04EB25EF" w:rsidR="002C642E" w:rsidRDefault="002C642E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C1AF2E7" w14:textId="40E560C8" w:rsidR="002C642E" w:rsidRDefault="002C642E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ABEC2D5" w14:textId="4345279E" w:rsidR="002C642E" w:rsidRDefault="002C642E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4F0DA1C1" w14:textId="77777777" w:rsidR="002C642E" w:rsidRPr="00B30291" w:rsidRDefault="002C642E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6CB87BFC" w:rsidR="00AB6376" w:rsidRPr="00F336A8" w:rsidRDefault="00834649" w:rsidP="00C714FB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346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земельній ділянці розташована будівля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котельні (літера «Б») </w:t>
            </w:r>
            <w:r w:rsidRPr="008346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82,8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 м, яка</w:t>
            </w:r>
            <w:r w:rsidRPr="0083464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перебуває у комунальній власності територіальної громади міста Києва (право власності зареєстровано у Державному реєстрі речових </w:t>
            </w:r>
            <w:r w:rsidR="00C714F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прав на нерухоме майно 19.09.2019, номер запису про право власності 33385745) та </w:t>
            </w:r>
            <w:r w:rsidRPr="00834649">
              <w:rPr>
                <w:rFonts w:ascii="Times New Roman" w:eastAsia="Times New Roman" w:hAnsi="Times New Roman" w:cs="Times New Roman"/>
                <w:i/>
                <w:color w:val="auto"/>
              </w:rPr>
              <w:t>закріплена на праві господарського відання за КОМУНАЛЬНИМ ПІДПРИЄМСТВОМ ВИКОНАВЧОГО ОРГАНУ КИЇВРАДИ (КИЇВСЬКОЇ МІСЬКОЇ ДЕРЖАВНОЇ АДМІНІСТРАЦІЇ) «КИЇВТЕПЛОЕНЕРГО»</w:t>
            </w:r>
            <w:r w:rsidR="00C714F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</w:t>
            </w:r>
            <w:r w:rsidR="00C714FB" w:rsidRPr="00C714FB">
              <w:rPr>
                <w:rFonts w:ascii="Times New Roman" w:eastAsia="Times New Roman" w:hAnsi="Times New Roman" w:cs="Times New Roman"/>
                <w:i/>
                <w:color w:val="auto"/>
              </w:rPr>
              <w:t>право господарського відання зареєстровано у Державному реєстрі речових прав на нерухоме майно 04</w:t>
            </w:r>
            <w:r w:rsidR="00C714FB">
              <w:rPr>
                <w:rFonts w:ascii="Times New Roman" w:eastAsia="Times New Roman" w:hAnsi="Times New Roman" w:cs="Times New Roman"/>
                <w:i/>
                <w:color w:val="auto"/>
              </w:rPr>
              <w:t>.12.</w:t>
            </w:r>
            <w:r w:rsidR="00C714FB" w:rsidRPr="00C714FB">
              <w:rPr>
                <w:rFonts w:ascii="Times New Roman" w:eastAsia="Times New Roman" w:hAnsi="Times New Roman" w:cs="Times New Roman"/>
                <w:i/>
                <w:color w:val="auto"/>
              </w:rPr>
              <w:t>2020, номер запису про інше речове право 39634241</w:t>
            </w:r>
            <w:r w:rsidR="00C714FB">
              <w:rPr>
                <w:rFonts w:ascii="Times New Roman" w:eastAsia="Times New Roman" w:hAnsi="Times New Roman" w:cs="Times New Roman"/>
                <w:i/>
                <w:color w:val="auto"/>
              </w:rPr>
              <w:t>) (інформація з Державного реєстру речових прав на нерухоме майно від 05.01.2023 № 319661996).</w:t>
            </w:r>
          </w:p>
        </w:tc>
      </w:tr>
      <w:tr w:rsidR="00AB6376" w:rsidRPr="0070402C" w14:paraId="66197205" w14:textId="77777777" w:rsidTr="00741106">
        <w:trPr>
          <w:cantSplit/>
          <w:trHeight w:val="1728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4AD5FCE0" w:rsidR="00AB6376" w:rsidRPr="00C714FB" w:rsidRDefault="00C714FB" w:rsidP="00AA006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714FB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 в межах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C714FB">
              <w:rPr>
                <w:rFonts w:ascii="Times New Roman" w:hAnsi="Times New Roman"/>
                <w:i/>
                <w:color w:val="auto"/>
              </w:rPr>
              <w:t xml:space="preserve">вулиці </w:t>
            </w:r>
            <w:proofErr w:type="spellStart"/>
            <w:r w:rsidRPr="00C714FB">
              <w:rPr>
                <w:rFonts w:ascii="Times New Roman" w:hAnsi="Times New Roman"/>
                <w:i/>
                <w:color w:val="auto"/>
              </w:rPr>
              <w:t>Саперно</w:t>
            </w:r>
            <w:proofErr w:type="spellEnd"/>
            <w:r w:rsidRPr="00C714FB">
              <w:rPr>
                <w:rFonts w:ascii="Times New Roman" w:hAnsi="Times New Roman"/>
                <w:i/>
                <w:color w:val="auto"/>
              </w:rPr>
              <w:t>-Слобідської, проспекту Науки</w:t>
            </w:r>
            <w:r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C714FB">
              <w:rPr>
                <w:rFonts w:ascii="Times New Roman" w:hAnsi="Times New Roman"/>
                <w:i/>
                <w:color w:val="auto"/>
              </w:rPr>
              <w:t>у Голосіївському районі м. Києва</w:t>
            </w:r>
            <w:r w:rsidRPr="00C714FB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</w:t>
            </w:r>
            <w:r w:rsid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C714FB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</w:t>
            </w:r>
            <w:r w:rsid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C714FB"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 w:rsid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A0069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06.04.2017 </w:t>
            </w:r>
            <w:r w:rsidR="00AA0069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br/>
              <w:t>№ 141/2363</w:t>
            </w:r>
            <w:r w:rsidRPr="00C714F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земельна ділянка за функціональним призначенням належить до території </w:t>
            </w:r>
            <w:r w:rsidR="00AA0069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об’єктів інженерного забезпечення</w:t>
            </w:r>
            <w:r w:rsidR="00AA0069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AA0069">
        <w:trPr>
          <w:cantSplit/>
          <w:trHeight w:val="1124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69CDE11D" w:rsidR="00AB6376" w:rsidRPr="00AA0069" w:rsidRDefault="00AB6376" w:rsidP="00181545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433810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433810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</w:t>
            </w: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28</w:t>
            </w:r>
            <w:r w:rsidR="00E679AD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="00067E8F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</w:t>
            </w: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№ 370/1804, земельна ділянка за функціональним призначенням належить до</w:t>
            </w:r>
            <w:r w:rsidR="00C714FB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81545">
              <w:rPr>
                <w:rFonts w:ascii="Times New Roman" w:eastAsia="Times New Roman" w:hAnsi="Times New Roman" w:cs="Times New Roman"/>
                <w:i/>
                <w:color w:val="auto"/>
              </w:rPr>
              <w:t>т</w:t>
            </w:r>
            <w:r w:rsidR="00C714FB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ериторі</w:t>
            </w:r>
            <w:r w:rsidR="00181545">
              <w:rPr>
                <w:rFonts w:ascii="Times New Roman" w:eastAsia="Times New Roman" w:hAnsi="Times New Roman" w:cs="Times New Roman"/>
                <w:i/>
                <w:color w:val="auto"/>
              </w:rPr>
              <w:t>ї</w:t>
            </w:r>
            <w:r w:rsidR="00C714FB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bookmarkStart w:id="0" w:name="_GoBack"/>
            <w:bookmarkEnd w:id="0"/>
            <w:r w:rsidR="00C714FB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об’єктів інженерного забезпечення</w:t>
            </w:r>
            <w:r w:rsidR="00AA0069"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AA0069" w:rsidRDefault="00AB6376" w:rsidP="00AA006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3C2937AC" w:rsidR="00AB6376" w:rsidRPr="00AA0069" w:rsidRDefault="00AB6376" w:rsidP="00AA006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5C826A4" w14:textId="1D6443D4" w:rsidR="00AA0069" w:rsidRDefault="00AA0069" w:rsidP="00AA006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розташована поза межами червоних ліній.</w:t>
            </w:r>
          </w:p>
          <w:p w14:paraId="2A8ACE25" w14:textId="0F551162" w:rsidR="00AA0069" w:rsidRPr="00AA0069" w:rsidRDefault="00AA0069" w:rsidP="00AA0069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листом Міністерства культури та інформаційної політики України від 28.10.2022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br/>
              <w:t xml:space="preserve">№ 06/18/3140-22, земельна ділянка розташована у Центральному історичному ареалі міста Києва.  </w:t>
            </w:r>
          </w:p>
          <w:p w14:paraId="61AA5F33" w14:textId="77777777" w:rsidR="004F7214" w:rsidRPr="00AA0069" w:rsidRDefault="00A90D7B" w:rsidP="00AA0069">
            <w:pPr>
              <w:pStyle w:val="ad"/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AA006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1D032EAE" w14:textId="164E55FD"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CD3A7D">
        <w:rPr>
          <w:i w:val="0"/>
          <w:sz w:val="24"/>
          <w:szCs w:val="24"/>
          <w:lang w:val="ru-RU"/>
        </w:rPr>
        <w:t>Відповідно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CD3A7D">
        <w:rPr>
          <w:i w:val="0"/>
          <w:sz w:val="24"/>
          <w:szCs w:val="24"/>
          <w:lang w:val="ru-RU"/>
        </w:rPr>
        <w:t>Податкового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CD3A7D">
        <w:rPr>
          <w:i w:val="0"/>
          <w:sz w:val="24"/>
          <w:szCs w:val="24"/>
          <w:lang w:val="ru-RU"/>
        </w:rPr>
        <w:t>України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П</w:t>
      </w:r>
      <w:r>
        <w:rPr>
          <w:i w:val="0"/>
          <w:sz w:val="24"/>
          <w:szCs w:val="24"/>
          <w:lang w:val="ru-RU"/>
        </w:rPr>
        <w:t>оложення</w:t>
      </w:r>
      <w:proofErr w:type="spellEnd"/>
      <w:r>
        <w:rPr>
          <w:i w:val="0"/>
          <w:sz w:val="24"/>
          <w:szCs w:val="24"/>
          <w:lang w:val="ru-RU"/>
        </w:rPr>
        <w:t xml:space="preserve"> про плату з</w:t>
      </w:r>
      <w:r w:rsidRPr="00CD3A7D">
        <w:rPr>
          <w:i w:val="0"/>
          <w:sz w:val="24"/>
          <w:szCs w:val="24"/>
          <w:lang w:val="ru-RU"/>
        </w:rPr>
        <w:t xml:space="preserve">а землю в </w:t>
      </w:r>
      <w:proofErr w:type="spellStart"/>
      <w:r w:rsidRPr="00CD3A7D">
        <w:rPr>
          <w:i w:val="0"/>
          <w:sz w:val="24"/>
          <w:szCs w:val="24"/>
          <w:lang w:val="ru-RU"/>
        </w:rPr>
        <w:t>місті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lastRenderedPageBreak/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, </w:t>
      </w:r>
      <w:proofErr w:type="spellStart"/>
      <w:r w:rsidRPr="00CD3A7D">
        <w:rPr>
          <w:i w:val="0"/>
          <w:sz w:val="24"/>
          <w:szCs w:val="24"/>
          <w:lang w:val="ru-RU"/>
        </w:rPr>
        <w:t>затвердженого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рішенням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CD3A7D">
        <w:rPr>
          <w:i w:val="0"/>
          <w:sz w:val="24"/>
          <w:szCs w:val="24"/>
          <w:lang w:val="ru-RU"/>
        </w:rPr>
        <w:t>від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встановлення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місцевих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податків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CD3A7D">
        <w:rPr>
          <w:i w:val="0"/>
          <w:sz w:val="24"/>
          <w:szCs w:val="24"/>
          <w:lang w:val="ru-RU"/>
        </w:rPr>
        <w:t>зборів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у м.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Києві</w:t>
      </w:r>
      <w:proofErr w:type="spellEnd"/>
      <w:r w:rsidRPr="00CD3A7D">
        <w:rPr>
          <w:i w:val="0"/>
          <w:sz w:val="24"/>
          <w:szCs w:val="24"/>
          <w:lang w:val="ru-RU"/>
        </w:rPr>
        <w:t>» (</w:t>
      </w:r>
      <w:proofErr w:type="spellStart"/>
      <w:r w:rsidRPr="00CD3A7D">
        <w:rPr>
          <w:i w:val="0"/>
          <w:sz w:val="24"/>
          <w:szCs w:val="24"/>
          <w:lang w:val="ru-RU"/>
        </w:rPr>
        <w:t>зі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змінами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CD3A7D">
        <w:rPr>
          <w:i w:val="0"/>
          <w:sz w:val="24"/>
          <w:szCs w:val="24"/>
          <w:lang w:val="ru-RU"/>
        </w:rPr>
        <w:t>доп</w:t>
      </w:r>
      <w:r w:rsidR="00DD7B2D">
        <w:rPr>
          <w:i w:val="0"/>
          <w:sz w:val="24"/>
          <w:szCs w:val="24"/>
          <w:lang w:val="ru-RU"/>
        </w:rPr>
        <w:t>овненнями</w:t>
      </w:r>
      <w:proofErr w:type="spellEnd"/>
      <w:r w:rsidR="00DD7B2D">
        <w:rPr>
          <w:i w:val="0"/>
          <w:sz w:val="24"/>
          <w:szCs w:val="24"/>
          <w:lang w:val="ru-RU"/>
        </w:rPr>
        <w:t xml:space="preserve">) </w:t>
      </w:r>
      <w:proofErr w:type="spellStart"/>
      <w:r w:rsidR="00DD7B2D">
        <w:rPr>
          <w:i w:val="0"/>
          <w:sz w:val="24"/>
          <w:szCs w:val="24"/>
          <w:lang w:val="ru-RU"/>
        </w:rPr>
        <w:t>роз</w:t>
      </w:r>
      <w:r w:rsidR="00A635B1">
        <w:rPr>
          <w:i w:val="0"/>
          <w:sz w:val="24"/>
          <w:szCs w:val="24"/>
          <w:lang w:val="ru-RU"/>
        </w:rPr>
        <w:t>рахунковий</w:t>
      </w:r>
      <w:proofErr w:type="spellEnd"/>
      <w:r w:rsidR="00A635B1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розмір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CD3A7D">
        <w:rPr>
          <w:i w:val="0"/>
          <w:sz w:val="24"/>
          <w:szCs w:val="24"/>
          <w:lang w:val="ru-RU"/>
        </w:rPr>
        <w:t>податку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складатиме</w:t>
      </w:r>
      <w:proofErr w:type="spellEnd"/>
      <w:r w:rsidRPr="00CD3A7D">
        <w:rPr>
          <w:i w:val="0"/>
          <w:sz w:val="24"/>
          <w:szCs w:val="24"/>
          <w:lang w:val="ru-RU"/>
        </w:rPr>
        <w:t xml:space="preserve">: </w:t>
      </w:r>
      <w:r w:rsidR="00834649" w:rsidRPr="00834649">
        <w:rPr>
          <w:b/>
          <w:i w:val="0"/>
          <w:sz w:val="24"/>
          <w:szCs w:val="24"/>
          <w:u w:val="single"/>
          <w:lang w:val="ru-RU"/>
        </w:rPr>
        <w:t xml:space="preserve">4 828 </w:t>
      </w:r>
      <w:proofErr w:type="spellStart"/>
      <w:r w:rsidRPr="00834649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834649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834649" w:rsidRPr="00834649">
        <w:rPr>
          <w:b/>
          <w:i w:val="0"/>
          <w:sz w:val="24"/>
          <w:szCs w:val="24"/>
          <w:u w:val="single"/>
          <w:lang w:val="ru-RU"/>
        </w:rPr>
        <w:t>90</w:t>
      </w:r>
      <w:r w:rsidRPr="00834649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834649" w:rsidRPr="00834649">
        <w:rPr>
          <w:b/>
          <w:i w:val="0"/>
          <w:sz w:val="24"/>
          <w:szCs w:val="24"/>
          <w:u w:val="single"/>
          <w:lang w:val="ru-RU"/>
        </w:rPr>
        <w:t>3</w:t>
      </w:r>
      <w:r w:rsidRPr="00834649">
        <w:rPr>
          <w:b/>
          <w:i w:val="0"/>
          <w:sz w:val="24"/>
          <w:szCs w:val="24"/>
          <w:u w:val="single"/>
          <w:lang w:val="ru-RU"/>
        </w:rPr>
        <w:t xml:space="preserve"> %)</w:t>
      </w:r>
      <w:r w:rsidRPr="00CD3A7D">
        <w:rPr>
          <w:i w:val="0"/>
          <w:sz w:val="24"/>
          <w:szCs w:val="24"/>
          <w:lang w:val="ru-RU"/>
        </w:rPr>
        <w:t>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138312B7" w:rsidR="00AB6376" w:rsidRPr="00173F07" w:rsidRDefault="00AB6376" w:rsidP="00834649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83464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A717" w14:textId="77777777" w:rsidR="007902BE" w:rsidRDefault="007902BE">
      <w:r>
        <w:separator/>
      </w:r>
    </w:p>
  </w:endnote>
  <w:endnote w:type="continuationSeparator" w:id="0">
    <w:p w14:paraId="1F6D1C7C" w14:textId="77777777" w:rsidR="007902BE" w:rsidRDefault="007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58C9" w14:textId="77777777" w:rsidR="007902BE" w:rsidRDefault="007902BE">
      <w:r>
        <w:separator/>
      </w:r>
    </w:p>
  </w:footnote>
  <w:footnote w:type="continuationSeparator" w:id="0">
    <w:p w14:paraId="7D4E32FB" w14:textId="77777777" w:rsidR="007902BE" w:rsidRDefault="0079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3464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3464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34649">
          <w:rPr>
            <w:i w:val="0"/>
            <w:sz w:val="12"/>
            <w:szCs w:val="12"/>
            <w:lang w:val="ru-RU"/>
          </w:rPr>
          <w:t xml:space="preserve"> записка № ПЗН-49221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34649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34649">
          <w:rPr>
            <w:i w:val="0"/>
            <w:sz w:val="12"/>
            <w:szCs w:val="12"/>
            <w:lang w:val="ru-RU"/>
          </w:rPr>
          <w:t xml:space="preserve"> </w:t>
        </w:r>
        <w:r w:rsidR="00C805DB" w:rsidRPr="00834649">
          <w:rPr>
            <w:i w:val="0"/>
            <w:sz w:val="12"/>
            <w:szCs w:val="12"/>
            <w:lang w:val="ru-RU"/>
          </w:rPr>
          <w:t>05.01.2023</w:t>
        </w:r>
        <w:r w:rsidR="00B04F97" w:rsidRPr="0083464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834649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834649">
          <w:rPr>
            <w:i w:val="0"/>
            <w:sz w:val="12"/>
            <w:szCs w:val="12"/>
            <w:lang w:val="ru-RU"/>
          </w:rPr>
          <w:t xml:space="preserve"> 687374100</w:t>
        </w:r>
      </w:p>
      <w:p w14:paraId="74DAA626" w14:textId="7B8257EE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81545" w:rsidRPr="0018154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18154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1545"/>
    <w:rsid w:val="00187816"/>
    <w:rsid w:val="002A1D3E"/>
    <w:rsid w:val="002C642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902BE"/>
    <w:rsid w:val="007A32FB"/>
    <w:rsid w:val="007F0D94"/>
    <w:rsid w:val="00804D06"/>
    <w:rsid w:val="00820C6D"/>
    <w:rsid w:val="00834649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0DA2"/>
    <w:rsid w:val="00A42D6D"/>
    <w:rsid w:val="00A635B1"/>
    <w:rsid w:val="00A90D7B"/>
    <w:rsid w:val="00AA0069"/>
    <w:rsid w:val="00AB6376"/>
    <w:rsid w:val="00AB7F46"/>
    <w:rsid w:val="00B04F97"/>
    <w:rsid w:val="00BF1705"/>
    <w:rsid w:val="00C4394A"/>
    <w:rsid w:val="00C714FB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C71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3AF4-C95E-477E-AC11-AE31CD5E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5578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Рабець Максим Миколайович</cp:lastModifiedBy>
  <cp:revision>38</cp:revision>
  <cp:lastPrinted>2023-01-24T06:49:00Z</cp:lastPrinted>
  <dcterms:created xsi:type="dcterms:W3CDTF">2020-11-20T13:04:00Z</dcterms:created>
  <dcterms:modified xsi:type="dcterms:W3CDTF">2023-01-24T06:49:00Z</dcterms:modified>
</cp:coreProperties>
</file>