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176416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647214310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647214310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76416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176416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AA15C6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6416">
        <w:rPr>
          <w:b/>
          <w:bCs/>
          <w:i w:val="0"/>
          <w:iCs w:val="0"/>
          <w:sz w:val="24"/>
          <w:szCs w:val="24"/>
          <w:lang w:val="ru-RU"/>
        </w:rPr>
        <w:t xml:space="preserve">№ ПЗН-56590 від </w:t>
      </w:r>
      <w:r w:rsidRPr="00176416">
        <w:rPr>
          <w:b/>
          <w:bCs/>
          <w:i w:val="0"/>
          <w:sz w:val="24"/>
          <w:szCs w:val="24"/>
          <w:lang w:val="ru-RU"/>
        </w:rPr>
        <w:t>19.07.2023</w:t>
      </w:r>
    </w:p>
    <w:p w14:paraId="1B663883" w14:textId="77777777" w:rsidR="00B30291" w:rsidRPr="00176416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176416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176416">
        <w:rPr>
          <w:i w:val="0"/>
          <w:sz w:val="24"/>
          <w:szCs w:val="24"/>
          <w:lang w:val="ru-RU"/>
        </w:rPr>
        <w:t>:</w:t>
      </w:r>
    </w:p>
    <w:p w14:paraId="0916C809" w14:textId="60595C3B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>
        <w:rPr>
          <w:rFonts w:eastAsia="Georgia"/>
          <w:b/>
          <w:i/>
          <w:iCs/>
          <w:sz w:val="24"/>
          <w:szCs w:val="24"/>
          <w:lang w:val="uk-UA"/>
        </w:rPr>
        <w:t>передачу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47359C">
        <w:rPr>
          <w:rFonts w:eastAsia="Georgia"/>
          <w:b/>
          <w:i/>
          <w:iCs/>
          <w:sz w:val="24"/>
          <w:szCs w:val="24"/>
          <w:lang w:val="ru-RU"/>
        </w:rPr>
        <w:t xml:space="preserve">громадянину </w:t>
      </w:r>
      <w:r w:rsidRPr="00AA4738">
        <w:rPr>
          <w:rFonts w:eastAsia="Georgia"/>
          <w:b/>
          <w:i/>
          <w:iCs/>
          <w:sz w:val="24"/>
          <w:szCs w:val="24"/>
          <w:lang w:val="ru-RU"/>
        </w:rPr>
        <w:t>Ледіну Дмитру Сергійовичу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земельної ділянки</w:t>
      </w:r>
      <w:r w:rsidR="0047359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>в оренду</w:t>
      </w:r>
      <w:r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76416">
        <w:rPr>
          <w:rStyle w:val="ac"/>
          <w:b/>
          <w:sz w:val="24"/>
          <w:szCs w:val="24"/>
          <w:lang w:val="ru-RU"/>
        </w:rPr>
        <w:t>для експлуатації та обслуговування нежитлової будівлі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r w:rsidR="00A76A36">
        <w:rPr>
          <w:rFonts w:eastAsia="Georgia"/>
          <w:b/>
          <w:i/>
          <w:iCs/>
          <w:sz w:val="24"/>
          <w:szCs w:val="24"/>
          <w:lang w:val="ru-RU"/>
        </w:rPr>
        <w:t>вул. Сирецькій</w:t>
      </w:r>
      <w:r w:rsidRPr="009B2410">
        <w:rPr>
          <w:rFonts w:eastAsia="Georgia"/>
          <w:b/>
          <w:i/>
          <w:iCs/>
          <w:sz w:val="24"/>
          <w:szCs w:val="24"/>
          <w:lang w:val="ru-RU"/>
        </w:rPr>
        <w:t xml:space="preserve">, 29 літ. </w:t>
      </w:r>
      <w:r w:rsidR="002879B0">
        <w:rPr>
          <w:rFonts w:eastAsia="Georgia"/>
          <w:b/>
          <w:i/>
          <w:iCs/>
          <w:sz w:val="24"/>
          <w:szCs w:val="24"/>
          <w:lang w:val="ru-RU"/>
        </w:rPr>
        <w:t>«</w:t>
      </w:r>
      <w:r w:rsidRPr="009B2410">
        <w:rPr>
          <w:rFonts w:eastAsia="Georgia"/>
          <w:b/>
          <w:i/>
          <w:iCs/>
          <w:sz w:val="24"/>
          <w:szCs w:val="24"/>
          <w:lang w:val="ru-RU"/>
        </w:rPr>
        <w:t>А</w:t>
      </w:r>
      <w:r w:rsidR="002879B0">
        <w:rPr>
          <w:rFonts w:eastAsia="Georgia"/>
          <w:b/>
          <w:i/>
          <w:iCs/>
          <w:sz w:val="24"/>
          <w:szCs w:val="24"/>
          <w:lang w:val="ru-RU"/>
        </w:rPr>
        <w:t>» у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B2410">
        <w:rPr>
          <w:rFonts w:eastAsia="Georgia"/>
          <w:b/>
          <w:i/>
          <w:iCs/>
          <w:sz w:val="24"/>
          <w:szCs w:val="24"/>
          <w:lang w:val="ru-RU"/>
        </w:rPr>
        <w:t>Подільському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04A54256" w:rsidR="00B30291" w:rsidRPr="00670F38" w:rsidRDefault="002879B0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>
        <w:rPr>
          <w:sz w:val="24"/>
          <w:szCs w:val="24"/>
          <w:lang w:val="uk-UA"/>
        </w:rPr>
        <w:t>Фізична</w:t>
      </w:r>
      <w:r w:rsidR="00B30291" w:rsidRPr="00CF2418">
        <w:rPr>
          <w:sz w:val="24"/>
          <w:szCs w:val="24"/>
        </w:rPr>
        <w:t xml:space="preserve">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54BECA2" w:rsidR="00B30291" w:rsidRPr="00CF2418" w:rsidRDefault="00D77F52" w:rsidP="002879B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2879B0">
              <w:rPr>
                <w:b w:val="0"/>
                <w:sz w:val="24"/>
                <w:szCs w:val="24"/>
                <w:lang w:val="uk-UA"/>
              </w:rPr>
              <w:t>ПІБ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Ледін Дмитро Сергійович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13.07.2023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647214310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64283AE1" w14:textId="77777777" w:rsidR="009B2410" w:rsidRDefault="009B2410" w:rsidP="009B2410">
      <w:pPr>
        <w:pStyle w:val="a7"/>
        <w:shd w:val="clear" w:color="auto" w:fill="auto"/>
        <w:rPr>
          <w:sz w:val="24"/>
          <w:szCs w:val="24"/>
          <w:lang w:val="ru-RU"/>
        </w:rPr>
      </w:pPr>
    </w:p>
    <w:p w14:paraId="5EB468A3" w14:textId="19A5698C" w:rsidR="00B30291" w:rsidRPr="00B30291" w:rsidRDefault="009B2410" w:rsidP="009B2410">
      <w:pPr>
        <w:pStyle w:val="a7"/>
        <w:shd w:val="clear" w:color="auto" w:fil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2.</w:t>
      </w:r>
      <w:r w:rsidR="00B30291" w:rsidRPr="00B30291">
        <w:rPr>
          <w:sz w:val="24"/>
          <w:szCs w:val="24"/>
          <w:lang w:val="ru-RU"/>
        </w:rPr>
        <w:t>Відомості про земельну ділянку (</w:t>
      </w:r>
      <w:r w:rsidR="00B30291">
        <w:rPr>
          <w:sz w:val="24"/>
          <w:szCs w:val="24"/>
          <w:lang w:val="ru-RU"/>
        </w:rPr>
        <w:t>кадастровий</w:t>
      </w:r>
      <w:r w:rsidR="00B30291" w:rsidRPr="00B30291">
        <w:rPr>
          <w:sz w:val="24"/>
          <w:szCs w:val="24"/>
          <w:lang w:val="ru-RU"/>
        </w:rPr>
        <w:t xml:space="preserve"> № </w:t>
      </w:r>
      <w:r w:rsidR="00B30291" w:rsidRPr="009B2410">
        <w:rPr>
          <w:sz w:val="24"/>
          <w:szCs w:val="24"/>
          <w:lang w:val="ru-RU"/>
        </w:rPr>
        <w:t>8000000000:85:242:0013</w:t>
      </w:r>
      <w:r w:rsidR="00B30291"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958"/>
      </w:tblGrid>
      <w:tr w:rsidR="00B30291" w14:paraId="4C79BE2D" w14:textId="77777777" w:rsidTr="000B31A9">
        <w:trPr>
          <w:trHeight w:hRule="exact" w:val="652"/>
        </w:trPr>
        <w:tc>
          <w:tcPr>
            <w:tcW w:w="3402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5958" w:type="dxa"/>
            <w:shd w:val="clear" w:color="auto" w:fill="FFFFFF"/>
          </w:tcPr>
          <w:p w14:paraId="246EDF50" w14:textId="681FDFCF" w:rsidR="00B30291" w:rsidRPr="00AC6C1F" w:rsidRDefault="00B30291" w:rsidP="002879B0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9B2410">
              <w:rPr>
                <w:i/>
                <w:iCs/>
                <w:sz w:val="24"/>
                <w:szCs w:val="24"/>
                <w:lang w:val="ru-RU"/>
              </w:rPr>
              <w:t xml:space="preserve">м. Київ, р-н Подільський,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Сирецька, 29 літ. </w:t>
            </w:r>
            <w:r w:rsidR="002879B0">
              <w:rPr>
                <w:i/>
                <w:iCs/>
                <w:sz w:val="24"/>
                <w:szCs w:val="24"/>
                <w:lang w:val="uk-UA"/>
              </w:rPr>
              <w:t>«</w:t>
            </w:r>
            <w:r w:rsidR="002879B0">
              <w:rPr>
                <w:i/>
                <w:iCs/>
                <w:sz w:val="24"/>
                <w:szCs w:val="24"/>
              </w:rPr>
              <w:t>А</w:t>
            </w:r>
            <w:r w:rsidR="002879B0">
              <w:rPr>
                <w:i/>
                <w:iCs/>
                <w:sz w:val="24"/>
                <w:szCs w:val="24"/>
                <w:lang w:val="uk-UA"/>
              </w:rPr>
              <w:t>»</w:t>
            </w:r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30291" w14:paraId="2FE40A2A" w14:textId="77777777" w:rsidTr="000B31A9">
        <w:trPr>
          <w:trHeight w:hRule="exact" w:val="274"/>
        </w:trPr>
        <w:tc>
          <w:tcPr>
            <w:tcW w:w="3402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5958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0,3329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0B31A9">
        <w:trPr>
          <w:trHeight w:hRule="exact" w:val="645"/>
        </w:trPr>
        <w:tc>
          <w:tcPr>
            <w:tcW w:w="3402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5958" w:type="dxa"/>
            <w:shd w:val="clear" w:color="auto" w:fill="FFFFFF"/>
          </w:tcPr>
          <w:p w14:paraId="36A6402D" w14:textId="1E6F5746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9B2410">
              <w:rPr>
                <w:i/>
                <w:sz w:val="24"/>
                <w:szCs w:val="24"/>
                <w:lang w:val="ru-RU"/>
              </w:rPr>
              <w:t>оренда</w:t>
            </w:r>
            <w:r w:rsidR="002879B0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0B31A9">
        <w:trPr>
          <w:trHeight w:hRule="exact" w:val="569"/>
        </w:trPr>
        <w:tc>
          <w:tcPr>
            <w:tcW w:w="3402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5958" w:type="dxa"/>
            <w:shd w:val="clear" w:color="auto" w:fill="FFFFFF"/>
          </w:tcPr>
          <w:p w14:paraId="0974F83D" w14:textId="1E7327A1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9B2410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B30291" w14:paraId="4EEB19B1" w14:textId="77777777" w:rsidTr="000B31A9">
        <w:trPr>
          <w:trHeight w:hRule="exact" w:val="1242"/>
        </w:trPr>
        <w:tc>
          <w:tcPr>
            <w:tcW w:w="3402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5958" w:type="dxa"/>
            <w:shd w:val="clear" w:color="auto" w:fill="FFFFFF"/>
          </w:tcPr>
          <w:p w14:paraId="76522229" w14:textId="43C4B2A4" w:rsidR="00B30291" w:rsidRPr="006A34C6" w:rsidRDefault="00265722" w:rsidP="00341DAE">
            <w:pPr>
              <w:pStyle w:val="a4"/>
              <w:shd w:val="clear" w:color="auto" w:fill="auto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9B2410">
              <w:rPr>
                <w:i/>
                <w:sz w:val="24"/>
                <w:szCs w:val="24"/>
                <w:highlight w:val="white"/>
                <w:lang w:val="uk-UA"/>
              </w:rPr>
              <w:t>03.15</w:t>
            </w:r>
            <w:r w:rsidRPr="009B2410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інших будівель громадської забудови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6A34C6" w:rsidRPr="009B2410">
              <w:rPr>
                <w:i/>
                <w:sz w:val="24"/>
                <w:szCs w:val="24"/>
                <w:lang w:val="uk-UA"/>
              </w:rPr>
              <w:t>для експлуатації та обслуговування нежитлової будівлі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9B241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9B241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9B241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9B241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9B241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9B241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9B241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9B241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0B31A9">
        <w:trPr>
          <w:trHeight w:hRule="exact" w:val="569"/>
        </w:trPr>
        <w:tc>
          <w:tcPr>
            <w:tcW w:w="3402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9B2410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5958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23F02215" w:rsidR="00B30291" w:rsidRPr="000B31A9" w:rsidRDefault="000B31A9" w:rsidP="00552030">
            <w:pPr>
              <w:pStyle w:val="a4"/>
              <w:shd w:val="clear" w:color="auto" w:fill="auto"/>
              <w:jc w:val="both"/>
              <w:rPr>
                <w:rStyle w:val="ac"/>
                <w:b/>
                <w:iCs w:val="0"/>
                <w:sz w:val="24"/>
                <w:szCs w:val="24"/>
              </w:rPr>
            </w:pPr>
            <w:r w:rsidRPr="000B31A9">
              <w:rPr>
                <w:rStyle w:val="ac"/>
                <w:sz w:val="24"/>
                <w:szCs w:val="24"/>
                <w:lang w:val="uk-UA"/>
              </w:rPr>
              <w:t xml:space="preserve">  </w:t>
            </w:r>
            <w:r w:rsidRPr="000B31A9">
              <w:rPr>
                <w:rStyle w:val="ac"/>
                <w:b/>
                <w:sz w:val="24"/>
                <w:szCs w:val="24"/>
                <w:lang w:val="uk-UA"/>
              </w:rPr>
              <w:t>3 184 539 грн</w:t>
            </w:r>
            <w:r w:rsidR="00552030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Pr="000B31A9">
              <w:rPr>
                <w:rStyle w:val="ac"/>
                <w:b/>
                <w:sz w:val="24"/>
                <w:szCs w:val="24"/>
                <w:lang w:val="uk-UA"/>
              </w:rPr>
              <w:t>74</w:t>
            </w:r>
            <w:r w:rsidR="00B30291" w:rsidRPr="000B31A9">
              <w:rPr>
                <w:rStyle w:val="ac"/>
                <w:b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BBC9EF8" w14:textId="005066C2" w:rsidR="00F119E3" w:rsidRPr="00F119E3" w:rsidRDefault="00F119E3" w:rsidP="00F119E3">
      <w:pPr>
        <w:pStyle w:val="1"/>
        <w:ind w:firstLine="426"/>
        <w:jc w:val="both"/>
        <w:rPr>
          <w:i w:val="0"/>
          <w:sz w:val="24"/>
          <w:szCs w:val="24"/>
          <w:lang w:val="uk-UA"/>
        </w:rPr>
      </w:pPr>
      <w:r w:rsidRPr="00F119E3">
        <w:rPr>
          <w:i w:val="0"/>
          <w:sz w:val="24"/>
          <w:szCs w:val="24"/>
          <w:lang w:val="uk-UA"/>
        </w:rPr>
        <w:t xml:space="preserve">На замовлення зацікавлених осіб землевпорядними організаціями розроблено технічну документацію із землеустрою </w:t>
      </w:r>
      <w:r>
        <w:rPr>
          <w:i w:val="0"/>
          <w:sz w:val="24"/>
          <w:szCs w:val="24"/>
          <w:lang w:val="uk-UA"/>
        </w:rPr>
        <w:t xml:space="preserve">щодо </w:t>
      </w:r>
      <w:r w:rsidRPr="00F119E3">
        <w:rPr>
          <w:i w:val="0"/>
          <w:sz w:val="24"/>
          <w:szCs w:val="24"/>
          <w:lang w:val="uk-UA"/>
        </w:rPr>
        <w:t xml:space="preserve">інвентаризації земель Приватне підприємство «Компанія «Руфус» для експлуатації та обслуговування нежитлової будівлі за адресою: </w:t>
      </w:r>
      <w:r>
        <w:rPr>
          <w:i w:val="0"/>
          <w:sz w:val="24"/>
          <w:szCs w:val="24"/>
          <w:lang w:val="uk-UA"/>
        </w:rPr>
        <w:t xml:space="preserve">                                            </w:t>
      </w:r>
      <w:r w:rsidRPr="00F119E3">
        <w:rPr>
          <w:i w:val="0"/>
          <w:sz w:val="24"/>
          <w:szCs w:val="24"/>
          <w:lang w:val="uk-UA"/>
        </w:rPr>
        <w:t>вул. Сирецька, 29, літ. «А» у Подільському районі м. Києва та технічну документацію із землеустрою щодо встановлення (відновлення) меж земельної ділянки в натурі (на місцевості) громадянину Ледіну Дмитру Сергійовичу для експлуатації та обслуговування нежитлової будівлі за адерсою: м. Київ, Подільський р-н, вул. Сирецька, 29 літ. «А»</w:t>
      </w:r>
      <w:r>
        <w:rPr>
          <w:i w:val="0"/>
          <w:sz w:val="24"/>
          <w:szCs w:val="24"/>
          <w:lang w:val="uk-UA"/>
        </w:rPr>
        <w:t xml:space="preserve"> </w:t>
      </w:r>
      <w:r w:rsidRPr="00F119E3">
        <w:rPr>
          <w:i w:val="0"/>
          <w:sz w:val="24"/>
          <w:szCs w:val="24"/>
          <w:lang w:val="uk-UA"/>
        </w:rPr>
        <w:t>(кадастровий номер: 8000000000:85:242:0013).</w:t>
      </w:r>
    </w:p>
    <w:p w14:paraId="1111C1EE" w14:textId="77777777" w:rsidR="00F119E3" w:rsidRDefault="00F119E3" w:rsidP="00F119E3">
      <w:pPr>
        <w:pStyle w:val="1"/>
        <w:ind w:firstLine="426"/>
        <w:jc w:val="both"/>
        <w:rPr>
          <w:i w:val="0"/>
          <w:sz w:val="24"/>
          <w:szCs w:val="24"/>
          <w:lang w:val="uk-UA"/>
        </w:rPr>
      </w:pPr>
      <w:r w:rsidRPr="00F119E3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t xml:space="preserve">                        </w:t>
      </w:r>
      <w:r w:rsidRPr="00F119E3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556C24C8" w14:textId="77777777" w:rsidR="00F119E3" w:rsidRDefault="00F119E3" w:rsidP="00F119E3">
      <w:pPr>
        <w:pStyle w:val="1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59D82E11" w:rsidR="00B30291" w:rsidRPr="00B30291" w:rsidRDefault="00B30291" w:rsidP="00F119E3">
      <w:pPr>
        <w:pStyle w:val="1"/>
        <w:ind w:firstLine="426"/>
        <w:jc w:val="both"/>
        <w:rPr>
          <w:i w:val="0"/>
          <w:sz w:val="24"/>
          <w:szCs w:val="24"/>
          <w:lang w:val="ru-RU"/>
        </w:rPr>
      </w:pPr>
      <w:r w:rsidRPr="00F119E3">
        <w:rPr>
          <w:b/>
          <w:bCs/>
          <w:i w:val="0"/>
          <w:sz w:val="24"/>
          <w:szCs w:val="24"/>
          <w:lang w:val="uk-UA"/>
        </w:rPr>
        <w:t xml:space="preserve">4. </w:t>
      </w:r>
      <w:r w:rsidRPr="00B30291">
        <w:rPr>
          <w:b/>
          <w:bCs/>
          <w:i w:val="0"/>
          <w:sz w:val="24"/>
          <w:szCs w:val="24"/>
          <w:lang w:val="ru-RU"/>
        </w:rPr>
        <w:t>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295113BC" w:rsid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266EEA71" w14:textId="395A8268" w:rsidR="00703E7A" w:rsidRDefault="00703E7A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6049A68C" w14:textId="7479807D" w:rsidR="00703E7A" w:rsidRDefault="00703E7A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74433F35" w14:textId="77777777" w:rsidR="00C33B1A" w:rsidRDefault="00C33B1A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51DF7950" w14:textId="77777777" w:rsidR="00703E7A" w:rsidRPr="00B30291" w:rsidRDefault="00703E7A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5D85398C" w:rsidR="00B30291" w:rsidRDefault="00B30291" w:rsidP="00AC6C1F">
      <w:pPr>
        <w:pStyle w:val="a7"/>
        <w:shd w:val="clear" w:color="auto" w:fill="auto"/>
        <w:ind w:left="426"/>
        <w:rPr>
          <w:sz w:val="24"/>
          <w:szCs w:val="24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p w14:paraId="5AFD8919" w14:textId="77777777" w:rsidR="00703E7A" w:rsidRPr="00C7476E" w:rsidRDefault="00703E7A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115750">
        <w:trPr>
          <w:cantSplit/>
          <w:trHeight w:val="3395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5B64E0CC" w:rsidR="00A76A36" w:rsidRPr="00F336A8" w:rsidRDefault="009736B4" w:rsidP="0055203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</w:t>
            </w:r>
            <w:r w:rsidR="00B60301">
              <w:rPr>
                <w:rFonts w:ascii="Times New Roman" w:eastAsia="Times New Roman" w:hAnsi="Times New Roman" w:cs="Times New Roman"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</w:rPr>
              <w:t>емельній ділянці розташована адміністративна</w:t>
            </w:r>
            <w:r w:rsidR="004051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будівля</w:t>
            </w:r>
            <w:r w:rsidR="004051B9">
              <w:rPr>
                <w:rFonts w:ascii="Times New Roman" w:eastAsia="Times New Roman" w:hAnsi="Times New Roman" w:cs="Times New Roman"/>
                <w:i/>
              </w:rPr>
              <w:t xml:space="preserve"> (л</w:t>
            </w:r>
            <w:r w:rsidR="004051B9" w:rsidRPr="003D4421">
              <w:rPr>
                <w:rFonts w:ascii="Times New Roman" w:eastAsia="Times New Roman" w:hAnsi="Times New Roman" w:cs="Times New Roman"/>
                <w:i/>
              </w:rPr>
              <w:t>іт. А</w:t>
            </w:r>
            <w:r w:rsidR="00B60301">
              <w:rPr>
                <w:rFonts w:ascii="Times New Roman" w:eastAsia="Times New Roman" w:hAnsi="Times New Roman" w:cs="Times New Roman"/>
                <w:i/>
              </w:rPr>
              <w:t>)</w:t>
            </w:r>
            <w:r w:rsidR="005A7A2D">
              <w:t xml:space="preserve"> </w:t>
            </w:r>
            <w:r w:rsidR="005A7A2D" w:rsidRPr="005A7A2D">
              <w:rPr>
                <w:rFonts w:ascii="Times New Roman" w:eastAsia="Times New Roman" w:hAnsi="Times New Roman" w:cs="Times New Roman"/>
                <w:i/>
              </w:rPr>
              <w:t xml:space="preserve">(реєстраційний номер об’єкта нерухомого майна: 201564780000), </w:t>
            </w:r>
            <w:r w:rsidR="005A7A2D">
              <w:rPr>
                <w:rFonts w:ascii="Times New Roman" w:eastAsia="Times New Roman" w:hAnsi="Times New Roman" w:cs="Times New Roman"/>
                <w:i/>
              </w:rPr>
              <w:t>загальною площею 1910,4 кв.м</w:t>
            </w:r>
            <w:r w:rsidR="00B60301">
              <w:rPr>
                <w:rFonts w:ascii="Times New Roman" w:eastAsia="Times New Roman" w:hAnsi="Times New Roman" w:cs="Times New Roman"/>
                <w:i/>
              </w:rPr>
              <w:t xml:space="preserve"> (складов</w:t>
            </w:r>
            <w:r w:rsidR="005A7A2D">
              <w:rPr>
                <w:rFonts w:ascii="Times New Roman" w:eastAsia="Times New Roman" w:hAnsi="Times New Roman" w:cs="Times New Roman"/>
                <w:i/>
              </w:rPr>
              <w:t>а</w:t>
            </w:r>
            <w:r w:rsidR="00B60301">
              <w:rPr>
                <w:rFonts w:ascii="Times New Roman" w:eastAsia="Times New Roman" w:hAnsi="Times New Roman" w:cs="Times New Roman"/>
                <w:i/>
              </w:rPr>
              <w:t xml:space="preserve"> частин</w:t>
            </w:r>
            <w:r w:rsidR="005A7A2D">
              <w:rPr>
                <w:rFonts w:ascii="Times New Roman" w:eastAsia="Times New Roman" w:hAnsi="Times New Roman" w:cs="Times New Roman"/>
                <w:i/>
              </w:rPr>
              <w:t>а</w:t>
            </w:r>
            <w:r w:rsidR="00B60301">
              <w:rPr>
                <w:rFonts w:ascii="Times New Roman" w:eastAsia="Times New Roman" w:hAnsi="Times New Roman" w:cs="Times New Roman"/>
                <w:i/>
              </w:rPr>
              <w:t xml:space="preserve"> об’єкту нерухомого майна</w:t>
            </w:r>
            <w:r w:rsidR="005A7A2D">
              <w:rPr>
                <w:rFonts w:ascii="Times New Roman" w:eastAsia="Times New Roman" w:hAnsi="Times New Roman" w:cs="Times New Roman"/>
                <w:i/>
              </w:rPr>
              <w:t>:</w:t>
            </w:r>
            <w:r w:rsidR="00B60301">
              <w:rPr>
                <w:rFonts w:ascii="Times New Roman" w:eastAsia="Times New Roman" w:hAnsi="Times New Roman" w:cs="Times New Roman"/>
                <w:i/>
              </w:rPr>
              <w:t xml:space="preserve">  адміністративна будівля, А площею 1838 кв.м</w:t>
            </w:r>
            <w:r w:rsidR="0055203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60301">
              <w:rPr>
                <w:rFonts w:ascii="Times New Roman" w:eastAsia="Times New Roman" w:hAnsi="Times New Roman" w:cs="Times New Roman"/>
                <w:i/>
              </w:rPr>
              <w:t>та нежитлова будівля, А1 площею 72,4 кв.м)</w:t>
            </w:r>
            <w:r w:rsidR="005A7A2D">
              <w:rPr>
                <w:rFonts w:ascii="Times New Roman" w:eastAsia="Times New Roman" w:hAnsi="Times New Roman" w:cs="Times New Roman"/>
                <w:i/>
              </w:rPr>
              <w:t xml:space="preserve">, яка </w:t>
            </w:r>
            <w:r w:rsidR="004051B9">
              <w:rPr>
                <w:rFonts w:ascii="Times New Roman" w:eastAsia="Times New Roman" w:hAnsi="Times New Roman" w:cs="Times New Roman"/>
                <w:i/>
              </w:rPr>
              <w:t>належить на праві власності</w:t>
            </w:r>
            <w:r w:rsidR="005A7A2D">
              <w:rPr>
                <w:rFonts w:ascii="Times New Roman" w:eastAsia="Times New Roman" w:hAnsi="Times New Roman" w:cs="Times New Roman"/>
                <w:i/>
              </w:rPr>
              <w:t xml:space="preserve"> громадянину </w:t>
            </w:r>
            <w:r w:rsidR="004051B9">
              <w:rPr>
                <w:rFonts w:ascii="Times New Roman" w:eastAsia="Times New Roman" w:hAnsi="Times New Roman" w:cs="Times New Roman"/>
                <w:i/>
              </w:rPr>
              <w:t xml:space="preserve">Ледіну Дмитру Сергійовичу </w:t>
            </w:r>
            <w:r w:rsidR="004051B9" w:rsidRPr="003D4421">
              <w:rPr>
                <w:rFonts w:ascii="Times New Roman" w:eastAsia="Times New Roman" w:hAnsi="Times New Roman" w:cs="Times New Roman"/>
                <w:i/>
              </w:rPr>
              <w:t>на підставі догов</w:t>
            </w:r>
            <w:r w:rsidR="004051B9">
              <w:rPr>
                <w:rFonts w:ascii="Times New Roman" w:eastAsia="Times New Roman" w:hAnsi="Times New Roman" w:cs="Times New Roman"/>
                <w:i/>
              </w:rPr>
              <w:t>ору</w:t>
            </w:r>
            <w:r w:rsidR="004051B9" w:rsidRPr="003D4421">
              <w:rPr>
                <w:rFonts w:ascii="Times New Roman" w:eastAsia="Times New Roman" w:hAnsi="Times New Roman" w:cs="Times New Roman"/>
                <w:i/>
              </w:rPr>
              <w:t xml:space="preserve"> купівлі-продажу</w:t>
            </w:r>
            <w:r w:rsidR="004051B9">
              <w:rPr>
                <w:rFonts w:ascii="Times New Roman" w:eastAsia="Times New Roman" w:hAnsi="Times New Roman" w:cs="Times New Roman"/>
                <w:i/>
              </w:rPr>
              <w:t xml:space="preserve"> від 04.03.2021 № </w:t>
            </w:r>
            <w:r>
              <w:rPr>
                <w:rFonts w:ascii="Times New Roman" w:eastAsia="Times New Roman" w:hAnsi="Times New Roman" w:cs="Times New Roman"/>
                <w:i/>
              </w:rPr>
              <w:t>1322</w:t>
            </w:r>
            <w:r w:rsidR="00515E3C">
              <w:rPr>
                <w:rFonts w:ascii="Times New Roman" w:eastAsia="Times New Roman" w:hAnsi="Times New Roman" w:cs="Times New Roman"/>
                <w:i/>
              </w:rPr>
              <w:t xml:space="preserve"> (н</w:t>
            </w:r>
            <w:r w:rsidR="006A53D6">
              <w:rPr>
                <w:rFonts w:ascii="Times New Roman" w:eastAsia="Times New Roman" w:hAnsi="Times New Roman" w:cs="Times New Roman"/>
                <w:i/>
              </w:rPr>
              <w:t>омер запису про право вла</w:t>
            </w:r>
            <w:r w:rsidR="005A7A2D">
              <w:rPr>
                <w:rFonts w:ascii="Times New Roman" w:eastAsia="Times New Roman" w:hAnsi="Times New Roman" w:cs="Times New Roman"/>
                <w:i/>
              </w:rPr>
              <w:t>с</w:t>
            </w:r>
            <w:r w:rsidR="006A53D6">
              <w:rPr>
                <w:rFonts w:ascii="Times New Roman" w:eastAsia="Times New Roman" w:hAnsi="Times New Roman" w:cs="Times New Roman"/>
                <w:i/>
              </w:rPr>
              <w:t>ності</w:t>
            </w:r>
            <w:r w:rsidR="005A7A2D">
              <w:rPr>
                <w:rFonts w:ascii="Times New Roman" w:eastAsia="Times New Roman" w:hAnsi="Times New Roman" w:cs="Times New Roman"/>
                <w:i/>
              </w:rPr>
              <w:t>:</w:t>
            </w:r>
            <w:r w:rsidR="006A53D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15E3C">
              <w:rPr>
                <w:rFonts w:ascii="Times New Roman" w:eastAsia="Times New Roman" w:hAnsi="Times New Roman" w:cs="Times New Roman"/>
                <w:i/>
              </w:rPr>
              <w:t xml:space="preserve"> 40846169</w:t>
            </w:r>
            <w:r w:rsidR="00897FD2"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 w:rsidR="00897FD2" w:rsidRPr="00897FD2">
              <w:rPr>
                <w:rFonts w:ascii="Times New Roman" w:eastAsia="Times New Roman" w:hAnsi="Times New Roman" w:cs="Times New Roman"/>
                <w:i/>
              </w:rPr>
              <w:t xml:space="preserve">ід </w:t>
            </w:r>
            <w:r w:rsidR="00897FD2">
              <w:rPr>
                <w:rFonts w:ascii="Times New Roman" w:eastAsia="Times New Roman" w:hAnsi="Times New Roman" w:cs="Times New Roman"/>
                <w:i/>
              </w:rPr>
              <w:t>04.03.2021</w:t>
            </w:r>
            <w:r w:rsidR="00897FD2" w:rsidRPr="00897FD2">
              <w:rPr>
                <w:rFonts w:ascii="Times New Roman" w:eastAsia="Times New Roman" w:hAnsi="Times New Roman" w:cs="Times New Roman"/>
                <w:i/>
              </w:rPr>
              <w:t xml:space="preserve">, інформаційна довідка з Державного реєстру речових прав на нерухоме майно від </w:t>
            </w:r>
            <w:r w:rsidR="00897FD2">
              <w:rPr>
                <w:rFonts w:ascii="Times New Roman" w:eastAsia="Times New Roman" w:hAnsi="Times New Roman" w:cs="Times New Roman"/>
                <w:i/>
              </w:rPr>
              <w:t>20</w:t>
            </w:r>
            <w:r w:rsidR="00897FD2" w:rsidRPr="00897FD2">
              <w:rPr>
                <w:rFonts w:ascii="Times New Roman" w:eastAsia="Times New Roman" w:hAnsi="Times New Roman" w:cs="Times New Roman"/>
                <w:i/>
              </w:rPr>
              <w:t>.0</w:t>
            </w:r>
            <w:r w:rsidR="00897FD2">
              <w:rPr>
                <w:rFonts w:ascii="Times New Roman" w:eastAsia="Times New Roman" w:hAnsi="Times New Roman" w:cs="Times New Roman"/>
                <w:i/>
              </w:rPr>
              <w:t>7</w:t>
            </w:r>
            <w:r w:rsidR="00897FD2" w:rsidRPr="00897FD2">
              <w:rPr>
                <w:rFonts w:ascii="Times New Roman" w:eastAsia="Times New Roman" w:hAnsi="Times New Roman" w:cs="Times New Roman"/>
                <w:i/>
              </w:rPr>
              <w:t xml:space="preserve">.2023 № </w:t>
            </w:r>
            <w:r w:rsidR="00897FD2">
              <w:rPr>
                <w:rFonts w:ascii="Times New Roman" w:eastAsia="Times New Roman" w:hAnsi="Times New Roman" w:cs="Times New Roman"/>
                <w:i/>
              </w:rPr>
              <w:t>339781584</w:t>
            </w:r>
            <w:r w:rsidR="00515E3C">
              <w:rPr>
                <w:rFonts w:ascii="Times New Roman" w:eastAsia="Times New Roman" w:hAnsi="Times New Roman" w:cs="Times New Roman"/>
                <w:i/>
              </w:rPr>
              <w:t>)</w:t>
            </w:r>
            <w:r w:rsidR="00B60301">
              <w:rPr>
                <w:rFonts w:ascii="Times New Roman" w:eastAsia="Times New Roman" w:hAnsi="Times New Roman" w:cs="Times New Roman"/>
                <w:i/>
              </w:rPr>
              <w:t>.</w:t>
            </w:r>
            <w:r w:rsidR="004051B9" w:rsidRPr="003D442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4051B9">
        <w:trPr>
          <w:cantSplit/>
          <w:trHeight w:val="411"/>
        </w:trPr>
        <w:tc>
          <w:tcPr>
            <w:tcW w:w="3260" w:type="dxa"/>
          </w:tcPr>
          <w:p w14:paraId="179745D5" w14:textId="77777777" w:rsidR="00B30291" w:rsidRPr="00B60301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B60301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215EB5A0" w14:textId="77777777"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2DD4E694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A76A36">
        <w:trPr>
          <w:cantSplit/>
          <w:trHeight w:val="1627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B60301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5C66E0E1" w:rsidR="00B30291" w:rsidRPr="000B31A9" w:rsidRDefault="00B30291" w:rsidP="00140A1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земельна ділянка за функціональним призначенням належить</w:t>
            </w:r>
            <w:r w:rsidR="0011575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="00577F7C">
              <w:rPr>
                <w:rFonts w:ascii="Times New Roman" w:eastAsia="Times New Roman" w:hAnsi="Times New Roman" w:cs="Times New Roman"/>
                <w:i/>
              </w:rPr>
              <w:t>промислов</w:t>
            </w:r>
            <w:r w:rsidR="00140A1D">
              <w:rPr>
                <w:rFonts w:ascii="Times New Roman" w:eastAsia="Times New Roman" w:hAnsi="Times New Roman" w:cs="Times New Roman"/>
                <w:i/>
              </w:rPr>
              <w:t>ої</w:t>
            </w:r>
            <w:r w:rsidR="00577F7C">
              <w:rPr>
                <w:rFonts w:ascii="Times New Roman" w:eastAsia="Times New Roman" w:hAnsi="Times New Roman" w:cs="Times New Roman"/>
                <w:i/>
              </w:rPr>
              <w:t xml:space="preserve"> територі</w:t>
            </w:r>
            <w:r w:rsidR="00140A1D">
              <w:rPr>
                <w:rFonts w:ascii="Times New Roman" w:eastAsia="Times New Roman" w:hAnsi="Times New Roman" w:cs="Times New Roman"/>
                <w:i/>
              </w:rPr>
              <w:t xml:space="preserve">ї та до </w:t>
            </w:r>
            <w:r w:rsidR="00577F7C">
              <w:rPr>
                <w:rFonts w:ascii="Times New Roman" w:eastAsia="Times New Roman" w:hAnsi="Times New Roman" w:cs="Times New Roman"/>
                <w:i/>
              </w:rPr>
              <w:t xml:space="preserve">території вулиць </w:t>
            </w:r>
            <w:r w:rsidR="00140A1D">
              <w:rPr>
                <w:rFonts w:ascii="Times New Roman" w:eastAsia="Times New Roman" w:hAnsi="Times New Roman" w:cs="Times New Roman"/>
                <w:i/>
              </w:rPr>
              <w:t>та</w:t>
            </w:r>
            <w:r w:rsidR="00577F7C">
              <w:rPr>
                <w:rFonts w:ascii="Times New Roman" w:eastAsia="Times New Roman" w:hAnsi="Times New Roman" w:cs="Times New Roman"/>
                <w:i/>
              </w:rPr>
              <w:t xml:space="preserve"> доріг</w:t>
            </w:r>
            <w:r w:rsidR="00115750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140A1D">
              <w:rPr>
                <w:rFonts w:ascii="Times New Roman" w:eastAsia="Times New Roman" w:hAnsi="Times New Roman" w:cs="Times New Roman"/>
                <w:i/>
              </w:rPr>
              <w:t xml:space="preserve">уточнюється червоними лініями), </w:t>
            </w:r>
            <w:r w:rsidR="006B4439">
              <w:rPr>
                <w:rFonts w:ascii="Times New Roman" w:eastAsia="Times New Roman" w:hAnsi="Times New Roman" w:cs="Times New Roman"/>
                <w:i/>
              </w:rPr>
              <w:t>(</w:t>
            </w:r>
            <w:r w:rsidR="00115750">
              <w:rPr>
                <w:rFonts w:ascii="Times New Roman" w:eastAsia="Times New Roman" w:hAnsi="Times New Roman" w:cs="Times New Roman"/>
                <w:i/>
              </w:rPr>
              <w:t>витяг з містобудівного кадастру міста Києва від 27.01.2017)</w:t>
            </w:r>
            <w:r w:rsidR="00577F7C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6B4439">
        <w:trPr>
          <w:cantSplit/>
          <w:trHeight w:val="282"/>
        </w:trPr>
        <w:tc>
          <w:tcPr>
            <w:tcW w:w="3260" w:type="dxa"/>
            <w:tcBorders>
              <w:bottom w:val="single" w:sz="4" w:space="0" w:color="auto"/>
            </w:tcBorders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EFABC52" w14:textId="161E1665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49ADB9DC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6B4439">
        <w:trPr>
          <w:cantSplit/>
          <w:trHeight w:val="7035"/>
        </w:trPr>
        <w:tc>
          <w:tcPr>
            <w:tcW w:w="3260" w:type="dxa"/>
            <w:tcBorders>
              <w:bottom w:val="single" w:sz="4" w:space="0" w:color="auto"/>
            </w:tcBorders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353490F" w14:textId="294DA2A3" w:rsidR="00140A1D" w:rsidRDefault="00140A1D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розміщена поза межами червоних ліній.</w:t>
            </w:r>
          </w:p>
          <w:p w14:paraId="13066ED7" w14:textId="77777777" w:rsidR="00140A1D" w:rsidRDefault="00140A1D" w:rsidP="00F012A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74D76CCE" w14:textId="0FD5EC9B" w:rsidR="003479C3" w:rsidRDefault="003479C3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сформована та зареєстрована в Державному земельному кадастрі на підставі технічної документації із землеустрою щодо</w:t>
            </w:r>
            <w:r w:rsidR="004832B5">
              <w:rPr>
                <w:rFonts w:ascii="Times New Roman" w:hAnsi="Times New Roman" w:cs="Times New Roman"/>
                <w:i/>
              </w:rPr>
              <w:t xml:space="preserve"> інвентаризації земель Приватному підприємству «Компанія </w:t>
            </w:r>
            <w:r w:rsidR="00115750">
              <w:rPr>
                <w:rFonts w:ascii="Times New Roman" w:hAnsi="Times New Roman" w:cs="Times New Roman"/>
                <w:i/>
              </w:rPr>
              <w:t>«</w:t>
            </w:r>
            <w:r w:rsidR="004832B5">
              <w:rPr>
                <w:rFonts w:ascii="Times New Roman" w:hAnsi="Times New Roman" w:cs="Times New Roman"/>
                <w:i/>
              </w:rPr>
              <w:t>Руфус</w:t>
            </w:r>
            <w:r w:rsidR="00703E7A">
              <w:rPr>
                <w:rFonts w:ascii="Times New Roman" w:hAnsi="Times New Roman" w:cs="Times New Roman"/>
                <w:i/>
              </w:rPr>
              <w:t xml:space="preserve">». </w:t>
            </w:r>
            <w:r w:rsidR="00140A1D">
              <w:rPr>
                <w:rFonts w:ascii="Times New Roman" w:hAnsi="Times New Roman" w:cs="Times New Roman"/>
                <w:i/>
              </w:rPr>
              <w:t>Рішення про затвердження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26921">
              <w:rPr>
                <w:rFonts w:ascii="Times New Roman" w:hAnsi="Times New Roman" w:cs="Times New Roman"/>
                <w:i/>
              </w:rPr>
              <w:t>технічної документації із землеустрою щодо інвентаризації земель</w:t>
            </w:r>
            <w:r>
              <w:rPr>
                <w:rFonts w:ascii="Times New Roman" w:hAnsi="Times New Roman" w:cs="Times New Roman"/>
                <w:i/>
              </w:rPr>
              <w:t xml:space="preserve"> Київська міська рада не приймала.</w:t>
            </w:r>
          </w:p>
          <w:p w14:paraId="7B937F11" w14:textId="7019A2D1" w:rsidR="00796A3F" w:rsidRDefault="00796A3F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Ця технічна документація погоджена висновками Департаменту містобудування та архітектури від 14.12.2018 № 11650/0/012/19-18 </w:t>
            </w:r>
            <w:r w:rsidR="00140A1D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щодо відповідності заявленої ініціативи містобудівній документації або ситуації та наявних містобудівних умов та обмежень, що мають бути враховані при розробці документації із землеустрою</w:t>
            </w:r>
            <w:r w:rsidR="00140A1D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та Головного управління Держгеокадастру у Тернопільській області (екстериторіальне погодження) від 27.10.2020 № 23647/82-20. </w:t>
            </w:r>
          </w:p>
          <w:p w14:paraId="40F2A21D" w14:textId="046AE644" w:rsidR="00796A3F" w:rsidRDefault="00796A3F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Також ця документація містить листи Міністерства культури та інформаційної політики України від 16.11.2022</w:t>
            </w:r>
            <w:r w:rsidR="000B4B23">
              <w:rPr>
                <w:rFonts w:ascii="Times New Roman" w:hAnsi="Times New Roman" w:cs="Times New Roman"/>
                <w:i/>
              </w:rPr>
              <w:t xml:space="preserve"> № 06/35/3708-22 та Департаменту охорони культурної спадщини від 29.03.2023 № 066-984 </w:t>
            </w:r>
            <w:r w:rsidR="000F4742">
              <w:rPr>
                <w:rFonts w:ascii="Times New Roman" w:hAnsi="Times New Roman" w:cs="Times New Roman"/>
                <w:i/>
              </w:rPr>
              <w:t>(</w:t>
            </w:r>
            <w:r w:rsidR="000B4B23">
              <w:rPr>
                <w:rFonts w:ascii="Times New Roman" w:hAnsi="Times New Roman" w:cs="Times New Roman"/>
                <w:i/>
              </w:rPr>
              <w:t>стосовно надання інформації про наявність режимоутворюючих об’єктів культурної спадщини та обмежень у використанні земельної ділянки</w:t>
            </w:r>
            <w:r w:rsidR="000F4742">
              <w:rPr>
                <w:rFonts w:ascii="Times New Roman" w:hAnsi="Times New Roman" w:cs="Times New Roman"/>
                <w:i/>
              </w:rPr>
              <w:t>)</w:t>
            </w:r>
            <w:r w:rsidR="000B4B23">
              <w:rPr>
                <w:rFonts w:ascii="Times New Roman" w:hAnsi="Times New Roman" w:cs="Times New Roman"/>
                <w:i/>
              </w:rPr>
              <w:t>.</w:t>
            </w:r>
          </w:p>
          <w:p w14:paraId="16A4FC9D" w14:textId="6A0025E5" w:rsidR="00C04B24" w:rsidRPr="0070402C" w:rsidRDefault="00C04B24" w:rsidP="00FF2031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40A1D" w:rsidRPr="0070402C" w14:paraId="0C3269A2" w14:textId="77777777" w:rsidTr="006B4439">
        <w:trPr>
          <w:cantSplit/>
          <w:trHeight w:val="537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44E3B07" w14:textId="77777777" w:rsidR="00140A1D" w:rsidRDefault="00140A1D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0B726C4" w14:textId="77777777" w:rsidR="00140A1D" w:rsidRDefault="00140A1D" w:rsidP="00140A1D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Технічна документація із землеустрою щодо встановлення меж земельної ділянки </w:t>
            </w:r>
            <w:r w:rsidRPr="00115750">
              <w:rPr>
                <w:rFonts w:ascii="Times New Roman" w:hAnsi="Times New Roman" w:cs="Times New Roman"/>
                <w:i/>
              </w:rPr>
              <w:t>в натурі (на місцевості)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15750">
              <w:rPr>
                <w:rFonts w:ascii="Times New Roman" w:hAnsi="Times New Roman" w:cs="Times New Roman"/>
                <w:i/>
              </w:rPr>
              <w:t xml:space="preserve">громадянину Ледіну Дмитру Сергійовичу для експлуатації та обслуговування нежитлової будівлі за адерсою: м. Київ, Подільський р-н, вул. Сирецька, 29 літ. «А» </w:t>
            </w:r>
            <w:r>
              <w:rPr>
                <w:rFonts w:ascii="Times New Roman" w:hAnsi="Times New Roman" w:cs="Times New Roman"/>
                <w:i/>
              </w:rPr>
              <w:t xml:space="preserve"> містить згоду Приватного підприємства «Компанія «Руфус» від 02.08.2022 № 0208-1 на використання технічної документації із землеустрою щодо </w:t>
            </w:r>
            <w:r w:rsidRPr="00FF2031">
              <w:rPr>
                <w:rFonts w:ascii="Times New Roman" w:hAnsi="Times New Roman" w:cs="Times New Roman"/>
                <w:i/>
              </w:rPr>
              <w:t xml:space="preserve">інвентаризації земель Приватне підприємство «Компанія «Руфус» для експлуатації та обслуговування нежитлової будівлі за адресою: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FF2031">
              <w:rPr>
                <w:rFonts w:ascii="Times New Roman" w:hAnsi="Times New Roman" w:cs="Times New Roman"/>
                <w:i/>
              </w:rPr>
              <w:t>ул. Сирецька, 29, літ. «А» у Подільському районі м.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3D572636" w14:textId="77777777" w:rsidR="00140A1D" w:rsidRDefault="00140A1D" w:rsidP="00140A1D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  <w:p w14:paraId="5D364B25" w14:textId="0C78BF37" w:rsidR="006B4439" w:rsidRPr="006B4439" w:rsidRDefault="00140A1D" w:rsidP="006B4439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F2031">
              <w:rPr>
                <w:rFonts w:ascii="Times New Roman" w:hAnsi="Times New Roman" w:cs="Times New Roman"/>
                <w:i/>
              </w:rPr>
              <w:t xml:space="preserve"> </w:t>
            </w:r>
            <w:r w:rsidRPr="001C4F54">
              <w:rPr>
                <w:rFonts w:ascii="Times New Roman" w:hAnsi="Times New Roman" w:cs="Times New Roman"/>
                <w:i/>
                <w:color w:val="auto"/>
              </w:rPr>
              <w:t>Проєктом рішення запропоновано з урахуванням існуючої судової практики (постанови Верховного Cуду                              від 18.06.2020 у справі № 925/449/19, від 27.01.2021 у справі № 630/269/16, від 10.02.2021 у справі № 200/8930/18) зобов’язати землекористувача сплатити безпідставно збережені кошти за користування земельною ділянкою без</w:t>
            </w:r>
            <w:r w:rsidR="006B4439">
              <w:t xml:space="preserve"> </w:t>
            </w:r>
            <w:r w:rsidR="006B4439" w:rsidRPr="006B4439">
              <w:rPr>
                <w:rFonts w:ascii="Times New Roman" w:hAnsi="Times New Roman" w:cs="Times New Roman"/>
                <w:i/>
                <w:color w:val="auto"/>
              </w:rPr>
              <w:t>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06EDAABA" w14:textId="77777777" w:rsidR="006B4439" w:rsidRPr="006B4439" w:rsidRDefault="006B4439" w:rsidP="006B4439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66BB64B4" w14:textId="77777777" w:rsidR="006B4439" w:rsidRPr="006B4439" w:rsidRDefault="006B4439" w:rsidP="006B4439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B4439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E134401" w14:textId="77777777" w:rsidR="006B4439" w:rsidRPr="006B4439" w:rsidRDefault="006B4439" w:rsidP="006B4439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B4439">
              <w:rPr>
                <w:rFonts w:ascii="Times New Roman" w:hAnsi="Times New Roman" w:cs="Times New Roman"/>
                <w:i/>
                <w:color w:val="auto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83B7634" w14:textId="0424A273" w:rsidR="00140A1D" w:rsidRDefault="006B4439" w:rsidP="006B4439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6B4439">
              <w:rPr>
                <w:rFonts w:ascii="Times New Roman" w:hAnsi="Times New Roman" w:cs="Times New Roman"/>
                <w:i/>
                <w:color w:val="auto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74F38A79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7F00A951" w:rsidR="00AD77FD" w:rsidRDefault="00703E7A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Проєкт рішення не</w:t>
      </w:r>
      <w:r w:rsidR="00AD77FD">
        <w:rPr>
          <w:i w:val="0"/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6B93D877" w:rsidR="00E90C7D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21E42C77" w14:textId="045A3EC0" w:rsidR="006B4439" w:rsidRDefault="006B4439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152602D3" w14:textId="77777777" w:rsidR="006B4439" w:rsidRPr="002F6307" w:rsidRDefault="006B4439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lastRenderedPageBreak/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0FC361B" w14:textId="4341F012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B96FCD" w:rsidRPr="00B96FCD">
        <w:rPr>
          <w:i w:val="0"/>
          <w:sz w:val="24"/>
          <w:szCs w:val="24"/>
          <w:lang w:val="ru-RU"/>
        </w:rPr>
        <w:t>08.12.2022 № 5828/5869 «Про бюджет міста Києва на 2023 рік</w:t>
      </w:r>
      <w:r w:rsidR="001A7756" w:rsidRPr="001A7756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</w:t>
      </w:r>
      <w:r w:rsidR="000B31A9" w:rsidRPr="000B31A9">
        <w:rPr>
          <w:rFonts w:ascii="inherit" w:hAnsi="inherit" w:cs="Courier New"/>
          <w:b/>
          <w:bCs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 w:rsidR="000B31A9" w:rsidRPr="000B31A9">
        <w:rPr>
          <w:b/>
          <w:i w:val="0"/>
          <w:sz w:val="24"/>
          <w:szCs w:val="24"/>
          <w:u w:val="single"/>
          <w:lang w:val="ru-RU"/>
        </w:rPr>
        <w:t>318 453 грн 97</w:t>
      </w:r>
      <w:r w:rsidR="00173F07" w:rsidRPr="000B31A9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0B31A9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коп. ( </w:t>
      </w:r>
      <w:r w:rsidR="000B31A9">
        <w:rPr>
          <w:b/>
          <w:i w:val="0"/>
          <w:sz w:val="24"/>
          <w:szCs w:val="24"/>
          <w:u w:val="single"/>
          <w:lang w:val="ru-RU"/>
        </w:rPr>
        <w:t>10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14:paraId="66B45664" w14:textId="77777777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423722F0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 xml:space="preserve">реалізація зацікавленою особою своїх прав щодо </w:t>
      </w:r>
      <w:r w:rsidR="00FF2031">
        <w:rPr>
          <w:i w:val="0"/>
          <w:sz w:val="24"/>
          <w:szCs w:val="24"/>
          <w:lang w:val="ru-RU"/>
        </w:rPr>
        <w:t>користування земельною</w:t>
      </w:r>
      <w:r w:rsidRPr="00173F07">
        <w:rPr>
          <w:i w:val="0"/>
          <w:sz w:val="24"/>
          <w:szCs w:val="24"/>
          <w:lang w:val="ru-RU"/>
        </w:rPr>
        <w:t xml:space="preserve"> ділянк</w:t>
      </w:r>
      <w:r w:rsidR="00FF2031">
        <w:rPr>
          <w:i w:val="0"/>
          <w:sz w:val="24"/>
          <w:szCs w:val="24"/>
          <w:lang w:val="ru-RU"/>
        </w:rPr>
        <w:t>ою</w:t>
      </w:r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9B2410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7046D" w14:textId="77777777" w:rsidR="005C003C" w:rsidRDefault="005C003C">
      <w:r>
        <w:separator/>
      </w:r>
    </w:p>
  </w:endnote>
  <w:endnote w:type="continuationSeparator" w:id="0">
    <w:p w14:paraId="0DEB4451" w14:textId="77777777" w:rsidR="005C003C" w:rsidRDefault="005C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E708C" w14:textId="77777777" w:rsidR="005C003C" w:rsidRDefault="005C003C">
      <w:r>
        <w:separator/>
      </w:r>
    </w:p>
  </w:footnote>
  <w:footnote w:type="continuationSeparator" w:id="0">
    <w:p w14:paraId="0E8888E6" w14:textId="77777777" w:rsidR="005C003C" w:rsidRDefault="005C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9B2410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9B2410">
          <w:rPr>
            <w:i w:val="0"/>
            <w:sz w:val="12"/>
            <w:szCs w:val="12"/>
            <w:lang w:val="ru-RU"/>
          </w:rPr>
          <w:t>Пояснювальна записка № ПЗН-56590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9B2410">
          <w:rPr>
            <w:i w:val="0"/>
            <w:sz w:val="12"/>
            <w:szCs w:val="12"/>
            <w:lang w:val="ru-RU"/>
          </w:rPr>
          <w:t xml:space="preserve">від </w:t>
        </w:r>
        <w:r w:rsidR="00855E11" w:rsidRPr="009B2410">
          <w:rPr>
            <w:i w:val="0"/>
            <w:sz w:val="12"/>
            <w:szCs w:val="12"/>
            <w:lang w:val="ru-RU"/>
          </w:rPr>
          <w:t>19.07.2023</w:t>
        </w:r>
        <w:r w:rsidR="0012494D" w:rsidRPr="009B2410">
          <w:rPr>
            <w:i w:val="0"/>
            <w:sz w:val="12"/>
            <w:szCs w:val="12"/>
            <w:lang w:val="ru-RU"/>
          </w:rPr>
          <w:t xml:space="preserve"> до клопотання 647214310</w:t>
        </w:r>
      </w:p>
      <w:p w14:paraId="3386C57A" w14:textId="0B2B394D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C36F5" w:rsidRPr="00CC36F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CC36F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DA7671"/>
    <w:multiLevelType w:val="hybridMultilevel"/>
    <w:tmpl w:val="A3D0D874"/>
    <w:lvl w:ilvl="0" w:tplc="2F94A2B6">
      <w:start w:val="2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82202"/>
    <w:rsid w:val="000B31A9"/>
    <w:rsid w:val="000B4B23"/>
    <w:rsid w:val="000F4742"/>
    <w:rsid w:val="00115750"/>
    <w:rsid w:val="0012494D"/>
    <w:rsid w:val="00140A1D"/>
    <w:rsid w:val="00173F07"/>
    <w:rsid w:val="00174E19"/>
    <w:rsid w:val="00176416"/>
    <w:rsid w:val="001A7756"/>
    <w:rsid w:val="001D0E8E"/>
    <w:rsid w:val="001D3A82"/>
    <w:rsid w:val="002370D1"/>
    <w:rsid w:val="00265722"/>
    <w:rsid w:val="002678BE"/>
    <w:rsid w:val="002879B0"/>
    <w:rsid w:val="002D265C"/>
    <w:rsid w:val="002F6307"/>
    <w:rsid w:val="00311269"/>
    <w:rsid w:val="00341DAE"/>
    <w:rsid w:val="00346872"/>
    <w:rsid w:val="003479C3"/>
    <w:rsid w:val="003A13FE"/>
    <w:rsid w:val="003C3E66"/>
    <w:rsid w:val="004051B9"/>
    <w:rsid w:val="00452D5A"/>
    <w:rsid w:val="00463B38"/>
    <w:rsid w:val="0047359C"/>
    <w:rsid w:val="004832B5"/>
    <w:rsid w:val="00495A67"/>
    <w:rsid w:val="00505453"/>
    <w:rsid w:val="0050652B"/>
    <w:rsid w:val="00515E3C"/>
    <w:rsid w:val="00552030"/>
    <w:rsid w:val="005740F1"/>
    <w:rsid w:val="00574A85"/>
    <w:rsid w:val="00577F7C"/>
    <w:rsid w:val="00581A44"/>
    <w:rsid w:val="005A7A2D"/>
    <w:rsid w:val="005C003C"/>
    <w:rsid w:val="005D5C2D"/>
    <w:rsid w:val="0065190A"/>
    <w:rsid w:val="006A34C6"/>
    <w:rsid w:val="006A53D6"/>
    <w:rsid w:val="006B4439"/>
    <w:rsid w:val="007033CD"/>
    <w:rsid w:val="00703E7A"/>
    <w:rsid w:val="00706695"/>
    <w:rsid w:val="00725C6A"/>
    <w:rsid w:val="007312B1"/>
    <w:rsid w:val="00796A3F"/>
    <w:rsid w:val="007C0899"/>
    <w:rsid w:val="007D4A0A"/>
    <w:rsid w:val="007E3A33"/>
    <w:rsid w:val="007F05B6"/>
    <w:rsid w:val="007F1356"/>
    <w:rsid w:val="00820317"/>
    <w:rsid w:val="00845E99"/>
    <w:rsid w:val="00855E11"/>
    <w:rsid w:val="00897FD2"/>
    <w:rsid w:val="0094351B"/>
    <w:rsid w:val="009736B4"/>
    <w:rsid w:val="0098267F"/>
    <w:rsid w:val="009B2410"/>
    <w:rsid w:val="00A03734"/>
    <w:rsid w:val="00A1045E"/>
    <w:rsid w:val="00A214DC"/>
    <w:rsid w:val="00A318A9"/>
    <w:rsid w:val="00A34F0D"/>
    <w:rsid w:val="00A404EA"/>
    <w:rsid w:val="00A60058"/>
    <w:rsid w:val="00A73294"/>
    <w:rsid w:val="00A76A36"/>
    <w:rsid w:val="00A92A53"/>
    <w:rsid w:val="00A94E5D"/>
    <w:rsid w:val="00AA4738"/>
    <w:rsid w:val="00AA4A94"/>
    <w:rsid w:val="00AC6C1F"/>
    <w:rsid w:val="00AD77FD"/>
    <w:rsid w:val="00AE1A2E"/>
    <w:rsid w:val="00B00C12"/>
    <w:rsid w:val="00B11B2C"/>
    <w:rsid w:val="00B30291"/>
    <w:rsid w:val="00B60301"/>
    <w:rsid w:val="00B84B97"/>
    <w:rsid w:val="00B96FCD"/>
    <w:rsid w:val="00BF3C40"/>
    <w:rsid w:val="00C04B24"/>
    <w:rsid w:val="00C20204"/>
    <w:rsid w:val="00C33B1A"/>
    <w:rsid w:val="00C5746C"/>
    <w:rsid w:val="00C70FE7"/>
    <w:rsid w:val="00C94FF1"/>
    <w:rsid w:val="00C95681"/>
    <w:rsid w:val="00CA5D01"/>
    <w:rsid w:val="00CC36F5"/>
    <w:rsid w:val="00D27EDF"/>
    <w:rsid w:val="00D57CE8"/>
    <w:rsid w:val="00D702BD"/>
    <w:rsid w:val="00D77F52"/>
    <w:rsid w:val="00D85DDE"/>
    <w:rsid w:val="00DD2527"/>
    <w:rsid w:val="00E34240"/>
    <w:rsid w:val="00E60C6D"/>
    <w:rsid w:val="00E90C7D"/>
    <w:rsid w:val="00E92EA7"/>
    <w:rsid w:val="00E9498E"/>
    <w:rsid w:val="00EC641A"/>
    <w:rsid w:val="00EF388D"/>
    <w:rsid w:val="00F012A7"/>
    <w:rsid w:val="00F119E3"/>
    <w:rsid w:val="00F54A05"/>
    <w:rsid w:val="00F60E6B"/>
    <w:rsid w:val="00F72AE2"/>
    <w:rsid w:val="00F801D8"/>
    <w:rsid w:val="00FC6CD2"/>
    <w:rsid w:val="00FF1715"/>
    <w:rsid w:val="00FF2031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5BDB-BFD3-4CFC-A89A-F7ECAEE1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8076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2023-08-02T10:22:00Z</cp:lastPrinted>
  <dcterms:created xsi:type="dcterms:W3CDTF">2023-08-10T07:01:00Z</dcterms:created>
  <dcterms:modified xsi:type="dcterms:W3CDTF">2023-08-10T07:01:00Z</dcterms:modified>
</cp:coreProperties>
</file>