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FE85991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643914451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643914451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DE4A20" w:rsidRPr="005B7F20" w14:paraId="39883B9B" w14:textId="77777777" w:rsidTr="00BB757D">
        <w:trPr>
          <w:trHeight w:val="2500"/>
        </w:trPr>
        <w:tc>
          <w:tcPr>
            <w:tcW w:w="5103" w:type="dxa"/>
            <w:hideMark/>
          </w:tcPr>
          <w:p w14:paraId="0B182D23" w14:textId="7D5B173E" w:rsidR="00F6318B" w:rsidRPr="00BB757D" w:rsidRDefault="0009503E" w:rsidP="00BB757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  <w:lang w:eastAsia="ru-RU"/>
              </w:rPr>
            </w:pPr>
            <w:r w:rsidRPr="00BB757D">
              <w:rPr>
                <w:b/>
                <w:sz w:val="28"/>
                <w:szCs w:val="28"/>
                <w:lang w:eastAsia="ru-RU"/>
              </w:rPr>
              <w:t xml:space="preserve">Про </w:t>
            </w:r>
            <w:r w:rsidR="00BB757D" w:rsidRPr="0058739D">
              <w:rPr>
                <w:b/>
                <w:sz w:val="28"/>
                <w:szCs w:val="28"/>
                <w:lang w:eastAsia="ru-RU"/>
              </w:rPr>
              <w:t xml:space="preserve">надання </w:t>
            </w:r>
            <w:r w:rsidR="00BB757D" w:rsidRPr="00A148AB">
              <w:rPr>
                <w:b/>
                <w:sz w:val="28"/>
                <w:szCs w:val="28"/>
                <w:lang w:eastAsia="ru-RU"/>
              </w:rPr>
              <w:t xml:space="preserve">Київському комунальному об’єднанню зеленого будівництва та експлуатації зелених насаджень міста «Київзеленбуд» </w:t>
            </w:r>
            <w:r w:rsidR="00BB757D" w:rsidRPr="005427FF">
              <w:rPr>
                <w:b/>
                <w:sz w:val="28"/>
                <w:szCs w:val="28"/>
                <w:lang w:eastAsia="ru-RU"/>
              </w:rPr>
              <w:t>земельн</w:t>
            </w:r>
            <w:r w:rsidR="005B7F20">
              <w:rPr>
                <w:b/>
                <w:sz w:val="28"/>
                <w:szCs w:val="28"/>
                <w:lang w:eastAsia="ru-RU"/>
              </w:rPr>
              <w:t>ої</w:t>
            </w:r>
            <w:r w:rsidR="00BB757D" w:rsidRPr="005427FF">
              <w:rPr>
                <w:b/>
                <w:sz w:val="28"/>
                <w:szCs w:val="28"/>
                <w:lang w:eastAsia="ru-RU"/>
              </w:rPr>
              <w:t xml:space="preserve"> ділян</w:t>
            </w:r>
            <w:r w:rsidR="00BB757D">
              <w:rPr>
                <w:b/>
                <w:sz w:val="28"/>
                <w:szCs w:val="28"/>
                <w:lang w:eastAsia="ru-RU"/>
              </w:rPr>
              <w:t>к</w:t>
            </w:r>
            <w:r w:rsidR="005B7F20">
              <w:rPr>
                <w:b/>
                <w:sz w:val="28"/>
                <w:szCs w:val="28"/>
                <w:lang w:eastAsia="ru-RU"/>
              </w:rPr>
              <w:t>и</w:t>
            </w:r>
            <w:r w:rsidR="00BB757D" w:rsidRPr="005427FF">
              <w:rPr>
                <w:b/>
                <w:sz w:val="28"/>
                <w:szCs w:val="28"/>
                <w:lang w:eastAsia="ru-RU"/>
              </w:rPr>
              <w:t xml:space="preserve"> у постійне користування</w:t>
            </w:r>
            <w:r w:rsidR="00BB757D" w:rsidRPr="00BB757D">
              <w:rPr>
                <w:b/>
                <w:sz w:val="28"/>
                <w:szCs w:val="28"/>
                <w:lang w:eastAsia="ru-RU"/>
              </w:rPr>
              <w:t xml:space="preserve"> для утримання та експлуатації скверу </w:t>
            </w:r>
            <w:r w:rsidR="00BB757D">
              <w:rPr>
                <w:b/>
                <w:sz w:val="28"/>
                <w:szCs w:val="28"/>
                <w:lang w:eastAsia="ru-RU"/>
              </w:rPr>
              <w:t xml:space="preserve">на </w:t>
            </w:r>
            <w:r w:rsidR="0001227E" w:rsidRPr="00BB757D">
              <w:rPr>
                <w:b/>
                <w:sz w:val="28"/>
                <w:szCs w:val="28"/>
                <w:lang w:eastAsia="ru-RU"/>
              </w:rPr>
              <w:t xml:space="preserve">просп. </w:t>
            </w:r>
            <w:r w:rsidR="00BB757D" w:rsidRPr="00BB757D">
              <w:rPr>
                <w:b/>
                <w:sz w:val="28"/>
                <w:szCs w:val="28"/>
                <w:lang w:eastAsia="ru-RU"/>
              </w:rPr>
              <w:t xml:space="preserve">Валерія </w:t>
            </w:r>
            <w:r w:rsidR="0001227E" w:rsidRPr="00BB757D">
              <w:rPr>
                <w:b/>
                <w:sz w:val="28"/>
                <w:szCs w:val="28"/>
                <w:lang w:eastAsia="ru-RU"/>
              </w:rPr>
              <w:t>Лобановського</w:t>
            </w:r>
            <w:r w:rsidR="00032E6C" w:rsidRPr="00BB75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B757D">
              <w:rPr>
                <w:b/>
                <w:sz w:val="28"/>
                <w:szCs w:val="28"/>
                <w:lang w:eastAsia="ru-RU"/>
              </w:rPr>
              <w:t xml:space="preserve">у </w:t>
            </w:r>
            <w:r w:rsidR="0001227E" w:rsidRPr="00BB757D">
              <w:rPr>
                <w:b/>
                <w:sz w:val="28"/>
                <w:szCs w:val="28"/>
                <w:lang w:eastAsia="ru-RU"/>
              </w:rPr>
              <w:t xml:space="preserve">Солом'янському </w:t>
            </w:r>
            <w:r w:rsidRPr="00BB757D">
              <w:rPr>
                <w:b/>
                <w:sz w:val="28"/>
                <w:szCs w:val="28"/>
                <w:lang w:eastAsia="ru-RU"/>
              </w:rPr>
              <w:t>районі міста Києв</w:t>
            </w:r>
            <w:r w:rsidR="00DE4A20" w:rsidRPr="00BB757D">
              <w:rPr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14:paraId="16B3BA17" w14:textId="0B3304E6" w:rsidR="00F6318B" w:rsidRPr="00BB757D" w:rsidRDefault="00F6318B" w:rsidP="00F6318B">
      <w:pPr>
        <w:pStyle w:val="a9"/>
        <w:ind w:right="3905"/>
        <w:rPr>
          <w:color w:val="auto"/>
          <w:sz w:val="28"/>
          <w:szCs w:val="28"/>
          <w:lang w:val="uk-UA"/>
        </w:rPr>
      </w:pPr>
    </w:p>
    <w:p w14:paraId="7548AC70" w14:textId="171FA902" w:rsidR="00BB757D" w:rsidRPr="00181722" w:rsidRDefault="00BB757D" w:rsidP="00BB757D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181722">
        <w:rPr>
          <w:snapToGrid w:val="0"/>
          <w:color w:val="000000" w:themeColor="text1"/>
          <w:sz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 w:rsidRPr="00181722">
        <w:rPr>
          <w:snapToGrid w:val="0"/>
          <w:color w:val="000000" w:themeColor="text1"/>
          <w:sz w:val="28"/>
          <w:lang w:val="uk-UA"/>
        </w:rPr>
        <w:br/>
        <w:t xml:space="preserve">(код ЄДРПОУ 03362123, місцезнаходження юридичної особи: 04053,                      місто Київ, вул. Кудрявська, 23) від </w:t>
      </w:r>
      <w:r>
        <w:rPr>
          <w:snapToGrid w:val="0"/>
          <w:color w:val="000000" w:themeColor="text1"/>
          <w:sz w:val="28"/>
          <w:lang w:val="uk-UA"/>
        </w:rPr>
        <w:t>19</w:t>
      </w:r>
      <w:r w:rsidRPr="00181722">
        <w:rPr>
          <w:snapToGrid w:val="0"/>
          <w:color w:val="000000" w:themeColor="text1"/>
          <w:sz w:val="28"/>
          <w:lang w:val="uk-UA"/>
        </w:rPr>
        <w:t xml:space="preserve"> липня 2024 року </w:t>
      </w:r>
      <w:r>
        <w:rPr>
          <w:snapToGrid w:val="0"/>
          <w:color w:val="000000" w:themeColor="text1"/>
          <w:sz w:val="28"/>
          <w:lang w:val="uk-UA"/>
        </w:rPr>
        <w:t xml:space="preserve">                                                           </w:t>
      </w:r>
      <w:r w:rsidR="005B7F20">
        <w:rPr>
          <w:snapToGrid w:val="0"/>
          <w:color w:val="000000" w:themeColor="text1"/>
          <w:sz w:val="28"/>
          <w:lang w:val="uk-UA"/>
        </w:rPr>
        <w:t>№ 64025</w:t>
      </w:r>
      <w:r w:rsidRPr="00181722">
        <w:rPr>
          <w:snapToGrid w:val="0"/>
          <w:color w:val="000000" w:themeColor="text1"/>
          <w:sz w:val="28"/>
          <w:lang w:val="uk-UA"/>
        </w:rPr>
        <w:t>-008</w:t>
      </w:r>
      <w:r>
        <w:rPr>
          <w:snapToGrid w:val="0"/>
          <w:color w:val="000000" w:themeColor="text1"/>
          <w:sz w:val="28"/>
          <w:lang w:val="uk-UA"/>
        </w:rPr>
        <w:t>821281</w:t>
      </w:r>
      <w:r w:rsidRPr="00181722">
        <w:rPr>
          <w:snapToGrid w:val="0"/>
          <w:color w:val="000000" w:themeColor="text1"/>
          <w:sz w:val="28"/>
          <w:lang w:val="uk-UA"/>
        </w:rPr>
        <w:t xml:space="preserve">-031-03, </w:t>
      </w:r>
      <w:r w:rsidRPr="008502AA">
        <w:rPr>
          <w:snapToGrid w:val="0"/>
          <w:color w:val="000000" w:themeColor="text1"/>
          <w:sz w:val="28"/>
          <w:lang w:val="uk-UA"/>
        </w:rPr>
        <w:t>про надання в постійне користування земельн</w:t>
      </w:r>
      <w:r>
        <w:rPr>
          <w:snapToGrid w:val="0"/>
          <w:color w:val="000000" w:themeColor="text1"/>
          <w:sz w:val="28"/>
          <w:lang w:val="uk-UA"/>
        </w:rPr>
        <w:t>ої</w:t>
      </w:r>
      <w:r w:rsidRPr="008502AA">
        <w:rPr>
          <w:snapToGrid w:val="0"/>
          <w:color w:val="000000" w:themeColor="text1"/>
          <w:sz w:val="28"/>
          <w:lang w:val="uk-UA"/>
        </w:rPr>
        <w:t xml:space="preserve"> ділян</w:t>
      </w:r>
      <w:r>
        <w:rPr>
          <w:snapToGrid w:val="0"/>
          <w:color w:val="000000" w:themeColor="text1"/>
          <w:sz w:val="28"/>
          <w:lang w:val="uk-UA"/>
        </w:rPr>
        <w:t>ки</w:t>
      </w:r>
      <w:r w:rsidRPr="008502AA">
        <w:rPr>
          <w:snapToGrid w:val="0"/>
          <w:color w:val="000000" w:themeColor="text1"/>
          <w:sz w:val="28"/>
          <w:lang w:val="uk-UA"/>
        </w:rPr>
        <w:t xml:space="preserve"> та додані документи</w:t>
      </w:r>
      <w:r>
        <w:rPr>
          <w:snapToGrid w:val="0"/>
          <w:color w:val="000000" w:themeColor="text1"/>
          <w:sz w:val="28"/>
          <w:lang w:val="uk-UA"/>
        </w:rPr>
        <w:t>,</w:t>
      </w:r>
      <w:r w:rsidRPr="000B08AB"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lang w:val="uk-UA"/>
        </w:rPr>
        <w:t>враховуючи, що земельна ділянка</w:t>
      </w:r>
      <w:r w:rsidRPr="00181722"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lang w:val="uk-UA"/>
        </w:rPr>
        <w:t>зареєстрована</w:t>
      </w:r>
      <w:r w:rsidRPr="00181722">
        <w:rPr>
          <w:snapToGrid w:val="0"/>
          <w:color w:val="000000" w:themeColor="text1"/>
          <w:sz w:val="28"/>
          <w:lang w:val="uk-UA"/>
        </w:rPr>
        <w:t xml:space="preserve"> у Державному земельному</w:t>
      </w:r>
      <w:r w:rsidRPr="008502AA"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lang w:val="uk-UA"/>
        </w:rPr>
        <w:t>кадастрі</w:t>
      </w:r>
      <w:r w:rsidRPr="00181722">
        <w:rPr>
          <w:snapToGrid w:val="0"/>
          <w:color w:val="000000" w:themeColor="text1"/>
          <w:sz w:val="28"/>
          <w:lang w:val="uk-UA"/>
        </w:rPr>
        <w:t>, право комунальної власності територіа</w:t>
      </w:r>
      <w:r>
        <w:rPr>
          <w:snapToGrid w:val="0"/>
          <w:color w:val="000000" w:themeColor="text1"/>
          <w:sz w:val="28"/>
          <w:lang w:val="uk-UA"/>
        </w:rPr>
        <w:t>льної громади міста Києва на яку</w:t>
      </w:r>
      <w:r w:rsidRPr="00181722">
        <w:rPr>
          <w:snapToGrid w:val="0"/>
          <w:color w:val="000000" w:themeColor="text1"/>
          <w:sz w:val="28"/>
          <w:lang w:val="uk-UA"/>
        </w:rPr>
        <w:t xml:space="preserve">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napToGrid w:val="0"/>
          <w:color w:val="000000" w:themeColor="text1"/>
          <w:sz w:val="28"/>
          <w:lang w:val="uk-UA"/>
        </w:rPr>
        <w:t>12</w:t>
      </w:r>
      <w:r w:rsidRPr="00181722"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lang w:val="uk-UA"/>
        </w:rPr>
        <w:t>серп</w:t>
      </w:r>
      <w:r w:rsidRPr="00181722">
        <w:rPr>
          <w:snapToGrid w:val="0"/>
          <w:color w:val="000000" w:themeColor="text1"/>
          <w:sz w:val="28"/>
          <w:lang w:val="uk-UA"/>
        </w:rPr>
        <w:t xml:space="preserve">ня 2024 року, номер відомостей про речове право </w:t>
      </w:r>
      <w:r>
        <w:rPr>
          <w:snapToGrid w:val="0"/>
          <w:color w:val="000000" w:themeColor="text1"/>
          <w:sz w:val="28"/>
          <w:lang w:val="uk-UA"/>
        </w:rPr>
        <w:t>56288266</w:t>
      </w:r>
      <w:r w:rsidRPr="00181722">
        <w:rPr>
          <w:snapToGrid w:val="0"/>
          <w:color w:val="000000" w:themeColor="text1"/>
          <w:sz w:val="28"/>
          <w:lang w:val="uk-UA"/>
        </w:rPr>
        <w:t>),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3D32B152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BB757D" w:rsidRPr="00752621">
        <w:rPr>
          <w:snapToGrid w:val="0"/>
          <w:color w:val="000000"/>
          <w:sz w:val="28"/>
          <w:lang w:val="uk-UA"/>
        </w:rPr>
        <w:t xml:space="preserve">Надати </w:t>
      </w:r>
      <w:r w:rsidR="00BB757D"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BB757D" w:rsidRPr="00752621">
        <w:rPr>
          <w:snapToGrid w:val="0"/>
          <w:color w:val="000000"/>
          <w:sz w:val="28"/>
          <w:lang w:val="uk-UA"/>
        </w:rPr>
        <w:t xml:space="preserve">, за умови виконання пункту </w:t>
      </w:r>
      <w:r w:rsidR="00BB757D">
        <w:rPr>
          <w:snapToGrid w:val="0"/>
          <w:color w:val="000000"/>
          <w:sz w:val="28"/>
          <w:lang w:val="uk-UA"/>
        </w:rPr>
        <w:t>2</w:t>
      </w:r>
      <w:r w:rsidR="00BB757D" w:rsidRPr="00752621">
        <w:rPr>
          <w:snapToGrid w:val="0"/>
          <w:color w:val="000000"/>
          <w:sz w:val="28"/>
          <w:lang w:val="uk-UA"/>
        </w:rPr>
        <w:t xml:space="preserve"> цього рішення, у постійне користування земельн</w:t>
      </w:r>
      <w:r w:rsidR="00BB757D">
        <w:rPr>
          <w:snapToGrid w:val="0"/>
          <w:color w:val="000000"/>
          <w:sz w:val="28"/>
          <w:lang w:val="uk-UA"/>
        </w:rPr>
        <w:t>у</w:t>
      </w:r>
      <w:r w:rsidR="00BB757D" w:rsidRPr="00752621">
        <w:rPr>
          <w:snapToGrid w:val="0"/>
          <w:color w:val="000000"/>
          <w:sz w:val="28"/>
          <w:lang w:val="uk-UA"/>
        </w:rPr>
        <w:t xml:space="preserve"> ділянк</w:t>
      </w:r>
      <w:r w:rsidR="00BB757D">
        <w:rPr>
          <w:snapToGrid w:val="0"/>
          <w:color w:val="000000"/>
          <w:sz w:val="28"/>
          <w:lang w:val="uk-UA"/>
        </w:rPr>
        <w:t>у</w:t>
      </w:r>
      <w:r w:rsidR="00BB757D" w:rsidRPr="00752621">
        <w:rPr>
          <w:snapToGrid w:val="0"/>
          <w:color w:val="000000"/>
          <w:sz w:val="28"/>
          <w:lang w:val="uk-UA"/>
        </w:rPr>
        <w:t xml:space="preserve"> </w:t>
      </w:r>
      <w:r w:rsidR="00BB757D">
        <w:rPr>
          <w:snapToGrid w:val="0"/>
          <w:color w:val="000000"/>
          <w:sz w:val="28"/>
          <w:lang w:val="uk-UA"/>
        </w:rPr>
        <w:br/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BB757D">
        <w:rPr>
          <w:iCs/>
          <w:color w:val="000000" w:themeColor="text1"/>
          <w:sz w:val="28"/>
          <w:szCs w:val="28"/>
          <w:lang w:val="uk-UA" w:eastAsia="uk-UA"/>
        </w:rPr>
        <w:t>0,1333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BB757D">
        <w:rPr>
          <w:iCs/>
          <w:color w:val="000000" w:themeColor="text1"/>
          <w:sz w:val="28"/>
          <w:szCs w:val="28"/>
          <w:lang w:val="uk-UA" w:eastAsia="uk-UA"/>
        </w:rPr>
        <w:t>8000000000:72:233:0032</w:t>
      </w:r>
      <w:r w:rsidR="00F837D8" w:rsidRPr="00AF790C">
        <w:rPr>
          <w:sz w:val="28"/>
          <w:szCs w:val="28"/>
          <w:lang w:val="uk-UA"/>
        </w:rPr>
        <w:t xml:space="preserve">) </w:t>
      </w:r>
      <w:r w:rsidR="00BB757D">
        <w:rPr>
          <w:sz w:val="28"/>
          <w:szCs w:val="28"/>
          <w:lang w:val="uk-UA"/>
        </w:rPr>
        <w:t xml:space="preserve">для утримання </w:t>
      </w:r>
      <w:r w:rsidR="00BB757D">
        <w:rPr>
          <w:sz w:val="28"/>
          <w:szCs w:val="28"/>
          <w:lang w:val="uk-UA"/>
        </w:rPr>
        <w:lastRenderedPageBreak/>
        <w:t>та експлуатації скверу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C91D97">
        <w:rPr>
          <w:iCs/>
          <w:sz w:val="28"/>
          <w:szCs w:val="28"/>
          <w:lang w:val="uk-UA"/>
        </w:rPr>
        <w:t xml:space="preserve">просп. </w:t>
      </w:r>
      <w:r w:rsidR="00C91D97" w:rsidRPr="00C91D97">
        <w:rPr>
          <w:iCs/>
          <w:sz w:val="28"/>
          <w:szCs w:val="28"/>
          <w:lang w:val="uk-UA"/>
        </w:rPr>
        <w:t xml:space="preserve">Валерія </w:t>
      </w:r>
      <w:r w:rsidR="00F837D8" w:rsidRPr="00C91D97">
        <w:rPr>
          <w:iCs/>
          <w:sz w:val="28"/>
          <w:szCs w:val="28"/>
          <w:lang w:val="uk-UA"/>
        </w:rPr>
        <w:t>Лобановського у Солом'янському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C91D97">
        <w:rPr>
          <w:sz w:val="28"/>
          <w:szCs w:val="28"/>
          <w:lang w:val="uk-UA"/>
        </w:rPr>
        <w:t>,</w:t>
      </w:r>
      <w:r w:rsidR="00B010A6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19 липня   2024 </w:t>
      </w:r>
      <w:r w:rsidR="00B97E08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64025-008821281-031-03,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643914451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6528CCF8" w14:textId="694C26C0" w:rsidR="0051582C" w:rsidRDefault="00F86F74" w:rsidP="0051582C">
      <w:pPr>
        <w:ind w:firstLine="720"/>
        <w:jc w:val="both"/>
        <w:rPr>
          <w:snapToGrid w:val="0"/>
          <w:color w:val="000000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51582C"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51582C">
        <w:rPr>
          <w:snapToGrid w:val="0"/>
          <w:color w:val="000000"/>
          <w:sz w:val="28"/>
          <w:lang w:val="uk-UA"/>
        </w:rPr>
        <w:t>:</w:t>
      </w:r>
    </w:p>
    <w:p w14:paraId="4047E4F2" w14:textId="69686648" w:rsidR="000F751E" w:rsidRPr="000F751E" w:rsidRDefault="00F86F74" w:rsidP="0051582C">
      <w:pPr>
        <w:ind w:firstLine="720"/>
        <w:jc w:val="both"/>
        <w:rPr>
          <w:sz w:val="28"/>
          <w:szCs w:val="28"/>
          <w:lang w:val="uk-UA"/>
        </w:rPr>
      </w:pPr>
      <w:r w:rsidRPr="0051582C">
        <w:rPr>
          <w:iCs/>
          <w:sz w:val="28"/>
          <w:szCs w:val="28"/>
          <w:lang w:val="uk-UA"/>
        </w:rPr>
        <w:t>2</w:t>
      </w:r>
      <w:r w:rsidR="000F751E" w:rsidRPr="0051582C">
        <w:rPr>
          <w:iCs/>
          <w:sz w:val="28"/>
          <w:szCs w:val="28"/>
          <w:lang w:val="uk-UA"/>
        </w:rPr>
        <w:t>.1. Виконувати обов’язки землекористувача</w:t>
      </w:r>
      <w:r w:rsidR="000F751E" w:rsidRPr="000F751E">
        <w:rPr>
          <w:sz w:val="28"/>
          <w:szCs w:val="28"/>
          <w:lang w:val="uk-UA"/>
        </w:rPr>
        <w:t xml:space="preserve"> відповідно до вимог статті 96 Земельного кодексу України.</w:t>
      </w:r>
    </w:p>
    <w:p w14:paraId="553228AC" w14:textId="3E47C86D" w:rsidR="0051582C" w:rsidRPr="00F86B00" w:rsidRDefault="0051582C" w:rsidP="0051582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2.2. Вжити заходів щодо державної реєстрації права постійного користування земельн</w:t>
      </w:r>
      <w:r w:rsidR="005B7F20">
        <w:rPr>
          <w:sz w:val="28"/>
          <w:szCs w:val="28"/>
          <w:lang w:val="uk-UA"/>
        </w:rPr>
        <w:t>ою ділянкою</w:t>
      </w:r>
      <w:r w:rsidRPr="00F86B00">
        <w:rPr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004F24BB" w14:textId="083C27B6" w:rsidR="0051582C" w:rsidRPr="00F86B00" w:rsidRDefault="0051582C" w:rsidP="0051582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2.3. Забезпечити вільний проїзд та прохід д</w:t>
      </w:r>
      <w:r>
        <w:rPr>
          <w:sz w:val="28"/>
          <w:szCs w:val="28"/>
          <w:lang w:val="uk-UA"/>
        </w:rPr>
        <w:t>о суміжних землекористувачів та</w:t>
      </w:r>
      <w:r w:rsidRPr="00F86B00">
        <w:rPr>
          <w:sz w:val="28"/>
          <w:szCs w:val="28"/>
          <w:lang w:val="uk-UA"/>
        </w:rPr>
        <w:t xml:space="preserve"> вільний доступ для прокладання нових, ремонту та експлуатації існуючих інженерних мереж і споруд, що знаходяться в межах земельн</w:t>
      </w:r>
      <w:r w:rsidR="00F928D9">
        <w:rPr>
          <w:sz w:val="28"/>
          <w:szCs w:val="28"/>
          <w:lang w:val="uk-UA"/>
        </w:rPr>
        <w:t>ої</w:t>
      </w:r>
      <w:r w:rsidRPr="00F86B00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</w:t>
      </w:r>
      <w:r w:rsidR="00F928D9">
        <w:rPr>
          <w:sz w:val="28"/>
          <w:szCs w:val="28"/>
          <w:lang w:val="uk-UA"/>
        </w:rPr>
        <w:t>и</w:t>
      </w:r>
      <w:r w:rsidRPr="00F86B00">
        <w:rPr>
          <w:sz w:val="28"/>
          <w:szCs w:val="28"/>
          <w:lang w:val="uk-UA"/>
        </w:rPr>
        <w:t>.</w:t>
      </w:r>
    </w:p>
    <w:p w14:paraId="0668874B" w14:textId="6B0CF2D6" w:rsidR="005B7F20" w:rsidRPr="00F86B00" w:rsidRDefault="0051582C" w:rsidP="005B7F2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2.4. Під час використання земельн</w:t>
      </w:r>
      <w:r w:rsidR="005B7F20">
        <w:rPr>
          <w:sz w:val="28"/>
          <w:szCs w:val="28"/>
          <w:lang w:val="uk-UA"/>
        </w:rPr>
        <w:t>ої</w:t>
      </w:r>
      <w:r w:rsidRPr="00F86B00">
        <w:rPr>
          <w:sz w:val="28"/>
          <w:szCs w:val="28"/>
          <w:lang w:val="uk-UA"/>
        </w:rPr>
        <w:t xml:space="preserve"> ділян</w:t>
      </w:r>
      <w:r w:rsidR="005B7F20">
        <w:rPr>
          <w:sz w:val="28"/>
          <w:szCs w:val="28"/>
          <w:lang w:val="uk-UA"/>
        </w:rPr>
        <w:t>ки</w:t>
      </w:r>
      <w:r w:rsidRPr="00F86B00">
        <w:rPr>
          <w:sz w:val="28"/>
          <w:szCs w:val="28"/>
          <w:lang w:val="uk-UA"/>
        </w:rPr>
        <w:t xml:space="preserve"> дотримуватися обмежень у ї</w:t>
      </w:r>
      <w:r w:rsidR="005B7F20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Pr="00F86B00">
        <w:rPr>
          <w:sz w:val="28"/>
          <w:szCs w:val="28"/>
          <w:lang w:val="uk-UA"/>
        </w:rPr>
        <w:t>використанні, зареєстрованих у Державному земельному кадастрі.</w:t>
      </w:r>
    </w:p>
    <w:p w14:paraId="0C79A24B" w14:textId="6ACCF14D" w:rsidR="0051582C" w:rsidRDefault="0051582C" w:rsidP="0051582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 xml:space="preserve">2.5. Частину земельної ділянки </w:t>
      </w:r>
      <w:r>
        <w:rPr>
          <w:sz w:val="28"/>
          <w:szCs w:val="28"/>
          <w:lang w:val="uk-UA"/>
        </w:rPr>
        <w:t xml:space="preserve">з кадастровим номером </w:t>
      </w:r>
      <w:r w:rsidR="00482FB7">
        <w:rPr>
          <w:iCs/>
          <w:color w:val="000000" w:themeColor="text1"/>
          <w:sz w:val="28"/>
          <w:szCs w:val="28"/>
          <w:lang w:val="uk-UA" w:eastAsia="uk-UA"/>
        </w:rPr>
        <w:t>8000000000:72:233:003</w:t>
      </w:r>
      <w:r w:rsidRPr="00A45C3D">
        <w:rPr>
          <w:iCs/>
          <w:color w:val="000000" w:themeColor="text1"/>
          <w:sz w:val="28"/>
          <w:szCs w:val="28"/>
          <w:lang w:val="uk-UA" w:eastAsia="uk-UA"/>
        </w:rPr>
        <w:t>2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F86B00">
        <w:rPr>
          <w:sz w:val="28"/>
          <w:szCs w:val="28"/>
          <w:lang w:val="uk-UA"/>
        </w:rPr>
        <w:t>в межах червоних ліній використовувати з обмеженням відповідно до вимог містобудівного законодавства та Закону України «Про автомобільні дороги».</w:t>
      </w:r>
    </w:p>
    <w:p w14:paraId="53521706" w14:textId="514AAA7F" w:rsidR="005B7F20" w:rsidRPr="00F86B00" w:rsidRDefault="005B7F20" w:rsidP="005B7F20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51A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451ABE">
        <w:rPr>
          <w:sz w:val="28"/>
          <w:szCs w:val="28"/>
          <w:lang w:val="uk-UA"/>
        </w:rPr>
        <w:t>. Забезпечити виконання вимог Закону України «Про охорону культурної спадщини».</w:t>
      </w:r>
    </w:p>
    <w:p w14:paraId="3153E1F3" w14:textId="0F15B3A5" w:rsidR="0051582C" w:rsidRPr="00F86B00" w:rsidRDefault="0051582C" w:rsidP="0051582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3. Попередити землекористувача, що право користування земельн</w:t>
      </w:r>
      <w:r w:rsidR="005B7F20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</w:t>
      </w:r>
      <w:r w:rsidRPr="00F86B00">
        <w:rPr>
          <w:sz w:val="28"/>
          <w:szCs w:val="28"/>
          <w:lang w:val="uk-UA"/>
        </w:rPr>
        <w:t>ділянк</w:t>
      </w:r>
      <w:r w:rsidR="005B7F20">
        <w:rPr>
          <w:sz w:val="28"/>
          <w:szCs w:val="28"/>
          <w:lang w:val="uk-UA"/>
        </w:rPr>
        <w:t>ою</w:t>
      </w:r>
      <w:r w:rsidRPr="00F86B00">
        <w:rPr>
          <w:sz w:val="28"/>
          <w:szCs w:val="28"/>
          <w:lang w:val="uk-UA"/>
        </w:rPr>
        <w:t xml:space="preserve"> може бути припинено відповідно до статей 141, 143 Земельного кодексу України.</w:t>
      </w:r>
    </w:p>
    <w:p w14:paraId="7A1004C9" w14:textId="77777777" w:rsidR="0051582C" w:rsidRPr="00F86B00" w:rsidRDefault="0051582C" w:rsidP="0051582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4. 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5394873C" w14:textId="77777777" w:rsidR="0051582C" w:rsidRDefault="0051582C" w:rsidP="0051582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5. 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2DAD2BCF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0C328A" w:rsidRPr="000D423A" w14:paraId="0A0187E2" w14:textId="77777777" w:rsidTr="00986F13">
        <w:trPr>
          <w:trHeight w:val="2216"/>
        </w:trPr>
        <w:tc>
          <w:tcPr>
            <w:tcW w:w="5920" w:type="dxa"/>
          </w:tcPr>
          <w:p w14:paraId="3F453A6C" w14:textId="77777777" w:rsidR="000C328A" w:rsidRPr="00BF383F" w:rsidRDefault="000C328A" w:rsidP="00986F13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5DDF18F9" w14:textId="77777777" w:rsidR="000C328A" w:rsidRPr="00BF383F" w:rsidRDefault="000C328A" w:rsidP="00986F13">
            <w:pPr>
              <w:ind w:left="37"/>
              <w:rPr>
                <w:sz w:val="28"/>
                <w:szCs w:val="28"/>
                <w:lang w:val="uk-UA"/>
              </w:rPr>
            </w:pPr>
            <w:r w:rsidRPr="00BF383F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52CDFD32" w14:textId="77777777" w:rsidR="000C328A" w:rsidRPr="00BF383F" w:rsidRDefault="000C328A" w:rsidP="00986F13">
            <w:pPr>
              <w:ind w:left="37"/>
              <w:rPr>
                <w:sz w:val="28"/>
                <w:szCs w:val="28"/>
                <w:lang w:val="uk-UA"/>
              </w:rPr>
            </w:pPr>
            <w:r w:rsidRPr="00BF383F">
              <w:rPr>
                <w:sz w:val="28"/>
                <w:szCs w:val="28"/>
                <w:lang w:val="uk-UA"/>
              </w:rPr>
              <w:t>з питань екологічної політики</w:t>
            </w:r>
          </w:p>
          <w:p w14:paraId="437740DA" w14:textId="77777777" w:rsidR="000C328A" w:rsidRPr="00BF383F" w:rsidRDefault="000C328A" w:rsidP="00986F13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50FFD54B" w14:textId="77777777" w:rsidR="000C328A" w:rsidRPr="00264CC5" w:rsidRDefault="000C328A" w:rsidP="00986F13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01A67FE2" w14:textId="77777777" w:rsidR="000C328A" w:rsidRDefault="000C328A" w:rsidP="00986F13">
            <w:pPr>
              <w:jc w:val="both"/>
              <w:rPr>
                <w:sz w:val="28"/>
                <w:szCs w:val="28"/>
              </w:rPr>
            </w:pPr>
          </w:p>
          <w:p w14:paraId="6B84A836" w14:textId="77777777" w:rsidR="000C328A" w:rsidRDefault="000C328A" w:rsidP="00986F1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64CC5">
              <w:rPr>
                <w:sz w:val="28"/>
                <w:szCs w:val="28"/>
              </w:rPr>
              <w:t>Секретар</w:t>
            </w:r>
          </w:p>
        </w:tc>
        <w:tc>
          <w:tcPr>
            <w:tcW w:w="3934" w:type="dxa"/>
          </w:tcPr>
          <w:p w14:paraId="5B3618C7" w14:textId="77777777" w:rsidR="000C328A" w:rsidRDefault="000C328A" w:rsidP="00986F1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6164BB" w14:textId="77777777" w:rsidR="000C328A" w:rsidRPr="000D423A" w:rsidRDefault="000C328A" w:rsidP="00986F13">
            <w:pPr>
              <w:rPr>
                <w:sz w:val="28"/>
                <w:szCs w:val="28"/>
              </w:rPr>
            </w:pPr>
          </w:p>
          <w:p w14:paraId="44623CFD" w14:textId="77777777" w:rsidR="000C328A" w:rsidRPr="000D423A" w:rsidRDefault="000C328A" w:rsidP="00986F13">
            <w:pPr>
              <w:rPr>
                <w:sz w:val="28"/>
                <w:szCs w:val="28"/>
              </w:rPr>
            </w:pPr>
          </w:p>
          <w:p w14:paraId="07CA94B3" w14:textId="77777777" w:rsidR="000C328A" w:rsidRPr="000D423A" w:rsidRDefault="000C328A" w:rsidP="00986F13">
            <w:pPr>
              <w:rPr>
                <w:sz w:val="28"/>
                <w:szCs w:val="28"/>
              </w:rPr>
            </w:pPr>
          </w:p>
          <w:p w14:paraId="01B741E4" w14:textId="77777777" w:rsidR="000C328A" w:rsidRPr="00264CC5" w:rsidRDefault="000C328A" w:rsidP="00986F13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  <w:p w14:paraId="6E677768" w14:textId="77777777" w:rsidR="000C328A" w:rsidRPr="00264CC5" w:rsidRDefault="000C328A" w:rsidP="00986F13">
            <w:pPr>
              <w:ind w:left="1263"/>
              <w:rPr>
                <w:sz w:val="28"/>
                <w:szCs w:val="28"/>
              </w:rPr>
            </w:pPr>
          </w:p>
          <w:p w14:paraId="125CB7BD" w14:textId="77777777" w:rsidR="000C328A" w:rsidRPr="000D423A" w:rsidRDefault="000C328A" w:rsidP="0098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264CC5">
              <w:rPr>
                <w:sz w:val="28"/>
                <w:szCs w:val="28"/>
              </w:rPr>
              <w:t>Євгенія КУЛЕБА</w:t>
            </w:r>
          </w:p>
        </w:tc>
      </w:tr>
    </w:tbl>
    <w:p w14:paraId="677663A9" w14:textId="77777777" w:rsidR="000C328A" w:rsidRDefault="000C328A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8DEA18C" w:rsidR="00E75718" w:rsidRPr="00FE4477" w:rsidRDefault="008119F4" w:rsidP="00536651">
      <w:pPr>
        <w:rPr>
          <w:color w:val="000000"/>
          <w:sz w:val="28"/>
          <w:szCs w:val="28"/>
          <w:lang w:eastAsia="uk-UA"/>
        </w:rPr>
      </w:pPr>
      <w:r w:rsidRPr="00FE4477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FE4477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7E14" w14:textId="77777777" w:rsidR="00046EB2" w:rsidRDefault="00046EB2">
      <w:r>
        <w:separator/>
      </w:r>
    </w:p>
  </w:endnote>
  <w:endnote w:type="continuationSeparator" w:id="0">
    <w:p w14:paraId="43024630" w14:textId="77777777" w:rsidR="00046EB2" w:rsidRDefault="0004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D01E" w14:textId="77777777" w:rsidR="00046EB2" w:rsidRDefault="00046EB2">
      <w:r>
        <w:separator/>
      </w:r>
    </w:p>
  </w:footnote>
  <w:footnote w:type="continuationSeparator" w:id="0">
    <w:p w14:paraId="4E41C165" w14:textId="77777777" w:rsidR="00046EB2" w:rsidRDefault="0004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864961">
    <w:abstractNumId w:val="10"/>
  </w:num>
  <w:num w:numId="2" w16cid:durableId="1319961072">
    <w:abstractNumId w:val="6"/>
  </w:num>
  <w:num w:numId="3" w16cid:durableId="1044646161">
    <w:abstractNumId w:val="9"/>
  </w:num>
  <w:num w:numId="4" w16cid:durableId="648100202">
    <w:abstractNumId w:val="0"/>
  </w:num>
  <w:num w:numId="5" w16cid:durableId="1486315321">
    <w:abstractNumId w:val="8"/>
  </w:num>
  <w:num w:numId="6" w16cid:durableId="468061980">
    <w:abstractNumId w:val="4"/>
  </w:num>
  <w:num w:numId="7" w16cid:durableId="201211838">
    <w:abstractNumId w:val="5"/>
  </w:num>
  <w:num w:numId="8" w16cid:durableId="1161583578">
    <w:abstractNumId w:val="7"/>
  </w:num>
  <w:num w:numId="9" w16cid:durableId="426655782">
    <w:abstractNumId w:val="2"/>
  </w:num>
  <w:num w:numId="10" w16cid:durableId="987784706">
    <w:abstractNumId w:val="1"/>
  </w:num>
  <w:num w:numId="11" w16cid:durableId="174810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46EB2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328A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61D2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2FB7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1582C"/>
    <w:rsid w:val="00536651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B7F20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97E08"/>
    <w:rsid w:val="00BA4FD1"/>
    <w:rsid w:val="00BB0475"/>
    <w:rsid w:val="00BB446F"/>
    <w:rsid w:val="00BB757D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1D97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D65E3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28D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4477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4617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12</cp:revision>
  <cp:lastPrinted>2021-11-24T13:25:00Z</cp:lastPrinted>
  <dcterms:created xsi:type="dcterms:W3CDTF">2024-08-13T07:03:00Z</dcterms:created>
  <dcterms:modified xsi:type="dcterms:W3CDTF">2024-09-02T11:44:00Z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