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980F87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600404121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600404121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80F87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980F87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7F429FB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0F87">
        <w:rPr>
          <w:b/>
          <w:bCs/>
          <w:i w:val="0"/>
          <w:iCs w:val="0"/>
          <w:sz w:val="24"/>
          <w:szCs w:val="24"/>
          <w:lang w:val="ru-RU"/>
        </w:rPr>
        <w:t xml:space="preserve">№ ПЗН-53524 </w:t>
      </w:r>
      <w:proofErr w:type="spellStart"/>
      <w:r w:rsidRPr="00980F8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80F8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80F87">
        <w:rPr>
          <w:b/>
          <w:bCs/>
          <w:i w:val="0"/>
          <w:sz w:val="24"/>
          <w:szCs w:val="24"/>
          <w:lang w:val="ru-RU"/>
        </w:rPr>
        <w:t>25.04.2023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52697C34" w:rsidR="00AB6376" w:rsidRPr="00980F87" w:rsidRDefault="00AB6376" w:rsidP="00980F87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передачу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громадянину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Ференцю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Олександру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Борисовичу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нежитлового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Івана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Огієнка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gram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15  у</w:t>
      </w:r>
      <w:proofErr w:type="gram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Солом'янському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980F87" w:rsidRPr="00980F87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1E90B014" w14:textId="77777777" w:rsidR="00980F87" w:rsidRDefault="00980F87" w:rsidP="00980F87">
      <w:pPr>
        <w:pStyle w:val="a7"/>
        <w:numPr>
          <w:ilvl w:val="0"/>
          <w:numId w:val="3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Фізична</w:t>
      </w:r>
      <w:proofErr w:type="spellEnd"/>
      <w:r>
        <w:rPr>
          <w:sz w:val="24"/>
          <w:szCs w:val="24"/>
          <w:lang w:val="ru-RU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980F87" w14:paraId="20F702B9" w14:textId="77777777" w:rsidTr="00980F87">
        <w:trPr>
          <w:cantSplit/>
          <w:trHeight w:val="36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B57A" w14:textId="77777777" w:rsidR="00980F87" w:rsidRDefault="00980F8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ru-RU" w:bidi="uk-UA"/>
              </w:rPr>
            </w:pPr>
            <w:r>
              <w:rPr>
                <w:b w:val="0"/>
                <w:sz w:val="24"/>
                <w:szCs w:val="24"/>
                <w:lang w:val="ru-RU" w:bidi="uk-UA"/>
              </w:rPr>
              <w:t xml:space="preserve"> ПІБ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C45D" w14:textId="77777777" w:rsidR="00980F87" w:rsidRDefault="00980F8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 w:bidi="uk-UA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 w:bidi="uk-UA"/>
              </w:rPr>
              <w:t>Ференець</w:t>
            </w:r>
            <w:proofErr w:type="spellEnd"/>
            <w:r>
              <w:rPr>
                <w:b w:val="0"/>
                <w:i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 w:bidi="uk-UA"/>
              </w:rPr>
              <w:t>Олександр</w:t>
            </w:r>
            <w:proofErr w:type="spellEnd"/>
            <w:r>
              <w:rPr>
                <w:b w:val="0"/>
                <w:i/>
                <w:sz w:val="24"/>
                <w:szCs w:val="24"/>
                <w:lang w:val="ru-RU" w:bidi="uk-UA"/>
              </w:rPr>
              <w:t xml:space="preserve"> Борисович</w:t>
            </w:r>
          </w:p>
        </w:tc>
      </w:tr>
      <w:tr w:rsidR="00980F87" w14:paraId="5C4A7D83" w14:textId="77777777" w:rsidTr="00980F87">
        <w:trPr>
          <w:cantSplit/>
          <w:trHeight w:val="29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2C01" w14:textId="77777777" w:rsidR="00980F87" w:rsidRDefault="00980F8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Реєстраційний номер: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F011" w14:textId="77777777" w:rsidR="00980F87" w:rsidRDefault="00980F8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 w:bidi="uk-UA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 w:bidi="uk-UA"/>
              </w:rPr>
              <w:t>від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 w:bidi="uk-UA"/>
              </w:rPr>
              <w:t>27.03.2023</w:t>
            </w:r>
            <w:r>
              <w:rPr>
                <w:b w:val="0"/>
                <w:sz w:val="24"/>
                <w:szCs w:val="24"/>
                <w:lang w:val="ru-RU" w:bidi="uk-UA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 w:bidi="uk-UA"/>
              </w:rPr>
              <w:t>№ 304110546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980F87">
        <w:rPr>
          <w:sz w:val="24"/>
          <w:szCs w:val="24"/>
          <w:lang w:val="ru-RU"/>
        </w:rPr>
        <w:t>8000000000:72:057:0012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5C77E38C" w:rsidR="00AB6376" w:rsidRPr="00433810" w:rsidRDefault="00AB6376" w:rsidP="000F43A4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980F87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80F8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980F87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980F87"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 w:rsidRPr="00980F8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80F8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980F87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0F43A4">
              <w:rPr>
                <w:i/>
                <w:iCs/>
                <w:sz w:val="24"/>
                <w:szCs w:val="24"/>
              </w:rPr>
              <w:t>Івана</w:t>
            </w:r>
            <w:proofErr w:type="spellEnd"/>
            <w:r w:rsidR="000F43A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F43A4">
              <w:rPr>
                <w:i/>
                <w:iCs/>
                <w:sz w:val="24"/>
                <w:szCs w:val="24"/>
              </w:rPr>
              <w:t>Огіє</w:t>
            </w:r>
            <w:r w:rsidR="000F43A4">
              <w:rPr>
                <w:i/>
                <w:iCs/>
                <w:sz w:val="24"/>
                <w:szCs w:val="24"/>
                <w:lang w:val="uk-UA"/>
              </w:rPr>
              <w:t>нка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15 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0,0498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B372375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980F87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980F87">
              <w:rPr>
                <w:i/>
                <w:sz w:val="24"/>
                <w:szCs w:val="24"/>
                <w:lang w:val="ru-RU"/>
              </w:rPr>
              <w:t xml:space="preserve"> 10 </w:t>
            </w:r>
            <w:proofErr w:type="spellStart"/>
            <w:r w:rsidR="00980F87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DB9E8B2" w:rsidR="00AB6376" w:rsidRPr="00980F87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80F87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AB6376" w14:paraId="759231D0" w14:textId="77777777" w:rsidTr="00980F87">
        <w:trPr>
          <w:trHeight w:hRule="exact" w:val="1611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80F87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648CE3CD" w:rsidR="00AB6376" w:rsidRPr="00980F87" w:rsidRDefault="00AB6376" w:rsidP="00980F87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980F87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980F87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1774CA" w:rsidRPr="00980F87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980F87" w:rsidRPr="00980F87">
              <w:rPr>
                <w:rFonts w:eastAsia="Georgia"/>
                <w:i/>
                <w:iCs/>
                <w:sz w:val="24"/>
                <w:szCs w:val="24"/>
                <w:lang w:val="uk-UA"/>
              </w:rPr>
              <w:t>для експлуатації та обслуговування нежитлового будинку</w:t>
            </w:r>
            <w:r w:rsidR="001774CA" w:rsidRPr="00980F87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980F87" w:rsidRDefault="00D83BE9" w:rsidP="00980F87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F6362BF" w14:textId="77777777" w:rsidR="00D83BE9" w:rsidRPr="00980F87" w:rsidRDefault="00D83BE9" w:rsidP="00980F87">
            <w:pPr>
              <w:pStyle w:val="a4"/>
              <w:shd w:val="clear" w:color="auto" w:fill="auto"/>
              <w:jc w:val="both"/>
              <w:rPr>
                <w:rStyle w:val="ac"/>
                <w:lang w:val="uk-UA"/>
              </w:rPr>
            </w:pPr>
          </w:p>
          <w:p w14:paraId="32D02117" w14:textId="77777777" w:rsidR="00D83BE9" w:rsidRPr="00980F87" w:rsidRDefault="00D83BE9" w:rsidP="00980F87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80F87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3B0CE156" w:rsidR="00AB6376" w:rsidRPr="00596434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596434" w:rsidRPr="00596434">
              <w:rPr>
                <w:rStyle w:val="ac"/>
                <w:sz w:val="24"/>
                <w:szCs w:val="24"/>
                <w:lang w:val="ru-RU"/>
              </w:rPr>
              <w:t xml:space="preserve">5 822 305 </w:t>
            </w:r>
            <w:proofErr w:type="spellStart"/>
            <w:r w:rsidR="00596434" w:rsidRPr="00596434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596434" w:rsidRPr="00596434">
              <w:rPr>
                <w:rStyle w:val="ac"/>
                <w:sz w:val="24"/>
                <w:szCs w:val="24"/>
              </w:rPr>
              <w:t xml:space="preserve"> 30 </w:t>
            </w:r>
            <w:proofErr w:type="spellStart"/>
            <w:r w:rsidR="00596434" w:rsidRPr="00596434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596434" w:rsidRPr="00596434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C5CFECA" w14:textId="75F7304C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3B2E5D">
        <w:rPr>
          <w:i w:val="0"/>
          <w:sz w:val="24"/>
          <w:szCs w:val="24"/>
          <w:lang w:val="uk-UA"/>
        </w:rPr>
        <w:t>25</w:t>
      </w:r>
      <w:r w:rsidR="00FC2C51" w:rsidRPr="00FC2C51">
        <w:rPr>
          <w:i w:val="0"/>
          <w:sz w:val="24"/>
          <w:szCs w:val="24"/>
          <w:lang w:val="uk-UA"/>
        </w:rPr>
        <w:t>.0</w:t>
      </w:r>
      <w:r w:rsidR="003B2E5D">
        <w:rPr>
          <w:i w:val="0"/>
          <w:sz w:val="24"/>
          <w:szCs w:val="24"/>
          <w:lang w:val="uk-UA"/>
        </w:rPr>
        <w:t>4</w:t>
      </w:r>
      <w:r w:rsidR="00FC2C51" w:rsidRPr="00FC2C51">
        <w:rPr>
          <w:i w:val="0"/>
          <w:sz w:val="24"/>
          <w:szCs w:val="24"/>
          <w:lang w:val="uk-UA"/>
        </w:rPr>
        <w:t>.2023 № НВ-0000</w:t>
      </w:r>
      <w:r w:rsidR="003B2E5D">
        <w:rPr>
          <w:i w:val="0"/>
          <w:sz w:val="24"/>
          <w:szCs w:val="24"/>
          <w:lang w:val="uk-UA"/>
        </w:rPr>
        <w:t>746002023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7686E023" w:rsidR="00AB6376" w:rsidRPr="00F336A8" w:rsidRDefault="00FC2C51" w:rsidP="001A737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розташований нежилий будинок (літера А) загальною площею 614.6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який перебуває у власності громадянина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Ференця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О.Б., право власності на який зареєстровано у Державному реєстрі речових прав на нерухоме майно 15.11.2022, номер відомостей про речове право 48482313 (інформація з Державного реєстру речо</w:t>
            </w:r>
            <w:r w:rsidR="001A7376">
              <w:rPr>
                <w:rFonts w:ascii="Times New Roman" w:eastAsia="Times New Roman" w:hAnsi="Times New Roman" w:cs="Times New Roman"/>
                <w:i/>
              </w:rPr>
              <w:t>вих прав на нерухоме майно від 25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1A7376">
              <w:rPr>
                <w:rFonts w:ascii="Times New Roman" w:eastAsia="Times New Roman" w:hAnsi="Times New Roman" w:cs="Times New Roman"/>
                <w:i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1A7376">
              <w:rPr>
                <w:rFonts w:ascii="Times New Roman" w:eastAsia="Times New Roman" w:hAnsi="Times New Roman" w:cs="Times New Roman"/>
                <w:i/>
              </w:rPr>
              <w:t>330218983</w:t>
            </w:r>
            <w:r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741106">
        <w:trPr>
          <w:cantSplit/>
          <w:trHeight w:val="1728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3370CACF" w14:textId="77777777" w:rsidR="00FC2C51" w:rsidRPr="00FC2C51" w:rsidRDefault="00FC2C51" w:rsidP="00FC2C51">
            <w:pPr>
              <w:pStyle w:val="1"/>
              <w:jc w:val="both"/>
              <w:rPr>
                <w:sz w:val="24"/>
                <w:szCs w:val="24"/>
                <w:lang w:val="ru-RU"/>
              </w:rPr>
            </w:pPr>
            <w:r w:rsidRPr="00FC2C51">
              <w:rPr>
                <w:sz w:val="24"/>
                <w:szCs w:val="24"/>
                <w:lang w:val="uk-UA"/>
              </w:rPr>
              <w:t>Відповідно до детального плану території в межах Повітрофлотського проспекту, вулиць Солом'янської, Механізаторів, Кудряшова та залізничних колій, затвердженого рішенням Київської міської ради                    від 24.09.2015 № 46/1949</w:t>
            </w:r>
            <w:r w:rsidRPr="00FC2C5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земельна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ділянка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функціональним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призначенням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належить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громадських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C2C51">
              <w:rPr>
                <w:sz w:val="24"/>
                <w:szCs w:val="24"/>
                <w:lang w:val="ru-RU"/>
              </w:rPr>
              <w:t>споруд</w:t>
            </w:r>
            <w:proofErr w:type="spellEnd"/>
            <w:r w:rsidRPr="00FC2C51">
              <w:rPr>
                <w:sz w:val="24"/>
                <w:szCs w:val="24"/>
                <w:lang w:val="ru-RU"/>
              </w:rPr>
              <w:t>.</w:t>
            </w:r>
          </w:p>
          <w:p w14:paraId="75FC2B63" w14:textId="09212698" w:rsidR="00AB6376" w:rsidRPr="00F336A8" w:rsidRDefault="00FC2C51" w:rsidP="00FC2C5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до листа Департаменту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містобудування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архітектури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виконавчого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органу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Київської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міської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ради (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Київської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міської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державної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адміністрації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)                          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від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01.03.2023 № 055-1281 заявлена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ініціатива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відповідає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містобудівній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C2C51">
              <w:rPr>
                <w:rFonts w:ascii="Times New Roman" w:hAnsi="Times New Roman" w:cs="Times New Roman"/>
                <w:i/>
                <w:lang w:val="ru-RU"/>
              </w:rPr>
              <w:t>документації</w:t>
            </w:r>
            <w:proofErr w:type="spellEnd"/>
            <w:r w:rsidRPr="00FC2C51">
              <w:rPr>
                <w:rFonts w:ascii="Times New Roman" w:hAnsi="Times New Roman" w:cs="Times New Roman"/>
                <w:i/>
                <w:lang w:val="ru-RU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51717CB3" w:rsidR="00AB6376" w:rsidRPr="00F336A8" w:rsidRDefault="00FC2C51" w:rsidP="0043381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від 28.03.2002 № 370/1804, земельна ділянка за функціональним призначенням належить до території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будівель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1265CB86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4F7214" w:rsidRPr="0070402C" w14:paraId="6013039D" w14:textId="77777777" w:rsidTr="00511F85">
        <w:trPr>
          <w:cantSplit/>
          <w:trHeight w:val="8460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615371A" w14:textId="3B446A0A" w:rsidR="00FC2C51" w:rsidRDefault="00FC2C51" w:rsidP="00FC2C51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в історичному ареалі міста (лист Міністерства культури та інформаційної політики від 01.02.2023 № 06/35/994-23).</w:t>
            </w:r>
          </w:p>
          <w:p w14:paraId="4AA4CB36" w14:textId="051045FB" w:rsidR="00511F85" w:rsidRDefault="00511F85" w:rsidP="00FC2C51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На земельній ділянці розташований щойно виявлений об'єкт культурної спадщини (охоронний договір між            гр. Ференцем О.Б. та Департаментом охорони культурної спадщини виконавчого органу Київської міської ради (Київської міської державної адміністрації)                             від 21.04.2023 № 4980)</w:t>
            </w:r>
          </w:p>
          <w:p w14:paraId="4D0FD73C" w14:textId="77777777" w:rsidR="0092575C" w:rsidRDefault="00FC2C51" w:rsidP="00FC2C51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Підпунктом 3.11. пункту 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від 18.06.2020 у справі № 925/449/19,  від 27.01.2021 у справі № 630/269/16, від 10.02.2021 у справі № 200/8930/18) зобов’язати земле- 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1AA5F33" w14:textId="0280C483" w:rsidR="00FC2C51" w:rsidRPr="00AD604C" w:rsidRDefault="00547FBD" w:rsidP="000F43A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>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</w:t>
            </w:r>
            <w:r>
              <w:rPr>
                <w:rFonts w:ascii="Times New Roman" w:hAnsi="Times New Roman" w:cs="Times New Roman"/>
                <w:i/>
              </w:rPr>
              <w:t>ими</w:t>
            </w:r>
            <w:r w:rsidRPr="00C04B24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ами</w:t>
            </w:r>
            <w:r w:rsidRPr="00C04B24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511F85" w:rsidRPr="0070402C" w14:paraId="6A210BE4" w14:textId="77777777" w:rsidTr="00547FBD">
        <w:trPr>
          <w:cantSplit/>
          <w:trHeight w:val="1974"/>
        </w:trPr>
        <w:tc>
          <w:tcPr>
            <w:tcW w:w="3260" w:type="dxa"/>
          </w:tcPr>
          <w:p w14:paraId="748BAA5E" w14:textId="77777777" w:rsidR="00511F85" w:rsidRPr="00F804BF" w:rsidRDefault="00511F85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4FE584F1" w14:textId="77777777" w:rsidR="000F43A4" w:rsidRDefault="00547FBD" w:rsidP="000F43A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D13C2B3" w14:textId="0ED3014C" w:rsidR="00511F85" w:rsidRPr="000F43A4" w:rsidRDefault="00547FBD" w:rsidP="000F43A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6FDDBBED" w14:textId="77777777" w:rsidR="00793097" w:rsidRPr="00793097" w:rsidRDefault="00AB6376" w:rsidP="00793097">
      <w:pPr>
        <w:pStyle w:val="1"/>
        <w:shd w:val="clear" w:color="auto" w:fill="auto"/>
        <w:tabs>
          <w:tab w:val="left" w:pos="708"/>
        </w:tabs>
        <w:spacing w:after="40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  <w:r w:rsidR="00793097" w:rsidRPr="00793097">
        <w:rPr>
          <w:bCs/>
          <w:i w:val="0"/>
          <w:sz w:val="24"/>
          <w:szCs w:val="24"/>
          <w:lang w:val="ru-RU"/>
        </w:rPr>
        <w:t xml:space="preserve"> </w:t>
      </w:r>
      <w:r w:rsidR="00793097">
        <w:rPr>
          <w:bCs/>
          <w:i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</w:t>
      </w:r>
    </w:p>
    <w:p w14:paraId="69EB2AEF" w14:textId="2B90DF92" w:rsidR="00793097" w:rsidRPr="00D97B7A" w:rsidRDefault="00793097" w:rsidP="00793097">
      <w:pPr>
        <w:pStyle w:val="1"/>
        <w:shd w:val="clear" w:color="auto" w:fill="auto"/>
        <w:tabs>
          <w:tab w:val="left" w:pos="708"/>
        </w:tabs>
        <w:spacing w:after="40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D97B7A">
        <w:rPr>
          <w:bCs/>
          <w:i w:val="0"/>
          <w:sz w:val="24"/>
          <w:szCs w:val="24"/>
          <w:lang w:val="ru-RU"/>
        </w:rPr>
        <w:t>Проєкт</w:t>
      </w:r>
      <w:proofErr w:type="spellEnd"/>
      <w:r w:rsidRPr="00D97B7A">
        <w:rPr>
          <w:bCs/>
          <w:i w:val="0"/>
          <w:sz w:val="24"/>
          <w:szCs w:val="24"/>
          <w:lang w:val="ru-RU"/>
        </w:rPr>
        <w:t xml:space="preserve"> </w:t>
      </w:r>
      <w:proofErr w:type="spellStart"/>
      <w:r w:rsidRPr="00D97B7A">
        <w:rPr>
          <w:bCs/>
          <w:i w:val="0"/>
          <w:sz w:val="24"/>
          <w:szCs w:val="24"/>
          <w:lang w:val="ru-RU"/>
        </w:rPr>
        <w:t>рішення</w:t>
      </w:r>
      <w:proofErr w:type="spellEnd"/>
      <w:r w:rsidRPr="00D97B7A">
        <w:rPr>
          <w:bCs/>
          <w:i w:val="0"/>
          <w:sz w:val="24"/>
          <w:szCs w:val="24"/>
          <w:lang w:val="ru-RU"/>
        </w:rPr>
        <w:t xml:space="preserve"> </w:t>
      </w:r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не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містить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інформації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з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обмеженим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доступом у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розумінні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статті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6 Закону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України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«Про доступ до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публічної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інформації</w:t>
      </w:r>
      <w:proofErr w:type="spellEnd"/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».</w:t>
      </w:r>
      <w:r w:rsidRPr="00D97B7A">
        <w:rPr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14:paraId="7B091884" w14:textId="77777777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bookmarkStart w:id="0" w:name="_GoBack"/>
      <w:bookmarkEnd w:id="0"/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7B69AF60" w14:textId="77777777" w:rsidR="00D97B7A" w:rsidRDefault="00D97B7A" w:rsidP="00D97B7A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, Закону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sz w:val="24"/>
          <w:szCs w:val="24"/>
          <w:lang w:val="ru-RU"/>
        </w:rPr>
        <w:t>оренду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ради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uk-UA"/>
        </w:rPr>
        <w:t>08.12.2022 № 5828/5869</w:t>
      </w:r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ru-RU"/>
        </w:rPr>
        <w:t xml:space="preserve">«Про бюджет </w:t>
      </w:r>
      <w:proofErr w:type="spellStart"/>
      <w:r>
        <w:rPr>
          <w:i w:val="0"/>
          <w:sz w:val="24"/>
          <w:szCs w:val="24"/>
          <w:lang w:val="ru-RU"/>
        </w:rPr>
        <w:t>міста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Києва</w:t>
      </w:r>
      <w:proofErr w:type="spellEnd"/>
      <w:r>
        <w:rPr>
          <w:i w:val="0"/>
          <w:sz w:val="24"/>
          <w:szCs w:val="24"/>
          <w:lang w:val="ru-RU"/>
        </w:rPr>
        <w:t xml:space="preserve"> на 2023 </w:t>
      </w:r>
      <w:proofErr w:type="spellStart"/>
      <w:proofErr w:type="gramStart"/>
      <w:r>
        <w:rPr>
          <w:i w:val="0"/>
          <w:sz w:val="24"/>
          <w:szCs w:val="24"/>
          <w:lang w:val="ru-RU"/>
        </w:rPr>
        <w:t>рік</w:t>
      </w:r>
      <w:proofErr w:type="spellEnd"/>
      <w:r>
        <w:rPr>
          <w:i w:val="0"/>
          <w:sz w:val="24"/>
          <w:szCs w:val="24"/>
          <w:lang w:val="ru-RU"/>
        </w:rPr>
        <w:t xml:space="preserve">»  </w:t>
      </w:r>
      <w:proofErr w:type="spellStart"/>
      <w:r>
        <w:rPr>
          <w:i w:val="0"/>
          <w:sz w:val="24"/>
          <w:szCs w:val="24"/>
          <w:lang w:val="ru-RU"/>
        </w:rPr>
        <w:t>орієнтовний</w:t>
      </w:r>
      <w:proofErr w:type="spellEnd"/>
      <w:proofErr w:type="gramEnd"/>
      <w:r>
        <w:rPr>
          <w:i w:val="0"/>
          <w:sz w:val="24"/>
          <w:szCs w:val="24"/>
          <w:lang w:val="ru-RU"/>
        </w:rPr>
        <w:t xml:space="preserve">  </w:t>
      </w:r>
      <w:proofErr w:type="spellStart"/>
      <w:r>
        <w:rPr>
          <w:i w:val="0"/>
          <w:sz w:val="24"/>
          <w:szCs w:val="24"/>
          <w:lang w:val="ru-RU"/>
        </w:rPr>
        <w:t>розмір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річної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орендної</w:t>
      </w:r>
      <w:proofErr w:type="spellEnd"/>
      <w:r>
        <w:rPr>
          <w:i w:val="0"/>
          <w:sz w:val="24"/>
          <w:szCs w:val="24"/>
          <w:lang w:val="ru-RU"/>
        </w:rPr>
        <w:t xml:space="preserve"> плати </w:t>
      </w:r>
      <w:proofErr w:type="spellStart"/>
      <w:r>
        <w:rPr>
          <w:i w:val="0"/>
          <w:sz w:val="24"/>
          <w:szCs w:val="24"/>
          <w:lang w:val="ru-RU"/>
        </w:rPr>
        <w:t>складатиме</w:t>
      </w:r>
      <w:proofErr w:type="spellEnd"/>
      <w:r>
        <w:rPr>
          <w:i w:val="0"/>
          <w:sz w:val="24"/>
          <w:szCs w:val="24"/>
          <w:lang w:val="ru-RU"/>
        </w:rPr>
        <w:t xml:space="preserve">: 291 115 </w:t>
      </w:r>
      <w:proofErr w:type="spellStart"/>
      <w:r>
        <w:rPr>
          <w:i w:val="0"/>
          <w:sz w:val="24"/>
          <w:szCs w:val="24"/>
          <w:lang w:val="ru-RU"/>
        </w:rPr>
        <w:t>грн</w:t>
      </w:r>
      <w:proofErr w:type="spellEnd"/>
      <w:r>
        <w:rPr>
          <w:i w:val="0"/>
          <w:sz w:val="24"/>
          <w:szCs w:val="24"/>
          <w:lang w:val="ru-RU"/>
        </w:rPr>
        <w:t xml:space="preserve"> 27 коп. (5%).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78F3AABE" w:rsidR="00AB6376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6EA3622" w14:textId="77777777" w:rsidR="00D97B7A" w:rsidRPr="00D97B7A" w:rsidRDefault="00D97B7A" w:rsidP="00D97B7A">
      <w:pPr>
        <w:pStyle w:val="1"/>
        <w:shd w:val="clear" w:color="auto" w:fill="auto"/>
        <w:ind w:firstLine="720"/>
        <w:jc w:val="both"/>
        <w:rPr>
          <w:i w:val="0"/>
          <w:sz w:val="24"/>
          <w:szCs w:val="24"/>
          <w:lang w:val="ru-RU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980F8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E05D2" w14:textId="77777777" w:rsidR="007426C0" w:rsidRDefault="007426C0">
      <w:r>
        <w:separator/>
      </w:r>
    </w:p>
  </w:endnote>
  <w:endnote w:type="continuationSeparator" w:id="0">
    <w:p w14:paraId="3BBAD602" w14:textId="77777777" w:rsidR="007426C0" w:rsidRDefault="0074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535CD" w14:textId="77777777" w:rsidR="007426C0" w:rsidRDefault="007426C0">
      <w:r>
        <w:separator/>
      </w:r>
    </w:p>
  </w:footnote>
  <w:footnote w:type="continuationSeparator" w:id="0">
    <w:p w14:paraId="70E759BE" w14:textId="77777777" w:rsidR="007426C0" w:rsidRDefault="00742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980F87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980F87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980F87">
          <w:rPr>
            <w:i w:val="0"/>
            <w:sz w:val="12"/>
            <w:szCs w:val="12"/>
            <w:lang w:val="ru-RU"/>
          </w:rPr>
          <w:t xml:space="preserve"> записка № ПЗН-53524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980F87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980F87">
          <w:rPr>
            <w:i w:val="0"/>
            <w:sz w:val="12"/>
            <w:szCs w:val="12"/>
            <w:lang w:val="ru-RU"/>
          </w:rPr>
          <w:t xml:space="preserve"> </w:t>
        </w:r>
        <w:r w:rsidR="00C805DB" w:rsidRPr="00980F87">
          <w:rPr>
            <w:i w:val="0"/>
            <w:sz w:val="12"/>
            <w:szCs w:val="12"/>
            <w:lang w:val="ru-RU"/>
          </w:rPr>
          <w:t>25.04.2023</w:t>
        </w:r>
        <w:r w:rsidR="00B04F97" w:rsidRPr="00980F87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980F8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980F87">
          <w:rPr>
            <w:i w:val="0"/>
            <w:sz w:val="12"/>
            <w:szCs w:val="12"/>
            <w:lang w:val="ru-RU"/>
          </w:rPr>
          <w:t xml:space="preserve"> 600404121</w:t>
        </w:r>
      </w:p>
      <w:p w14:paraId="74DAA626" w14:textId="0A3EEEA8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93097" w:rsidRPr="0079309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79309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7800B7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0F43A4"/>
    <w:rsid w:val="00160C62"/>
    <w:rsid w:val="0017443C"/>
    <w:rsid w:val="001774CA"/>
    <w:rsid w:val="00187816"/>
    <w:rsid w:val="001A7376"/>
    <w:rsid w:val="002A1D3E"/>
    <w:rsid w:val="002E6951"/>
    <w:rsid w:val="002E6A3D"/>
    <w:rsid w:val="002F79A1"/>
    <w:rsid w:val="00311227"/>
    <w:rsid w:val="003B2E5D"/>
    <w:rsid w:val="003F1E49"/>
    <w:rsid w:val="00430E3F"/>
    <w:rsid w:val="00433810"/>
    <w:rsid w:val="004B0A5A"/>
    <w:rsid w:val="004C27C5"/>
    <w:rsid w:val="004F7214"/>
    <w:rsid w:val="005056C4"/>
    <w:rsid w:val="00511F85"/>
    <w:rsid w:val="00547FBD"/>
    <w:rsid w:val="00596434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93097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980F87"/>
    <w:rsid w:val="00A42D6D"/>
    <w:rsid w:val="00A635B1"/>
    <w:rsid w:val="00A90D7B"/>
    <w:rsid w:val="00AB6376"/>
    <w:rsid w:val="00AB7F46"/>
    <w:rsid w:val="00B04F97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97B7A"/>
    <w:rsid w:val="00DD7B2D"/>
    <w:rsid w:val="00E457DD"/>
    <w:rsid w:val="00E679AD"/>
    <w:rsid w:val="00E875D7"/>
    <w:rsid w:val="00EF695A"/>
    <w:rsid w:val="00F15543"/>
    <w:rsid w:val="00F27DAD"/>
    <w:rsid w:val="00F804BF"/>
    <w:rsid w:val="00FB5D25"/>
    <w:rsid w:val="00F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BDF54-19E8-49D9-A0FC-38D3585A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6770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Шабельник Вероніка Сергіївна</cp:lastModifiedBy>
  <cp:revision>12</cp:revision>
  <cp:lastPrinted>2023-04-26T07:43:00Z</cp:lastPrinted>
  <dcterms:created xsi:type="dcterms:W3CDTF">2023-04-25T11:38:00Z</dcterms:created>
  <dcterms:modified xsi:type="dcterms:W3CDTF">2023-04-26T07:44:00Z</dcterms:modified>
</cp:coreProperties>
</file>