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4E2AA6B0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522201936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522201936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ПЗН-45485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21.10.2022</w:t>
      </w:r>
    </w:p>
    <w:p w14:paraId="279C27D0" w14:textId="54978377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1B1CE3" w:rsidRPr="001B1CE3">
        <w:rPr>
          <w:rFonts w:ascii="Times New Roman" w:hAnsi="Times New Roman" w:cs="Times New Roman"/>
          <w:b/>
          <w:sz w:val="24"/>
          <w:szCs w:val="24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загального користування (сквер біля станції</w:t>
      </w:r>
      <w:r w:rsidR="001B1CE3">
        <w:rPr>
          <w:rFonts w:ascii="Times New Roman" w:hAnsi="Times New Roman" w:cs="Times New Roman"/>
          <w:b/>
          <w:sz w:val="24"/>
          <w:szCs w:val="24"/>
        </w:rPr>
        <w:t xml:space="preserve"> метро «Героїв Дніпра») вздовж </w:t>
      </w:r>
      <w:r w:rsidR="001B1CE3" w:rsidRPr="001B1CE3">
        <w:rPr>
          <w:rFonts w:ascii="Times New Roman" w:hAnsi="Times New Roman" w:cs="Times New Roman"/>
          <w:b/>
          <w:sz w:val="24"/>
          <w:szCs w:val="24"/>
        </w:rPr>
        <w:t>вул. Героїв Дніпра (поблизу станції метро «Героїв Дніпра») в Оболонському районі міста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B6385E" w14:paraId="0DE63DF3" w14:textId="77777777" w:rsidTr="00B6385E">
        <w:trPr>
          <w:cantSplit/>
          <w:trHeight w:hRule="exact" w:val="861"/>
        </w:trPr>
        <w:tc>
          <w:tcPr>
            <w:tcW w:w="3536" w:type="dxa"/>
            <w:shd w:val="clear" w:color="auto" w:fill="FFFFFF"/>
          </w:tcPr>
          <w:p w14:paraId="7C0A4A6F" w14:textId="11307E1E" w:rsidR="00B6385E" w:rsidRPr="005660BA" w:rsidRDefault="00B6385E" w:rsidP="00B6385E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4DD3760B" w:rsidR="00B6385E" w:rsidRPr="00447390" w:rsidRDefault="00B6385E" w:rsidP="00B6385E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КИЇВСЬКЕ КОМУНАЛЬНЕ ОБ’</w:t>
            </w:r>
            <w:r w:rsidRPr="007476EF">
              <w:rPr>
                <w:i/>
                <w:iCs/>
                <w:sz w:val="24"/>
                <w:szCs w:val="24"/>
              </w:rPr>
              <w:t>ЄДНАННЯ ЗЕЛЕНОГО БУДІВНИЦТВА ТА ЕКСПЛУАТАЦІЇ ЗЕЛЕНИХ НАСАДЖЕНЬ МІСТА «КИЇВЗЕЛЕНБУД»</w:t>
            </w:r>
          </w:p>
        </w:tc>
      </w:tr>
      <w:tr w:rsidR="00B6385E" w14:paraId="745C51F1" w14:textId="77777777" w:rsidTr="00B6385E">
        <w:trPr>
          <w:cantSplit/>
          <w:trHeight w:hRule="exact" w:val="561"/>
        </w:trPr>
        <w:tc>
          <w:tcPr>
            <w:tcW w:w="3536" w:type="dxa"/>
            <w:shd w:val="clear" w:color="auto" w:fill="FFFFFF"/>
          </w:tcPr>
          <w:p w14:paraId="44646939" w14:textId="77777777" w:rsidR="00B6385E" w:rsidRPr="005660BA" w:rsidRDefault="00B6385E" w:rsidP="00B6385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Перелік засновників</w:t>
            </w:r>
          </w:p>
          <w:p w14:paraId="2474614C" w14:textId="5B2598C1" w:rsidR="00B6385E" w:rsidRDefault="00B6385E" w:rsidP="00B6385E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(учасників)</w:t>
            </w:r>
          </w:p>
        </w:tc>
        <w:tc>
          <w:tcPr>
            <w:tcW w:w="6103" w:type="dxa"/>
            <w:shd w:val="clear" w:color="auto" w:fill="FFFFFF"/>
          </w:tcPr>
          <w:p w14:paraId="4C621747" w14:textId="77777777" w:rsidR="00B6385E" w:rsidRDefault="00B6385E" w:rsidP="00B6385E">
            <w:pPr>
              <w:pStyle w:val="a7"/>
              <w:shd w:val="clear" w:color="auto" w:fill="auto"/>
              <w:tabs>
                <w:tab w:val="left" w:pos="1946"/>
              </w:tabs>
              <w:spacing w:after="0"/>
              <w:ind w:left="147" w:right="174" w:firstLine="0"/>
              <w:jc w:val="both"/>
              <w:rPr>
                <w:i/>
                <w:iCs/>
                <w:sz w:val="24"/>
                <w:szCs w:val="24"/>
              </w:rPr>
            </w:pPr>
            <w:r w:rsidRPr="00183AE7">
              <w:rPr>
                <w:i/>
                <w:iCs/>
                <w:sz w:val="24"/>
                <w:szCs w:val="24"/>
              </w:rPr>
              <w:t>КИЇВСЬК</w:t>
            </w:r>
            <w:r>
              <w:rPr>
                <w:i/>
                <w:iCs/>
                <w:sz w:val="24"/>
                <w:szCs w:val="24"/>
              </w:rPr>
              <w:t>А МІСЬКА ДЕРЖАВНА АДМІНІСТРАЦІЯ</w:t>
            </w:r>
            <w:r w:rsidRPr="00183AE7">
              <w:rPr>
                <w:i/>
                <w:iCs/>
                <w:sz w:val="24"/>
                <w:szCs w:val="24"/>
              </w:rPr>
              <w:t xml:space="preserve"> </w:t>
            </w:r>
          </w:p>
          <w:p w14:paraId="1FC56FBC" w14:textId="6A23DF99" w:rsidR="00B6385E" w:rsidRPr="00447390" w:rsidRDefault="00B6385E" w:rsidP="00B6385E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183AE7">
              <w:rPr>
                <w:i/>
                <w:iCs/>
                <w:sz w:val="24"/>
                <w:szCs w:val="24"/>
              </w:rPr>
              <w:t xml:space="preserve">Україна, </w:t>
            </w:r>
            <w:r>
              <w:rPr>
                <w:i/>
                <w:iCs/>
                <w:sz w:val="24"/>
                <w:szCs w:val="24"/>
              </w:rPr>
              <w:t>м.</w:t>
            </w:r>
            <w:r w:rsidRPr="00183AE7">
              <w:rPr>
                <w:i/>
                <w:iCs/>
                <w:sz w:val="24"/>
                <w:szCs w:val="24"/>
              </w:rPr>
              <w:t xml:space="preserve"> Київ, </w:t>
            </w:r>
            <w:r>
              <w:rPr>
                <w:i/>
                <w:iCs/>
                <w:sz w:val="24"/>
                <w:szCs w:val="24"/>
              </w:rPr>
              <w:t>вул.</w:t>
            </w:r>
            <w:r w:rsidRPr="00183AE7">
              <w:rPr>
                <w:i/>
                <w:iCs/>
                <w:sz w:val="24"/>
                <w:szCs w:val="24"/>
              </w:rPr>
              <w:t xml:space="preserve"> Хрещатик, буд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183AE7">
              <w:rPr>
                <w:i/>
                <w:iCs/>
                <w:sz w:val="24"/>
                <w:szCs w:val="24"/>
              </w:rPr>
              <w:t xml:space="preserve"> 36</w:t>
            </w:r>
          </w:p>
        </w:tc>
      </w:tr>
      <w:tr w:rsidR="00B6385E" w14:paraId="29ECCC93" w14:textId="77777777" w:rsidTr="00B6385E">
        <w:trPr>
          <w:cantSplit/>
          <w:trHeight w:hRule="exact" w:val="569"/>
        </w:trPr>
        <w:tc>
          <w:tcPr>
            <w:tcW w:w="3536" w:type="dxa"/>
            <w:shd w:val="clear" w:color="auto" w:fill="FFFFFF"/>
          </w:tcPr>
          <w:p w14:paraId="7D5BB5E6" w14:textId="77777777" w:rsidR="00B6385E" w:rsidRPr="005660BA" w:rsidRDefault="00B6385E" w:rsidP="00B6385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425E29C6" w:rsidR="00B6385E" w:rsidRPr="00791F4A" w:rsidRDefault="00B6385E" w:rsidP="00B6385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103" w:type="dxa"/>
            <w:shd w:val="clear" w:color="auto" w:fill="FFFFFF"/>
          </w:tcPr>
          <w:p w14:paraId="4159B7CB" w14:textId="7D747CEE" w:rsidR="00B6385E" w:rsidRPr="00447390" w:rsidRDefault="00B6385E" w:rsidP="00B6385E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Pr="007476EF">
              <w:rPr>
                <w:i/>
                <w:iCs/>
                <w:sz w:val="24"/>
                <w:szCs w:val="24"/>
              </w:rPr>
              <w:t>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12.10.2022 № 522201936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65922FE9" w:rsidR="00854144" w:rsidRPr="006C75C6" w:rsidRDefault="00B6385E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>
        <w:rPr>
          <w:b/>
          <w:bCs/>
          <w:sz w:val="24"/>
          <w:szCs w:val="24"/>
        </w:rPr>
        <w:t>Відомості про земельні</w:t>
      </w:r>
      <w:r w:rsidR="003D4611" w:rsidRPr="005660BA">
        <w:rPr>
          <w:b/>
          <w:bCs/>
          <w:sz w:val="24"/>
          <w:szCs w:val="24"/>
        </w:rPr>
        <w:t xml:space="preserve"> ділянк</w:t>
      </w:r>
      <w:r>
        <w:rPr>
          <w:b/>
          <w:bCs/>
          <w:sz w:val="24"/>
          <w:szCs w:val="24"/>
        </w:rPr>
        <w:t>и</w:t>
      </w:r>
      <w:r w:rsidR="003D4611" w:rsidRPr="005660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(облікові коди </w:t>
      </w:r>
      <w:r w:rsidR="008F1609" w:rsidRPr="005660BA">
        <w:rPr>
          <w:b/>
          <w:bCs/>
          <w:sz w:val="24"/>
          <w:szCs w:val="24"/>
        </w:rPr>
        <w:t>78:041:0217; 78:041:0218; 78:041:0219</w:t>
      </w:r>
      <w:r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4356FE3A" w:rsidR="00C022FD" w:rsidRPr="00447390" w:rsidRDefault="00C022FD" w:rsidP="00B638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Оболонський, вздовж вул. Героїв</w:t>
            </w:r>
            <w:r w:rsidR="00B6385E">
              <w:rPr>
                <w:rFonts w:ascii="Times New Roman" w:hAnsi="Times New Roman" w:cs="Times New Roman"/>
                <w:i/>
                <w:iCs/>
              </w:rPr>
              <w:t xml:space="preserve"> Дніпра (поблизу станції метро «Героїв Дніпра»)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46138050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0,21</w:t>
            </w:r>
            <w:r w:rsidR="00B6385E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 xml:space="preserve"> га</w:t>
            </w: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; 0,31</w:t>
            </w:r>
            <w:r w:rsidR="00B6385E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 xml:space="preserve"> га</w:t>
            </w: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; 0,12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5831EDA" w:rsidR="00C022FD" w:rsidRPr="00987B46" w:rsidRDefault="00C022FD" w:rsidP="00987B46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для</w:t>
            </w:r>
            <w:r w:rsidRPr="00987B46">
              <w:rPr>
                <w:rFonts w:ascii="Times New Roman" w:hAnsi="Times New Roman"/>
                <w:i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експлуатації</w:t>
            </w:r>
            <w:r w:rsidRPr="00987B46">
              <w:rPr>
                <w:rFonts w:ascii="Times New Roman" w:hAnsi="Times New Roman"/>
                <w:i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та</w:t>
            </w:r>
            <w:r w:rsidRPr="00987B46">
              <w:rPr>
                <w:rFonts w:ascii="Times New Roman" w:hAnsi="Times New Roman"/>
                <w:i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обслуговування</w:t>
            </w:r>
            <w:r w:rsidRPr="00987B46">
              <w:rPr>
                <w:rFonts w:ascii="Times New Roman" w:hAnsi="Times New Roman"/>
                <w:i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зелених</w:t>
            </w:r>
            <w:r w:rsidRPr="00987B46">
              <w:rPr>
                <w:rFonts w:ascii="Times New Roman" w:hAnsi="Times New Roman"/>
                <w:i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насаджень</w:t>
            </w:r>
            <w:r w:rsidRPr="00987B46">
              <w:rPr>
                <w:rFonts w:ascii="Times New Roman" w:hAnsi="Times New Roman"/>
                <w:i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загального</w:t>
            </w:r>
            <w:r w:rsidRPr="00987B46">
              <w:rPr>
                <w:rFonts w:ascii="Times New Roman" w:hAnsi="Times New Roman"/>
                <w:i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користування</w:t>
            </w:r>
            <w:r w:rsidRPr="00987B46">
              <w:rPr>
                <w:rFonts w:ascii="Times New Roman" w:hAnsi="Times New Roman"/>
                <w:i/>
              </w:rPr>
              <w:t xml:space="preserve"> (</w:t>
            </w:r>
            <w:r w:rsidRPr="00447390">
              <w:rPr>
                <w:rFonts w:ascii="Times New Roman" w:hAnsi="Times New Roman"/>
                <w:i/>
              </w:rPr>
              <w:t>сквер</w:t>
            </w:r>
            <w:r w:rsidRPr="00987B46">
              <w:rPr>
                <w:rFonts w:ascii="Times New Roman" w:hAnsi="Times New Roman"/>
                <w:i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біля</w:t>
            </w:r>
            <w:r w:rsidRPr="00987B46">
              <w:rPr>
                <w:rFonts w:ascii="Times New Roman" w:hAnsi="Times New Roman"/>
                <w:i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станції</w:t>
            </w:r>
            <w:r w:rsidRPr="00987B46">
              <w:rPr>
                <w:rFonts w:ascii="Times New Roman" w:hAnsi="Times New Roman"/>
                <w:i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метро</w:t>
            </w:r>
            <w:r w:rsidR="00987B46">
              <w:rPr>
                <w:rFonts w:ascii="Times New Roman" w:hAnsi="Times New Roman"/>
                <w:i/>
              </w:rPr>
              <w:t xml:space="preserve"> </w:t>
            </w:r>
            <w:r w:rsidR="00987B46">
              <w:rPr>
                <w:rFonts w:ascii="Times New Roman" w:hAnsi="Times New Roman"/>
                <w:i/>
                <w:lang w:val="uk-UA"/>
              </w:rPr>
              <w:t>«</w:t>
            </w:r>
            <w:r w:rsidRPr="00447390">
              <w:rPr>
                <w:rFonts w:ascii="Times New Roman" w:hAnsi="Times New Roman"/>
                <w:i/>
              </w:rPr>
              <w:t>Героїв</w:t>
            </w:r>
            <w:r w:rsidRPr="00987B46">
              <w:rPr>
                <w:rFonts w:ascii="Times New Roman" w:hAnsi="Times New Roman"/>
                <w:i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Дніпра</w:t>
            </w:r>
            <w:r w:rsidR="00987B46">
              <w:rPr>
                <w:rFonts w:ascii="Times New Roman" w:hAnsi="Times New Roman"/>
                <w:i/>
                <w:lang w:val="uk-UA"/>
              </w:rPr>
              <w:t>»</w:t>
            </w:r>
            <w:r w:rsidR="00987B46" w:rsidRPr="00987B46">
              <w:rPr>
                <w:rFonts w:ascii="Times New Roman" w:hAnsi="Times New Roman"/>
                <w:i/>
              </w:rPr>
              <w:t>)</w:t>
            </w:r>
            <w:r w:rsidRPr="00987B46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>На клопотання зацікавленої особи в</w:t>
      </w:r>
      <w:bookmarkStart w:id="0" w:name="_GoBack"/>
      <w:bookmarkEnd w:id="0"/>
      <w:r w:rsidRPr="00D97048">
        <w:rPr>
          <w:sz w:val="24"/>
          <w:szCs w:val="24"/>
        </w:rPr>
        <w:t xml:space="preserve">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50979696" w:rsidR="009A054D" w:rsidRPr="002B31E8" w:rsidRDefault="0096507A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>
        <w:rPr>
          <w:b/>
          <w:bCs/>
          <w:sz w:val="24"/>
          <w:szCs w:val="24"/>
        </w:rPr>
        <w:t>Особливі характеристики ділянок</w:t>
      </w:r>
      <w:r w:rsidR="009A054D" w:rsidRPr="005660BA">
        <w:rPr>
          <w:b/>
          <w:bCs/>
          <w:sz w:val="24"/>
          <w:szCs w:val="24"/>
        </w:rPr>
        <w:t>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4E714E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4E714E" w:rsidRPr="00447390" w:rsidRDefault="004E714E" w:rsidP="004E714E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6BD4006C" w:rsidR="004E714E" w:rsidRPr="00447390" w:rsidRDefault="004E714E" w:rsidP="0096507A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</w:t>
            </w:r>
            <w:r w:rsidR="0096507A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ках</w:t>
            </w:r>
            <w:r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6530" w:type="dxa"/>
          </w:tcPr>
          <w:p w14:paraId="0D2BE405" w14:textId="5C4B96B4" w:rsidR="004E714E" w:rsidRDefault="004E714E" w:rsidP="004E714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9B44EB">
              <w:rPr>
                <w:i/>
                <w:sz w:val="24"/>
                <w:szCs w:val="24"/>
              </w:rPr>
              <w:t>емельн</w:t>
            </w:r>
            <w:r w:rsidR="0096507A">
              <w:rPr>
                <w:i/>
                <w:sz w:val="24"/>
                <w:szCs w:val="24"/>
              </w:rPr>
              <w:t>і ділянки</w:t>
            </w:r>
            <w:r w:rsidRPr="009B44EB">
              <w:rPr>
                <w:i/>
                <w:sz w:val="24"/>
                <w:szCs w:val="24"/>
              </w:rPr>
              <w:t xml:space="preserve"> вільн</w:t>
            </w:r>
            <w:r w:rsidR="001D6D75">
              <w:rPr>
                <w:i/>
                <w:sz w:val="24"/>
                <w:szCs w:val="24"/>
              </w:rPr>
              <w:t>і</w:t>
            </w:r>
            <w:r w:rsidRPr="009B44EB">
              <w:rPr>
                <w:i/>
                <w:sz w:val="24"/>
                <w:szCs w:val="24"/>
              </w:rPr>
              <w:t xml:space="preserve"> від забудови</w:t>
            </w:r>
            <w:r>
              <w:rPr>
                <w:i/>
                <w:sz w:val="24"/>
                <w:szCs w:val="24"/>
              </w:rPr>
              <w:t>.</w:t>
            </w:r>
          </w:p>
          <w:p w14:paraId="77F6A87F" w14:textId="31C5F18C" w:rsidR="004E714E" w:rsidRPr="0041184B" w:rsidRDefault="004E714E" w:rsidP="00FC015B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Листом КО «Київзеленбуд» від 06.10.2022 № 077/226-1952 повідомлено, що об’єкти нерухомого майна (кіоски, МАФи), встановлен</w:t>
            </w:r>
            <w:r w:rsidR="00FC015B">
              <w:rPr>
                <w:i/>
                <w:sz w:val="24"/>
                <w:szCs w:val="24"/>
              </w:rPr>
              <w:t>і</w:t>
            </w:r>
            <w:r>
              <w:rPr>
                <w:i/>
                <w:sz w:val="24"/>
                <w:szCs w:val="24"/>
              </w:rPr>
              <w:t xml:space="preserve"> без дозвільних документів та з порушенням земельного та містобудівного законодавства, демонтовані.</w:t>
            </w:r>
          </w:p>
        </w:tc>
      </w:tr>
      <w:tr w:rsidR="004E714E" w:rsidRPr="003774B2" w14:paraId="2E1CCB39" w14:textId="77777777" w:rsidTr="00E267AF">
        <w:trPr>
          <w:cantSplit/>
          <w:trHeight w:val="1917"/>
        </w:trPr>
        <w:tc>
          <w:tcPr>
            <w:tcW w:w="3167" w:type="dxa"/>
          </w:tcPr>
          <w:p w14:paraId="591A714D" w14:textId="3AF05BE3" w:rsidR="004E714E" w:rsidRPr="00447390" w:rsidRDefault="004E714E" w:rsidP="004E714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 xml:space="preserve"> </w:t>
            </w:r>
            <w:r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1D7CC9C3" w:rsidR="004E714E" w:rsidRPr="0041184B" w:rsidRDefault="004E714E" w:rsidP="0096507A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862145">
              <w:rPr>
                <w:i/>
                <w:sz w:val="24"/>
                <w:szCs w:val="24"/>
              </w:rPr>
              <w:t xml:space="preserve">Відповідно до детального плану території </w:t>
            </w:r>
            <w:r>
              <w:rPr>
                <w:i/>
                <w:sz w:val="24"/>
                <w:szCs w:val="24"/>
              </w:rPr>
              <w:t xml:space="preserve">в межах           </w:t>
            </w:r>
            <w:r w:rsidRPr="00862145">
              <w:rPr>
                <w:i/>
                <w:sz w:val="24"/>
                <w:szCs w:val="24"/>
              </w:rPr>
              <w:t>вул. Північна, просп. Оболонський, вул. Прирічна, просп. Героїв Сталінграда, Маршала Малиновського в Оболонському районі м. Києва, затверджено рішенням Київської місько</w:t>
            </w:r>
            <w:r>
              <w:rPr>
                <w:i/>
                <w:sz w:val="24"/>
                <w:szCs w:val="24"/>
              </w:rPr>
              <w:t>ї ради від 31</w:t>
            </w:r>
            <w:r w:rsidRPr="00862145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8.2021</w:t>
            </w:r>
            <w:r w:rsidR="0096507A">
              <w:rPr>
                <w:i/>
                <w:sz w:val="24"/>
                <w:szCs w:val="24"/>
              </w:rPr>
              <w:t xml:space="preserve"> № 2242/2283, земельні ділянки</w:t>
            </w:r>
            <w:r w:rsidRPr="00862145">
              <w:rPr>
                <w:i/>
                <w:sz w:val="24"/>
                <w:szCs w:val="24"/>
              </w:rPr>
              <w:t xml:space="preserve"> за фу</w:t>
            </w:r>
            <w:r w:rsidR="0096507A">
              <w:rPr>
                <w:i/>
                <w:sz w:val="24"/>
                <w:szCs w:val="24"/>
              </w:rPr>
              <w:t>нкціональним призначенням належа</w:t>
            </w:r>
            <w:r w:rsidRPr="00862145">
              <w:rPr>
                <w:i/>
                <w:sz w:val="24"/>
                <w:szCs w:val="24"/>
              </w:rPr>
              <w:t xml:space="preserve">ть </w:t>
            </w:r>
            <w:r w:rsidR="0096507A">
              <w:rPr>
                <w:i/>
                <w:sz w:val="24"/>
                <w:szCs w:val="24"/>
              </w:rPr>
              <w:t xml:space="preserve">частково </w:t>
            </w:r>
            <w:r w:rsidRPr="00862145">
              <w:rPr>
                <w:i/>
                <w:sz w:val="24"/>
                <w:szCs w:val="24"/>
              </w:rPr>
              <w:t>до території громадських будівель і споруд</w:t>
            </w:r>
            <w:r w:rsidR="0096507A">
              <w:rPr>
                <w:i/>
                <w:sz w:val="24"/>
                <w:szCs w:val="24"/>
              </w:rPr>
              <w:t>, частково до території житлової багатоповерхової забудови</w:t>
            </w:r>
            <w:r>
              <w:rPr>
                <w:i/>
                <w:sz w:val="24"/>
                <w:szCs w:val="24"/>
              </w:rPr>
              <w:t xml:space="preserve"> та</w:t>
            </w:r>
            <w:r w:rsidRPr="00862145">
              <w:rPr>
                <w:i/>
                <w:sz w:val="24"/>
                <w:szCs w:val="24"/>
              </w:rPr>
              <w:t xml:space="preserve"> частково</w:t>
            </w:r>
            <w:r>
              <w:rPr>
                <w:i/>
                <w:sz w:val="24"/>
                <w:szCs w:val="24"/>
              </w:rPr>
              <w:t xml:space="preserve"> до територій </w:t>
            </w:r>
            <w:r w:rsidR="0096507A">
              <w:rPr>
                <w:i/>
                <w:sz w:val="24"/>
                <w:szCs w:val="24"/>
              </w:rPr>
              <w:t>зелених насаджень загального користування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4E714E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4E714E" w:rsidRDefault="004E714E" w:rsidP="004E714E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4E714E" w:rsidRPr="00447390" w:rsidRDefault="004E714E" w:rsidP="004E714E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739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530" w:type="dxa"/>
          </w:tcPr>
          <w:p w14:paraId="06C70B3D" w14:textId="2CC45CAA" w:rsidR="004E714E" w:rsidRPr="0041184B" w:rsidRDefault="004E714E" w:rsidP="0096507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>
              <w:rPr>
                <w:i/>
                <w:sz w:val="24"/>
                <w:szCs w:val="24"/>
              </w:rPr>
              <w:t xml:space="preserve">№ </w:t>
            </w:r>
            <w:r w:rsidR="0096507A">
              <w:rPr>
                <w:i/>
                <w:sz w:val="24"/>
                <w:szCs w:val="24"/>
              </w:rPr>
              <w:t>370/1804, земельні</w:t>
            </w:r>
            <w:r w:rsidRPr="00175FD0">
              <w:rPr>
                <w:i/>
                <w:sz w:val="24"/>
                <w:szCs w:val="24"/>
              </w:rPr>
              <w:t xml:space="preserve"> </w:t>
            </w:r>
            <w:r w:rsidR="0096507A">
              <w:rPr>
                <w:i/>
                <w:sz w:val="24"/>
                <w:szCs w:val="24"/>
              </w:rPr>
              <w:t>ділянки</w:t>
            </w:r>
            <w:r w:rsidRPr="00175FD0">
              <w:rPr>
                <w:i/>
                <w:sz w:val="24"/>
                <w:szCs w:val="24"/>
              </w:rPr>
              <w:t xml:space="preserve"> за функціональним призначенням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>належ</w:t>
            </w:r>
            <w:r w:rsidR="0096507A">
              <w:rPr>
                <w:i/>
                <w:sz w:val="24"/>
                <w:szCs w:val="24"/>
              </w:rPr>
              <w:t>а</w:t>
            </w:r>
            <w:r w:rsidRPr="00175FD0">
              <w:rPr>
                <w:i/>
                <w:sz w:val="24"/>
                <w:szCs w:val="24"/>
              </w:rPr>
              <w:t xml:space="preserve">ть до </w:t>
            </w:r>
            <w:r w:rsidRPr="00061A48">
              <w:rPr>
                <w:i/>
                <w:sz w:val="24"/>
                <w:szCs w:val="24"/>
              </w:rPr>
              <w:t>території громадських будівель та споруд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4E714E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4E714E" w:rsidRPr="00447390" w:rsidRDefault="004E714E" w:rsidP="004E714E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0F3D7AAC" w:rsidR="004E714E" w:rsidRPr="003774B2" w:rsidRDefault="0096507A" w:rsidP="004E714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 належа</w:t>
            </w:r>
            <w:r w:rsidR="004E714E" w:rsidRPr="00175FD0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 w:rsidR="004E714E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E714E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4E714E" w:rsidRPr="00447390" w:rsidRDefault="004E714E" w:rsidP="004E714E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5057FE44" w:rsidR="004E714E" w:rsidRPr="003774B2" w:rsidRDefault="004E714E" w:rsidP="0096507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80E67">
              <w:rPr>
                <w:rFonts w:ascii="Times New Roman" w:hAnsi="Times New Roman" w:cs="Times New Roman"/>
                <w:i/>
                <w:color w:val="000000" w:themeColor="text1"/>
              </w:rPr>
              <w:t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1583/1624, земельн</w:t>
            </w:r>
            <w:r w:rsidR="0096507A">
              <w:rPr>
                <w:rFonts w:ascii="Times New Roman" w:hAnsi="Times New Roman" w:cs="Times New Roman"/>
                <w:i/>
                <w:color w:val="000000" w:themeColor="text1"/>
              </w:rPr>
              <w:t>і</w:t>
            </w:r>
            <w:r w:rsidRPr="00E80E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ділянк</w:t>
            </w:r>
            <w:r w:rsidR="0096507A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входя</w:t>
            </w:r>
            <w:r w:rsidRPr="00E80E67">
              <w:rPr>
                <w:rFonts w:ascii="Times New Roman" w:hAnsi="Times New Roman" w:cs="Times New Roman"/>
                <w:i/>
                <w:color w:val="000000" w:themeColor="text1"/>
              </w:rPr>
              <w:t xml:space="preserve">ть до зеленої зони (таблиця 2, Озеленені території загального користування м. Києва, що відповідають типологічним ознакам та планувальним вимогам,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Оболонський</w:t>
            </w:r>
            <w:r w:rsidRPr="00E80E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йон, сквери, позиція 54</w:t>
            </w:r>
            <w:r w:rsidRPr="00E80E67">
              <w:rPr>
                <w:rFonts w:ascii="Times New Roman" w:hAnsi="Times New Roman" w:cs="Times New Roman"/>
                <w:i/>
                <w:color w:val="000000" w:themeColor="text1"/>
              </w:rPr>
              <w:t>, «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Ст. м. «Героїв Дніпра</w:t>
            </w:r>
            <w:r w:rsidRPr="00E80E67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E80E6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E714E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E714E" w:rsidRPr="00447390" w:rsidRDefault="004E714E" w:rsidP="004E714E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9A25DD8" w14:textId="53B0ACEF" w:rsidR="004E714E" w:rsidRPr="001E3A85" w:rsidRDefault="004E714E" w:rsidP="004E714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4E714E">
      <w:pPr>
        <w:pStyle w:val="1"/>
        <w:shd w:val="clear" w:color="auto" w:fill="auto"/>
        <w:spacing w:line="233" w:lineRule="auto"/>
        <w:ind w:firstLine="567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7FDF4302" w:rsidR="009A054D" w:rsidRPr="002B31E8" w:rsidRDefault="009A054D" w:rsidP="004E714E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1D6D75">
        <w:rPr>
          <w:sz w:val="24"/>
          <w:szCs w:val="24"/>
        </w:rPr>
        <w:t xml:space="preserve"> використання земельних ділянок</w:t>
      </w:r>
      <w:r w:rsidR="00CC556E">
        <w:rPr>
          <w:sz w:val="24"/>
          <w:szCs w:val="24"/>
        </w:rPr>
        <w:t>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9"/>
      <w:footerReference w:type="even" r:id="rId10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08889" w14:textId="77777777" w:rsidR="00554705" w:rsidRDefault="00554705">
      <w:r>
        <w:separator/>
      </w:r>
    </w:p>
  </w:endnote>
  <w:endnote w:type="continuationSeparator" w:id="0">
    <w:p w14:paraId="50D467F8" w14:textId="77777777" w:rsidR="00554705" w:rsidRDefault="0055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50B2C" w14:textId="77777777" w:rsidR="00554705" w:rsidRDefault="00554705"/>
  </w:footnote>
  <w:footnote w:type="continuationSeparator" w:id="0">
    <w:p w14:paraId="03929FD0" w14:textId="77777777" w:rsidR="00554705" w:rsidRDefault="0055470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1B1CE3">
      <w:rPr>
        <w:rFonts w:ascii="Times New Roman" w:hAnsi="Times New Roman" w:cs="Times New Roman"/>
        <w:i w:val="0"/>
        <w:sz w:val="12"/>
        <w:szCs w:val="12"/>
        <w:lang w:val="ru-RU"/>
      </w:rPr>
      <w:t>ПЗН-45485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1B1CE3">
      <w:rPr>
        <w:rFonts w:ascii="Times New Roman" w:hAnsi="Times New Roman" w:cs="Times New Roman"/>
        <w:bCs/>
        <w:i w:val="0"/>
        <w:sz w:val="12"/>
        <w:szCs w:val="12"/>
        <w:lang w:val="ru-RU"/>
      </w:rPr>
      <w:t>21.10.2022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522201936</w:t>
    </w:r>
  </w:p>
  <w:p w14:paraId="28309D3E" w14:textId="548AD85A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C015B" w:rsidRPr="00FC015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B1CE3"/>
    <w:rsid w:val="001C273F"/>
    <w:rsid w:val="001D6D75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4E714E"/>
    <w:rsid w:val="00512642"/>
    <w:rsid w:val="00522EA9"/>
    <w:rsid w:val="00554705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6507A"/>
    <w:rsid w:val="00987B46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6385E"/>
    <w:rsid w:val="00B94CEF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C015B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4629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cp:lastModifiedBy>Носуліч Тетяна Миколаївна</cp:lastModifiedBy>
  <cp:revision>147</cp:revision>
  <cp:lastPrinted>2022-11-15T12:10:00Z</cp:lastPrinted>
  <dcterms:created xsi:type="dcterms:W3CDTF">2019-02-06T15:49:00Z</dcterms:created>
  <dcterms:modified xsi:type="dcterms:W3CDTF">2022-11-15T12:11:00Z</dcterms:modified>
</cp:coreProperties>
</file>