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460278705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460278705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211E74">
        <w:rPr>
          <w:b/>
          <w:bCs/>
          <w:color w:val="auto"/>
          <w:sz w:val="24"/>
          <w:szCs w:val="24"/>
          <w:lang w:val="ru-RU"/>
        </w:rPr>
        <w:t>ПЗН-69742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211E74">
        <w:rPr>
          <w:b/>
          <w:bCs/>
          <w:color w:val="auto"/>
          <w:sz w:val="24"/>
          <w:szCs w:val="24"/>
          <w:lang w:val="ru-RU"/>
        </w:rPr>
        <w:t>14.08.2024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6965C5FB" w:rsidR="00E17376" w:rsidRDefault="00211E74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211E74">
        <w:rPr>
          <w:b/>
          <w:i/>
          <w:iCs/>
          <w:color w:val="auto"/>
          <w:sz w:val="24"/>
          <w:szCs w:val="24"/>
        </w:rPr>
        <w:t xml:space="preserve">Про передачу громадянину </w:t>
      </w:r>
      <w:proofErr w:type="spellStart"/>
      <w:r w:rsidRPr="00211E74">
        <w:rPr>
          <w:b/>
          <w:i/>
          <w:iCs/>
          <w:color w:val="auto"/>
          <w:sz w:val="24"/>
          <w:szCs w:val="24"/>
        </w:rPr>
        <w:t>Скопічу</w:t>
      </w:r>
      <w:proofErr w:type="spellEnd"/>
      <w:r w:rsidRPr="00211E74">
        <w:rPr>
          <w:b/>
          <w:i/>
          <w:iCs/>
          <w:color w:val="auto"/>
          <w:sz w:val="24"/>
          <w:szCs w:val="24"/>
        </w:rPr>
        <w:t xml:space="preserve"> Олегу Миколайовичу у приватну власність земельної ділянки для колективного садівництва на </w:t>
      </w:r>
      <w:r>
        <w:rPr>
          <w:b/>
          <w:i/>
          <w:iCs/>
          <w:color w:val="auto"/>
          <w:sz w:val="24"/>
          <w:szCs w:val="24"/>
        </w:rPr>
        <w:t>вул. Сливовій,</w:t>
      </w:r>
      <w:r w:rsidRPr="00211E74">
        <w:rPr>
          <w:b/>
          <w:i/>
          <w:iCs/>
          <w:color w:val="auto"/>
          <w:sz w:val="24"/>
          <w:szCs w:val="24"/>
        </w:rPr>
        <w:t xml:space="preserve"> 3 (ОБСЛУГОВУЮЧИЙ КООПЕРАТИВ «САДІВНИЧИЙ КООПЕРАТИВ «ВІКТОРІЯ») у Дарницькому районі міста Києва, мікрорайон </w:t>
      </w:r>
      <w:proofErr w:type="spellStart"/>
      <w:r w:rsidRPr="00211E74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2C48809B" w14:textId="77777777" w:rsidR="00211E74" w:rsidRPr="00104BBD" w:rsidRDefault="00211E74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238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8E04AA7" w:rsidR="00E659C4" w:rsidRPr="00104BBD" w:rsidRDefault="00211E7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Скопіч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Олег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01.08.2024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460278705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1B4F9735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8000000000:96:066:0005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352AE775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Сливова,</w:t>
            </w:r>
            <w:r w:rsidR="0021229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3 </w:t>
            </w:r>
            <w:r w:rsidR="00211E74" w:rsidRPr="00211E74">
              <w:rPr>
                <w:b w:val="0"/>
                <w:i/>
                <w:color w:val="auto"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0,0726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76083D03" w:rsidR="00E659C4" w:rsidRPr="0061239E" w:rsidRDefault="00211E74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211E74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7E8DBE69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211E74">
              <w:rPr>
                <w:b w:val="0"/>
                <w:i/>
                <w:color w:val="auto"/>
                <w:sz w:val="24"/>
                <w:szCs w:val="24"/>
              </w:rPr>
              <w:t>Категорія земель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662" w:type="dxa"/>
          </w:tcPr>
          <w:p w14:paraId="1AB1CB5D" w14:textId="0A86E9BD" w:rsidR="00E659C4" w:rsidRPr="0061239E" w:rsidRDefault="00211E74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211E74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211E74" w:rsidRPr="00104BBD" w14:paraId="4E5A2797" w14:textId="77777777" w:rsidTr="00B509A0">
        <w:tc>
          <w:tcPr>
            <w:tcW w:w="3652" w:type="dxa"/>
          </w:tcPr>
          <w:p w14:paraId="7EEC0BC0" w14:textId="33FDC3A3" w:rsidR="00211E74" w:rsidRDefault="00211E74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211E74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408BCD92" w14:textId="0CD1DB8E" w:rsidR="00211E74" w:rsidRPr="00211E74" w:rsidRDefault="00211E74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211E74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51CC83B7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211E74" w:rsidRPr="00211E74">
        <w:rPr>
          <w:color w:val="auto"/>
          <w:sz w:val="24"/>
          <w:szCs w:val="24"/>
        </w:rPr>
        <w:t xml:space="preserve">Про передачу громадянину </w:t>
      </w:r>
      <w:proofErr w:type="spellStart"/>
      <w:r w:rsidR="00211E74" w:rsidRPr="00211E74">
        <w:rPr>
          <w:color w:val="auto"/>
          <w:sz w:val="24"/>
          <w:szCs w:val="24"/>
        </w:rPr>
        <w:t>Скопічу</w:t>
      </w:r>
      <w:proofErr w:type="spellEnd"/>
      <w:r w:rsidR="00211E74" w:rsidRPr="00211E74">
        <w:rPr>
          <w:color w:val="auto"/>
          <w:sz w:val="24"/>
          <w:szCs w:val="24"/>
        </w:rPr>
        <w:t xml:space="preserve"> Олегу Миколайовичу у приватну власність земельної ділянки для колективного садівництва на вул. Сливовій, 3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211E74" w:rsidRPr="00211E74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4B266B4" w14:textId="187CCB8C" w:rsidR="00211E74" w:rsidRPr="00104BBD" w:rsidRDefault="00211E74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211E74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</w:t>
      </w:r>
      <w:r>
        <w:rPr>
          <w:color w:val="auto"/>
          <w:sz w:val="24"/>
          <w:szCs w:val="24"/>
        </w:rPr>
        <w:t>одексом України права громадянина</w:t>
      </w:r>
      <w:r w:rsidRPr="00211E74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285BE010" w:rsidR="00E12AC0" w:rsidRPr="00104BBD" w:rsidRDefault="00211E74" w:rsidP="00A1354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211E74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 w:rsidR="008A40DF">
              <w:rPr>
                <w:i/>
                <w:color w:val="auto"/>
                <w:sz w:val="24"/>
                <w:szCs w:val="24"/>
              </w:rPr>
              <w:t>им будинком загальною площею 240,3</w:t>
            </w:r>
            <w:r w:rsidR="00A93612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93612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="00A93612" w:rsidRPr="00A93612">
              <w:rPr>
                <w:i/>
                <w:color w:val="auto"/>
                <w:sz w:val="24"/>
                <w:szCs w:val="24"/>
              </w:rPr>
              <w:t xml:space="preserve"> </w:t>
            </w:r>
            <w:r w:rsidR="00A93612">
              <w:rPr>
                <w:i/>
                <w:color w:val="auto"/>
                <w:sz w:val="24"/>
                <w:szCs w:val="24"/>
              </w:rPr>
              <w:t>та господарською будівлею, які</w:t>
            </w:r>
            <w:r w:rsidRPr="00211E74">
              <w:rPr>
                <w:i/>
                <w:color w:val="auto"/>
                <w:sz w:val="24"/>
                <w:szCs w:val="24"/>
              </w:rPr>
              <w:t xml:space="preserve"> належить на праві приватної власно</w:t>
            </w:r>
            <w:r w:rsidR="008A40DF">
              <w:rPr>
                <w:i/>
                <w:color w:val="auto"/>
                <w:sz w:val="24"/>
                <w:szCs w:val="24"/>
              </w:rPr>
              <w:t xml:space="preserve">сті </w:t>
            </w:r>
            <w:proofErr w:type="spellStart"/>
            <w:r w:rsidR="008A40DF">
              <w:rPr>
                <w:i/>
                <w:color w:val="auto"/>
                <w:sz w:val="24"/>
                <w:szCs w:val="24"/>
              </w:rPr>
              <w:t>Скопічу</w:t>
            </w:r>
            <w:proofErr w:type="spellEnd"/>
            <w:r w:rsidR="008A40DF">
              <w:rPr>
                <w:i/>
                <w:color w:val="auto"/>
                <w:sz w:val="24"/>
                <w:szCs w:val="24"/>
              </w:rPr>
              <w:t xml:space="preserve"> Олегу Миколайовичу</w:t>
            </w:r>
            <w:r w:rsidRPr="00211E74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 w:rsidR="008A40DF">
              <w:rPr>
                <w:i/>
                <w:color w:val="auto"/>
                <w:sz w:val="24"/>
                <w:szCs w:val="24"/>
              </w:rPr>
              <w:t>а нерухомого майна 2825959480000</w:t>
            </w:r>
            <w:r w:rsidRPr="00211E74">
              <w:rPr>
                <w:i/>
                <w:color w:val="auto"/>
                <w:sz w:val="24"/>
                <w:szCs w:val="24"/>
              </w:rPr>
              <w:t xml:space="preserve">, </w:t>
            </w:r>
            <w:r w:rsidR="008A40DF">
              <w:rPr>
                <w:i/>
                <w:color w:val="auto"/>
                <w:sz w:val="24"/>
                <w:szCs w:val="24"/>
              </w:rPr>
              <w:t>запис про право власності від 03.11.2023</w:t>
            </w:r>
            <w:r w:rsidRPr="00211E74">
              <w:rPr>
                <w:i/>
                <w:color w:val="auto"/>
                <w:sz w:val="24"/>
                <w:szCs w:val="24"/>
              </w:rPr>
              <w:t xml:space="preserve"> № </w:t>
            </w:r>
            <w:r w:rsidR="00A1354B">
              <w:rPr>
                <w:i/>
                <w:color w:val="auto"/>
                <w:sz w:val="24"/>
                <w:szCs w:val="24"/>
              </w:rPr>
              <w:t>52426353</w:t>
            </w:r>
            <w:r w:rsidRPr="00211E74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</w:t>
            </w:r>
            <w:r w:rsidRPr="00A1354B">
              <w:rPr>
                <w:i/>
                <w:color w:val="auto"/>
                <w:sz w:val="24"/>
                <w:szCs w:val="24"/>
              </w:rPr>
              <w:t>від</w:t>
            </w:r>
            <w:r w:rsidR="00A1354B" w:rsidRPr="00A93612">
              <w:rPr>
                <w:i/>
                <w:color w:val="auto"/>
                <w:sz w:val="24"/>
                <w:szCs w:val="24"/>
              </w:rPr>
              <w:t xml:space="preserve"> </w:t>
            </w:r>
            <w:r w:rsidR="00A1354B" w:rsidRPr="00A1354B">
              <w:rPr>
                <w:i/>
                <w:color w:val="auto"/>
                <w:sz w:val="24"/>
                <w:szCs w:val="24"/>
              </w:rPr>
              <w:t>15.08</w:t>
            </w:r>
            <w:r w:rsidRPr="00A1354B">
              <w:rPr>
                <w:i/>
                <w:color w:val="auto"/>
                <w:sz w:val="24"/>
                <w:szCs w:val="24"/>
              </w:rPr>
              <w:t xml:space="preserve">.2024   </w:t>
            </w:r>
            <w:r w:rsidR="00A93612">
              <w:rPr>
                <w:i/>
                <w:color w:val="auto"/>
                <w:sz w:val="24"/>
                <w:szCs w:val="24"/>
              </w:rPr>
              <w:t xml:space="preserve">    </w:t>
            </w:r>
            <w:r w:rsidR="00A1354B" w:rsidRPr="00A1354B">
              <w:rPr>
                <w:i/>
                <w:color w:val="auto"/>
                <w:sz w:val="24"/>
                <w:szCs w:val="24"/>
              </w:rPr>
              <w:t>№ 391070809</w:t>
            </w:r>
            <w:r w:rsidRPr="00A1354B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11FA7722" w:rsidR="00E12AC0" w:rsidRPr="00104BBD" w:rsidRDefault="008A40DF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8A40DF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</w:t>
            </w:r>
            <w:r>
              <w:rPr>
                <w:i/>
                <w:color w:val="auto"/>
                <w:sz w:val="24"/>
                <w:szCs w:val="24"/>
              </w:rPr>
              <w:t>рахунковий період) (витяг з містобудівної документації, наданий листом</w:t>
            </w:r>
            <w:r w:rsidRPr="008A40DF">
              <w:rPr>
                <w:i/>
                <w:color w:val="auto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</w:t>
            </w:r>
            <w:r>
              <w:rPr>
                <w:i/>
                <w:color w:val="auto"/>
                <w:sz w:val="24"/>
                <w:szCs w:val="24"/>
              </w:rPr>
              <w:t>ої державної адміністрації) від 05.07.2024                           № 055-6341</w:t>
            </w:r>
            <w:r w:rsidRPr="008A40DF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030D8C">
        <w:trPr>
          <w:cantSplit/>
          <w:trHeight w:val="422"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3A62AEE3" w14:textId="2D1715BB" w:rsidR="008A40DF" w:rsidRPr="008A40DF" w:rsidRDefault="008A40DF" w:rsidP="008A40D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і земельну ділянку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площею 1,3164</w:t>
            </w: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</w:t>
            </w:r>
            <w:r w:rsidR="00EF7B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вий номер 8000000000:96:066:0002</w:t>
            </w: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 Термін дії договору оренди земельн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 ділянки від 10.10.2015 № 4570</w:t>
            </w: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10.10.2039. </w:t>
            </w:r>
          </w:p>
          <w:p w14:paraId="76DBFD99" w14:textId="2234231C" w:rsidR="008A40DF" w:rsidRPr="008A40DF" w:rsidRDefault="008A40DF" w:rsidP="008A40D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адміністрації) листом від 18.07.2018 № 05703-15224, земельну ділянку площею 1,3164</w:t>
            </w: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8000000000:96:066:0002</w:t>
            </w: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поділено та сформовано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15</w:t>
            </w: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0,0726</w:t>
            </w: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8000000000:96:066:0005</w:t>
            </w: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709CCD31" w14:textId="73C23E2C" w:rsidR="008A40DF" w:rsidRPr="008A40DF" w:rsidRDefault="00EF7BB3" w:rsidP="008A40D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Громадян</w:t>
            </w:r>
            <w:r w:rsidR="00030D8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Скопіч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О.М.</w:t>
            </w:r>
            <w:r w:rsidR="008A40DF"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</w:t>
            </w:r>
            <w:r w:rsid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ратив «Вікторія» (довідка від 16</w:t>
            </w:r>
            <w:r w:rsidR="008A40DF"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.12.2023 №</w:t>
            </w:r>
            <w:r w:rsid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64</w:t>
            </w:r>
            <w:r w:rsidR="008A40DF"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/23). </w:t>
            </w:r>
            <w:proofErr w:type="spellStart"/>
            <w:r w:rsidR="008A40DF"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="008A40DF"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 w:rsid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редати громадянину </w:t>
            </w:r>
            <w:proofErr w:type="spellStart"/>
            <w:r w:rsid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Скопічу</w:t>
            </w:r>
            <w:proofErr w:type="spellEnd"/>
            <w:r w:rsid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О.М.</w:t>
            </w:r>
            <w:r w:rsidR="008A40DF"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</w:t>
            </w:r>
            <w:r w:rsid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0,0726</w:t>
            </w:r>
            <w:r w:rsidR="008A40DF"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колективного садівництва в мікрорайоні </w:t>
            </w:r>
            <w:proofErr w:type="spellStart"/>
            <w:r w:rsidR="008A40DF"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="008A40DF"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4A78BF52" w14:textId="550EACD0" w:rsidR="008A40DF" w:rsidRPr="00A93612" w:rsidRDefault="00A93612" w:rsidP="008A40D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A936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A936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Заявою, підпис на якій засвідчено нотаріально</w:t>
            </w:r>
            <w:r w:rsidRPr="00A936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</w:t>
            </w:r>
            <w:r w:rsidRPr="00A936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20.12</w:t>
            </w:r>
            <w:r w:rsidRPr="00A936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A936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 w:rsidRPr="00A936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691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bookmarkStart w:id="0" w:name="_GoBack"/>
            <w:bookmarkEnd w:id="0"/>
            <w:r w:rsidR="008A40DF" w:rsidRPr="00030D8C"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  <w:t xml:space="preserve"> </w:t>
            </w:r>
            <w:r w:rsidR="008A40DF" w:rsidRPr="00A9361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обслуговуючий кооператив «Садівничий кооператив «Вікторія» надав згоду на припинення права оренди земельної ділянки площею 0,0726 га (кадастровий номер ділянки 8000000000:96:066:0005).</w:t>
            </w:r>
          </w:p>
          <w:p w14:paraId="155083A2" w14:textId="77777777" w:rsidR="008A40DF" w:rsidRPr="008A40DF" w:rsidRDefault="008A40DF" w:rsidP="008A40D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CD6A555" w14:textId="77777777" w:rsidR="008A40DF" w:rsidRPr="008A40DF" w:rsidRDefault="008A40DF" w:rsidP="008A40D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619192A8" w:rsidR="00017352" w:rsidRPr="00104BBD" w:rsidRDefault="008A40DF" w:rsidP="008A40D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A4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DA27298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8A40DF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 xml:space="preserve">від </w:t>
      </w:r>
      <w:r w:rsidR="00955CE8">
        <w:rPr>
          <w:color w:val="auto"/>
          <w:sz w:val="24"/>
          <w:szCs w:val="24"/>
        </w:rPr>
        <w:lastRenderedPageBreak/>
        <w:t>20.04.</w:t>
      </w:r>
      <w:r w:rsidRPr="00104BBD">
        <w:rPr>
          <w:color w:val="auto"/>
          <w:sz w:val="24"/>
          <w:szCs w:val="24"/>
        </w:rPr>
        <w:t>2017 № 241/2463.</w:t>
      </w:r>
    </w:p>
    <w:p w14:paraId="280BF296" w14:textId="77777777" w:rsidR="008A40DF" w:rsidRPr="008A40DF" w:rsidRDefault="008A40DF" w:rsidP="008A40DF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8A40DF">
        <w:rPr>
          <w:sz w:val="24"/>
          <w:szCs w:val="24"/>
        </w:rPr>
        <w:t>Проєкт</w:t>
      </w:r>
      <w:proofErr w:type="spellEnd"/>
      <w:r w:rsidRPr="008A40DF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D66247A" w14:textId="77777777" w:rsidR="008A40DF" w:rsidRPr="008A40DF" w:rsidRDefault="008A40DF" w:rsidP="008A40DF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8A40DF">
        <w:rPr>
          <w:sz w:val="24"/>
          <w:szCs w:val="24"/>
        </w:rPr>
        <w:t>Проєкт</w:t>
      </w:r>
      <w:proofErr w:type="spellEnd"/>
      <w:r w:rsidRPr="008A40DF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7A10D8" w14:textId="3F22B6A5" w:rsidR="00D830BD" w:rsidRDefault="008A40DF" w:rsidP="008A40D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8A40DF">
        <w:rPr>
          <w:sz w:val="24"/>
          <w:szCs w:val="24"/>
        </w:rPr>
        <w:t>Проєкт</w:t>
      </w:r>
      <w:proofErr w:type="spellEnd"/>
      <w:r w:rsidRPr="008A40DF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1C5B4C7" w14:textId="77777777" w:rsidR="008A40DF" w:rsidRPr="00104BBD" w:rsidRDefault="008A40DF" w:rsidP="008A40DF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4021CD9A" w:rsidR="00921DA0" w:rsidRPr="00104BBD" w:rsidRDefault="00C82D8F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C82D8F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C82D8F">
        <w:rPr>
          <w:color w:val="auto"/>
          <w:sz w:val="24"/>
          <w:szCs w:val="24"/>
        </w:rPr>
        <w:t>проєкту</w:t>
      </w:r>
      <w:proofErr w:type="spellEnd"/>
      <w:r w:rsidRPr="00C82D8F">
        <w:rPr>
          <w:color w:val="auto"/>
          <w:sz w:val="24"/>
          <w:szCs w:val="24"/>
        </w:rPr>
        <w:t xml:space="preserve"> рішення стане реалізація громадя</w:t>
      </w:r>
      <w:r w:rsidR="00212293">
        <w:rPr>
          <w:color w:val="auto"/>
          <w:sz w:val="24"/>
          <w:szCs w:val="24"/>
        </w:rPr>
        <w:t>нин</w:t>
      </w:r>
      <w:r w:rsidR="00EF7BB3">
        <w:rPr>
          <w:color w:val="auto"/>
          <w:sz w:val="24"/>
          <w:szCs w:val="24"/>
        </w:rPr>
        <w:t>ом</w:t>
      </w:r>
      <w:r w:rsidR="0021229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своїх прав</w:t>
      </w:r>
      <w:r w:rsidR="00184DB0">
        <w:rPr>
          <w:color w:val="auto"/>
          <w:sz w:val="24"/>
          <w:szCs w:val="24"/>
        </w:rPr>
        <w:t xml:space="preserve"> на оформлення земельної ділянки</w:t>
      </w:r>
      <w:r>
        <w:rPr>
          <w:color w:val="auto"/>
          <w:sz w:val="24"/>
          <w:szCs w:val="24"/>
        </w:rPr>
        <w:t>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211E74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A93612">
      <w:headerReference w:type="default" r:id="rId11"/>
      <w:footerReference w:type="default" r:id="rId12"/>
      <w:pgSz w:w="11907" w:h="16839" w:code="9"/>
      <w:pgMar w:top="851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9E544EA" w:rsidR="00862990" w:rsidRPr="007B7541" w:rsidRDefault="004A7340" w:rsidP="003B310A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211E74">
      <w:rPr>
        <w:sz w:val="12"/>
        <w:szCs w:val="12"/>
        <w:lang w:val="ru-RU"/>
      </w:rPr>
      <w:t>ПЗН-69742</w:t>
    </w:r>
    <w:r w:rsidR="00862990">
      <w:rPr>
        <w:sz w:val="12"/>
        <w:szCs w:val="12"/>
      </w:rPr>
      <w:t xml:space="preserve"> від </w:t>
    </w:r>
    <w:r w:rsidR="00200540" w:rsidRPr="00211E74">
      <w:rPr>
        <w:sz w:val="12"/>
        <w:szCs w:val="12"/>
        <w:lang w:val="ru-RU"/>
      </w:rPr>
      <w:t>14.08.2024</w:t>
    </w:r>
    <w:r w:rsidR="003B310A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460278705</w:t>
    </w:r>
    <w:r w:rsidR="003B310A">
      <w:rPr>
        <w:sz w:val="12"/>
        <w:szCs w:val="12"/>
      </w:rPr>
      <w:t xml:space="preserve">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1176412434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A93612" w:rsidRPr="00A93612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30D8C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376A4"/>
    <w:rsid w:val="0014558C"/>
    <w:rsid w:val="00166900"/>
    <w:rsid w:val="00184DB0"/>
    <w:rsid w:val="00184DC5"/>
    <w:rsid w:val="00194E38"/>
    <w:rsid w:val="001E04D2"/>
    <w:rsid w:val="00200540"/>
    <w:rsid w:val="00210F1C"/>
    <w:rsid w:val="00211899"/>
    <w:rsid w:val="00211E74"/>
    <w:rsid w:val="00212293"/>
    <w:rsid w:val="00217DBB"/>
    <w:rsid w:val="002256EF"/>
    <w:rsid w:val="00232D6B"/>
    <w:rsid w:val="002438BA"/>
    <w:rsid w:val="00247072"/>
    <w:rsid w:val="00295A0E"/>
    <w:rsid w:val="002F24CA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3B310A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40DF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1354B"/>
    <w:rsid w:val="00A27936"/>
    <w:rsid w:val="00A33D79"/>
    <w:rsid w:val="00A368F7"/>
    <w:rsid w:val="00A47378"/>
    <w:rsid w:val="00A65267"/>
    <w:rsid w:val="00A723F2"/>
    <w:rsid w:val="00A86D5F"/>
    <w:rsid w:val="00A92381"/>
    <w:rsid w:val="00A93612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82D8F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255EA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EF7BB3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0274-BCF0-4003-852B-1CEB281F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6741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10</cp:revision>
  <cp:lastPrinted>2021-11-25T14:48:00Z</cp:lastPrinted>
  <dcterms:created xsi:type="dcterms:W3CDTF">2024-08-14T07:27:00Z</dcterms:created>
  <dcterms:modified xsi:type="dcterms:W3CDTF">2024-08-22T12:38:00Z</dcterms:modified>
</cp:coreProperties>
</file>