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444056137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444056137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4C297DF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023A68">
        <w:rPr>
          <w:b/>
          <w:bCs/>
          <w:sz w:val="24"/>
          <w:szCs w:val="24"/>
          <w:lang w:val="ru-RU"/>
        </w:rPr>
        <w:t>-75945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023A68">
        <w:rPr>
          <w:b/>
          <w:bCs/>
          <w:sz w:val="24"/>
          <w:szCs w:val="24"/>
          <w:lang w:val="ru-RU"/>
        </w:rPr>
        <w:t>10.01.2025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F91FA68" w14:textId="0D979F59" w:rsidR="001423EB" w:rsidRDefault="009674CE" w:rsidP="00023A68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color w:val="auto"/>
          <w:sz w:val="24"/>
          <w:szCs w:val="24"/>
          <w:lang w:bidi="ar-SA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023A68" w:rsidRPr="00023A68">
        <w:rPr>
          <w:b/>
          <w:i/>
          <w:color w:val="auto"/>
          <w:sz w:val="24"/>
          <w:szCs w:val="24"/>
          <w:lang w:bidi="ar-SA"/>
        </w:rPr>
        <w:t xml:space="preserve">приватному акціонерному товариству «ПОЛЮС» договору </w:t>
      </w:r>
      <w:bookmarkStart w:id="0" w:name="_Hlk187394191"/>
      <w:r w:rsidR="00023A68" w:rsidRPr="00023A68">
        <w:rPr>
          <w:b/>
          <w:i/>
          <w:color w:val="auto"/>
          <w:sz w:val="24"/>
          <w:szCs w:val="24"/>
          <w:lang w:bidi="ar-SA"/>
        </w:rPr>
        <w:t>на право тимчасового користування землею на умовах оренди</w:t>
      </w:r>
      <w:bookmarkEnd w:id="0"/>
      <w:r w:rsidR="00023A68">
        <w:rPr>
          <w:b/>
          <w:i/>
          <w:color w:val="auto"/>
          <w:sz w:val="24"/>
          <w:szCs w:val="24"/>
          <w:lang w:bidi="ar-SA"/>
        </w:rPr>
        <w:t xml:space="preserve"> </w:t>
      </w:r>
      <w:r w:rsidR="00023A68" w:rsidRPr="00023A68">
        <w:rPr>
          <w:b/>
          <w:i/>
          <w:color w:val="auto"/>
          <w:sz w:val="24"/>
          <w:szCs w:val="24"/>
          <w:lang w:bidi="ar-SA"/>
        </w:rPr>
        <w:t>від 30 грудня 1999 року № 62-5-00046 для обслуговування та експлуатації комбінату харчування  на                                        вул. Електротехнічній, 18 у Деснянському районі м. Києва</w:t>
      </w:r>
    </w:p>
    <w:p w14:paraId="11AA6D3E" w14:textId="77777777" w:rsidR="00023A68" w:rsidRPr="001423EB" w:rsidRDefault="00023A68" w:rsidP="00023A68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3174311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«ПОЛЮС»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023A68">
              <w:rPr>
                <w:i/>
                <w:sz w:val="24"/>
                <w:szCs w:val="24"/>
              </w:rPr>
              <w:t>ЄДРПОУ</w:t>
            </w:r>
            <w:r w:rsidR="002B5778" w:rsidRPr="00023A68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023A68">
              <w:rPr>
                <w:i/>
                <w:color w:val="auto"/>
                <w:sz w:val="24"/>
                <w:szCs w:val="24"/>
                <w:lang w:val="ru-RU" w:bidi="ar-SA"/>
              </w:rPr>
              <w:t>19029704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023A68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DA6089F" w14:textId="77777777" w:rsidR="00023A68" w:rsidRPr="00023A68" w:rsidRDefault="00023A68" w:rsidP="00023A68">
            <w:pPr>
              <w:pStyle w:val="a7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</w:rPr>
              <w:t>285 ФІЗИЧНИХ ОСІБ АКЦІОНЕРІВ</w:t>
            </w:r>
          </w:p>
          <w:p w14:paraId="75A58B8F" w14:textId="77777777" w:rsidR="00023A68" w:rsidRPr="00023A68" w:rsidRDefault="00023A68" w:rsidP="00023A68">
            <w:pPr>
              <w:pStyle w:val="a7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</w:rPr>
              <w:t>Розмір внеску до статутного фонду: 240 397,50 грн</w:t>
            </w:r>
          </w:p>
          <w:p w14:paraId="6AE7D7F2" w14:textId="77777777" w:rsidR="00023A68" w:rsidRPr="00023A68" w:rsidRDefault="00023A68" w:rsidP="00023A68">
            <w:pPr>
              <w:pStyle w:val="a7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</w:rPr>
              <w:t>Частка (%): 99,86%</w:t>
            </w:r>
          </w:p>
          <w:p w14:paraId="5B544770" w14:textId="77777777" w:rsidR="00023A68" w:rsidRPr="00023A68" w:rsidRDefault="00023A68" w:rsidP="00023A68">
            <w:pPr>
              <w:pStyle w:val="a7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</w:rPr>
              <w:t>2 ЮРИДИЧНІ ОСОБИ АКЦІОНЕРИ</w:t>
            </w:r>
          </w:p>
          <w:p w14:paraId="4B457C83" w14:textId="77777777" w:rsidR="00023A68" w:rsidRPr="00023A68" w:rsidRDefault="00023A68" w:rsidP="00023A68">
            <w:pPr>
              <w:pStyle w:val="a7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</w:rPr>
              <w:t xml:space="preserve">Розмір внеску до статутного фонду: 346,50 грн </w:t>
            </w:r>
          </w:p>
          <w:p w14:paraId="6643096C" w14:textId="43C68BDA" w:rsidR="00E94376" w:rsidRPr="00023A68" w:rsidRDefault="00023A68" w:rsidP="00023A68">
            <w:pPr>
              <w:pStyle w:val="a7"/>
              <w:jc w:val="both"/>
              <w:rPr>
                <w:i/>
              </w:rPr>
            </w:pPr>
            <w:r w:rsidRPr="00023A68">
              <w:rPr>
                <w:i/>
                <w:sz w:val="24"/>
                <w:szCs w:val="24"/>
              </w:rPr>
              <w:t>Частка (%): 0,1439%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3EAF5E97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КАРПЕНКО ІРИНА АНАТОЛІЇВНА</w:t>
            </w:r>
          </w:p>
          <w:p w14:paraId="68CC9A66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Адреса засновника: Україна, 01014, м. Київ, Печерський р-н, вулиця Лізи Чйкіної,  характер впливу-прямий, частка-15,3654%</w:t>
            </w:r>
          </w:p>
          <w:p w14:paraId="0C4C2934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КАРПЕНКО НАТАЛІЯ АНАТОЛІЇВНА</w:t>
            </w:r>
          </w:p>
          <w:p w14:paraId="60D563D0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Адреса засновника: Україна, 04205, м. Київ, Оболонськи р-н, вулиця Тимошенка, характер впливу-прямий, частка-15,3654%</w:t>
            </w:r>
          </w:p>
          <w:p w14:paraId="75631E0B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КАРПЕНКО РАЇСА МИХАЙЛІВНА</w:t>
            </w:r>
          </w:p>
          <w:p w14:paraId="76847305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Адреса засновника: Україна, 04210, м. Київ, Оболонський р-н, вулиця Тимошенка, характер впливу-прямий, частка-41,0197%</w:t>
            </w:r>
          </w:p>
          <w:p w14:paraId="523D7DBA" w14:textId="77777777" w:rsidR="00023A68" w:rsidRPr="00023A68" w:rsidRDefault="00023A68" w:rsidP="00023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23A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КАРПЕНКО АНАТОЛІЙ ЯКОВИЧ</w:t>
            </w:r>
          </w:p>
          <w:p w14:paraId="1C7A8B69" w14:textId="1C0D2C9A" w:rsidR="00E94376" w:rsidRPr="00023A68" w:rsidRDefault="00023A68" w:rsidP="00023A68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023A68">
              <w:rPr>
                <w:rFonts w:eastAsia="Courier New"/>
                <w:i/>
                <w:sz w:val="24"/>
                <w:szCs w:val="24"/>
              </w:rPr>
              <w:t>Адреса засновника: Україна, 02225, м. Київ, Деснянський р-н, проспект Маяковського, характер впливу-прямий, частка-15,1692%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023A6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24.09.2024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444056137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8000000000:62:021:0003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Електротехнічна, 18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23A68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0,6826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023A68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03.10</w:t>
            </w:r>
            <w:r w:rsidR="005769B6" w:rsidRPr="00023A68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023A68">
              <w:rPr>
                <w:b/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023A68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023A68">
              <w:rPr>
                <w:b/>
                <w:i/>
                <w:sz w:val="24"/>
                <w:szCs w:val="24"/>
              </w:rPr>
              <w:t xml:space="preserve">для обслуговування та експлуатації комбінату харчування </w:t>
            </w:r>
            <w:r w:rsidRPr="00023A6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023A68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1E0330AD" w:rsidR="006D7E33" w:rsidRPr="00056A2A" w:rsidRDefault="00023A6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023A68">
              <w:rPr>
                <w:b/>
                <w:i/>
                <w:sz w:val="24"/>
                <w:szCs w:val="24"/>
                <w:shd w:val="clear" w:color="auto" w:fill="FFFFFF"/>
              </w:rPr>
              <w:t>30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23A68">
              <w:rPr>
                <w:b/>
                <w:i/>
                <w:sz w:val="24"/>
                <w:szCs w:val="24"/>
                <w:shd w:val="clear" w:color="auto" w:fill="FFFFFF"/>
              </w:rPr>
              <w:t>139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023A68">
              <w:rPr>
                <w:b/>
                <w:i/>
                <w:sz w:val="24"/>
                <w:szCs w:val="24"/>
                <w:shd w:val="clear" w:color="auto" w:fill="FFFFFF"/>
              </w:rPr>
              <w:t>473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023A68">
              <w:rPr>
                <w:b/>
                <w:i/>
                <w:sz w:val="24"/>
                <w:szCs w:val="24"/>
                <w:shd w:val="clear" w:color="auto" w:fill="FFFFFF"/>
              </w:rPr>
              <w:t>27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1B400EA4" w14:textId="77777777" w:rsidR="00023A68" w:rsidRDefault="00023A6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22D8A758" w14:textId="77777777" w:rsidR="00023A68" w:rsidRDefault="00023A6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37801057" w14:textId="77777777" w:rsidR="00023A68" w:rsidRPr="00553E8C" w:rsidRDefault="00023A6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65622AAF" w:rsidR="006A19DF" w:rsidRPr="00023A68" w:rsidRDefault="006A19DF" w:rsidP="00023A68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023A68" w:rsidRPr="00023A68">
        <w:rPr>
          <w:rFonts w:ascii="Times New Roman" w:hAnsi="Times New Roman" w:cs="Times New Roman"/>
        </w:rPr>
        <w:t xml:space="preserve">абзацу четвертого розділу IX «Перехідні положення» Закону України «Про оренду землі», </w:t>
      </w:r>
      <w:r w:rsidRPr="00772C24">
        <w:rPr>
          <w:rFonts w:ascii="Times New Roman" w:hAnsi="Times New Roman" w:cs="Times New Roman"/>
        </w:rPr>
        <w:t>та Порядку набуття прав на землю із земель комунальної</w:t>
      </w:r>
      <w:r w:rsidR="00023A68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023A68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</w:t>
      </w:r>
      <w:r w:rsidR="00023A68">
        <w:rPr>
          <w:rFonts w:ascii="Times New Roman" w:hAnsi="Times New Roman" w:cs="Times New Roman"/>
        </w:rPr>
        <w:t xml:space="preserve">(далі – Департамент) </w:t>
      </w:r>
      <w:r w:rsidRPr="00772C24">
        <w:rPr>
          <w:rFonts w:ascii="Times New Roman" w:hAnsi="Times New Roman" w:cs="Times New Roman"/>
        </w:rPr>
        <w:t>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61457F79" w14:textId="2D707121" w:rsidR="00301F9A" w:rsidRPr="00301F9A" w:rsidRDefault="00301F9A" w:rsidP="00301F9A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На земельній ділянці </w:t>
            </w:r>
            <w:r w:rsidRPr="00301F9A">
              <w:rPr>
                <w:b w:val="0"/>
                <w:bCs w:val="0"/>
                <w:i/>
                <w:sz w:val="24"/>
                <w:szCs w:val="24"/>
              </w:rPr>
              <w:t>розміщується комплекс будівель, як</w:t>
            </w:r>
            <w:r w:rsidR="00BC2BC3">
              <w:rPr>
                <w:b w:val="0"/>
                <w:bCs w:val="0"/>
                <w:i/>
                <w:sz w:val="24"/>
                <w:szCs w:val="24"/>
              </w:rPr>
              <w:t>ий</w:t>
            </w:r>
            <w:r w:rsidRPr="00301F9A">
              <w:rPr>
                <w:b w:val="0"/>
                <w:bCs w:val="0"/>
                <w:i/>
                <w:sz w:val="24"/>
                <w:szCs w:val="24"/>
              </w:rPr>
              <w:t xml:space="preserve"> використову</w:t>
            </w:r>
            <w:r w:rsidR="00BC2BC3">
              <w:rPr>
                <w:b w:val="0"/>
                <w:bCs w:val="0"/>
                <w:i/>
                <w:sz w:val="24"/>
                <w:szCs w:val="24"/>
              </w:rPr>
              <w:t>є</w:t>
            </w:r>
            <w:r w:rsidRPr="00301F9A">
              <w:rPr>
                <w:b w:val="0"/>
                <w:bCs w:val="0"/>
                <w:i/>
                <w:sz w:val="24"/>
                <w:szCs w:val="24"/>
              </w:rPr>
              <w:t xml:space="preserve">ться частково для торгівлі (овочевий ринок). </w:t>
            </w:r>
          </w:p>
          <w:p w14:paraId="2515BFC4" w14:textId="4E07A532" w:rsidR="00823CCF" w:rsidRDefault="00301F9A" w:rsidP="00301F9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01F9A">
              <w:rPr>
                <w:b w:val="0"/>
                <w:bCs w:val="0"/>
                <w:i/>
                <w:sz w:val="24"/>
                <w:szCs w:val="24"/>
              </w:rPr>
              <w:t>Також частково в будівлях функціонує готель, ресторан швидкого харчування «Шкварочка» та частина офісних приміщень. Земельна ділянка огороджена парканом. Також у межах ділянки запа</w:t>
            </w:r>
            <w:r w:rsidR="006D6CD8">
              <w:rPr>
                <w:b w:val="0"/>
                <w:bCs w:val="0"/>
                <w:i/>
                <w:sz w:val="24"/>
                <w:szCs w:val="24"/>
              </w:rPr>
              <w:t>р</w:t>
            </w:r>
            <w:r w:rsidRPr="00301F9A">
              <w:rPr>
                <w:b w:val="0"/>
                <w:bCs w:val="0"/>
                <w:i/>
                <w:sz w:val="24"/>
                <w:szCs w:val="24"/>
              </w:rPr>
              <w:t>ковані вантажні автомобілі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6D6CD8">
              <w:rPr>
                <w:b w:val="0"/>
                <w:bCs w:val="0"/>
                <w:i/>
                <w:sz w:val="24"/>
                <w:szCs w:val="24"/>
              </w:rPr>
              <w:t xml:space="preserve">                          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>акт обстеження земельної ділянки</w:t>
            </w:r>
            <w:r w:rsidR="006D6CD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 xml:space="preserve">від </w:t>
            </w:r>
            <w:bookmarkStart w:id="1" w:name="_Hlk187399939"/>
            <w:r w:rsidR="00DA54F4">
              <w:rPr>
                <w:b w:val="0"/>
                <w:bCs w:val="0"/>
                <w:i/>
                <w:sz w:val="24"/>
                <w:szCs w:val="24"/>
              </w:rPr>
              <w:t>03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>.0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>1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>.202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>5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bookmarkEnd w:id="1"/>
            <w:r w:rsidR="006D6CD8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           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 xml:space="preserve">№  </w:t>
            </w:r>
            <w:bookmarkStart w:id="2" w:name="_Hlk187399961"/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>ДК/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>2</w:t>
            </w:r>
            <w:r w:rsidR="00DA54F4" w:rsidRPr="00DA54F4">
              <w:rPr>
                <w:b w:val="0"/>
                <w:bCs w:val="0"/>
                <w:i/>
                <w:sz w:val="24"/>
                <w:szCs w:val="24"/>
              </w:rPr>
              <w:t>-ОА/202</w:t>
            </w:r>
            <w:r w:rsidR="00DA54F4">
              <w:rPr>
                <w:b w:val="0"/>
                <w:bCs w:val="0"/>
                <w:i/>
                <w:sz w:val="24"/>
                <w:szCs w:val="24"/>
              </w:rPr>
              <w:t>5</w:t>
            </w:r>
            <w:bookmarkEnd w:id="2"/>
            <w:r w:rsidR="00DA54F4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23F81AF9" w14:textId="3FB709DA" w:rsidR="00343D7C" w:rsidRDefault="00D05BAA" w:rsidP="00343D7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Відповідно до </w:t>
            </w:r>
            <w:r w:rsidR="007552C1" w:rsidRPr="007552C1">
              <w:rPr>
                <w:b w:val="0"/>
                <w:bCs w:val="0"/>
                <w:i/>
                <w:sz w:val="24"/>
                <w:szCs w:val="24"/>
              </w:rPr>
              <w:t>Державного реєстру речових прав на нерухоме майно</w:t>
            </w:r>
            <w:r w:rsidR="007552C1">
              <w:rPr>
                <w:b w:val="0"/>
                <w:bCs w:val="0"/>
                <w:i/>
                <w:sz w:val="24"/>
                <w:szCs w:val="24"/>
              </w:rPr>
              <w:t xml:space="preserve"> Товариству на праві приватної власності належ</w:t>
            </w:r>
            <w:r w:rsidR="00343D7C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7552C1">
              <w:rPr>
                <w:b w:val="0"/>
                <w:bCs w:val="0"/>
                <w:i/>
                <w:sz w:val="24"/>
                <w:szCs w:val="24"/>
              </w:rPr>
              <w:t>ть</w:t>
            </w:r>
            <w:r w:rsidR="00343D7C">
              <w:rPr>
                <w:b w:val="0"/>
                <w:bCs w:val="0"/>
                <w:i/>
                <w:sz w:val="24"/>
                <w:szCs w:val="24"/>
              </w:rPr>
              <w:t>:</w:t>
            </w:r>
          </w:p>
          <w:p w14:paraId="1D7C7840" w14:textId="50B631A8" w:rsidR="00343D7C" w:rsidRPr="00343D7C" w:rsidRDefault="00343D7C" w:rsidP="00343D7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343D7C">
              <w:rPr>
                <w:b w:val="0"/>
                <w:bCs w:val="0"/>
                <w:i/>
                <w:sz w:val="24"/>
                <w:szCs w:val="24"/>
              </w:rPr>
              <w:t>господарськ</w:t>
            </w:r>
            <w:r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Pr="00343D7C">
              <w:rPr>
                <w:b w:val="0"/>
                <w:bCs w:val="0"/>
                <w:i/>
                <w:sz w:val="24"/>
                <w:szCs w:val="24"/>
              </w:rPr>
              <w:t xml:space="preserve"> будівл</w:t>
            </w:r>
            <w:r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Pr="00343D7C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176,7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343D7C">
              <w:rPr>
                <w:b w:val="0"/>
                <w:bCs w:val="0"/>
                <w:i/>
                <w:sz w:val="24"/>
                <w:szCs w:val="24"/>
              </w:rPr>
              <w:t>м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343D7C">
              <w:rPr>
                <w:b w:val="0"/>
                <w:bCs w:val="0"/>
                <w:i/>
                <w:sz w:val="24"/>
                <w:szCs w:val="24"/>
              </w:rPr>
              <w:t>(реєстраційний номер об’єкта нерухомого майна 1446070180000, номер відомостей про речове право: 24113384 від  18.12.2017)</w:t>
            </w:r>
            <w:r>
              <w:rPr>
                <w:b w:val="0"/>
                <w:bCs w:val="0"/>
                <w:i/>
                <w:sz w:val="24"/>
                <w:szCs w:val="24"/>
              </w:rPr>
              <w:t>;</w:t>
            </w:r>
          </w:p>
          <w:p w14:paraId="4B5879AC" w14:textId="77777777" w:rsidR="00301F9A" w:rsidRDefault="007552C1" w:rsidP="00301F9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43D7C"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7552C1">
              <w:rPr>
                <w:b w:val="0"/>
                <w:bCs w:val="0"/>
                <w:i/>
                <w:sz w:val="24"/>
                <w:szCs w:val="24"/>
              </w:rPr>
              <w:t>комплекс будівель та споруд громадського призначення, загальною площею 6096,1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7552C1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="006C42DD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6C42DD" w:rsidRPr="006C42DD">
              <w:rPr>
                <w:b w:val="0"/>
                <w:bCs w:val="0"/>
                <w:i/>
                <w:sz w:val="24"/>
                <w:szCs w:val="24"/>
              </w:rPr>
              <w:t>(реєстраційний номер об’єкта нерухомого майна 121184780000, номер відомостей про речове право: 1932795 від  18.04.2013)</w:t>
            </w:r>
            <w:r w:rsidR="006D6CD8">
              <w:rPr>
                <w:b w:val="0"/>
                <w:bCs w:val="0"/>
                <w:i/>
                <w:sz w:val="24"/>
                <w:szCs w:val="24"/>
              </w:rPr>
              <w:t>;</w:t>
            </w:r>
          </w:p>
          <w:p w14:paraId="506E57A9" w14:textId="7B1A406F" w:rsidR="006D6CD8" w:rsidRPr="00EE137E" w:rsidRDefault="006D6CD8" w:rsidP="00301F9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нежилі будівлі </w:t>
            </w:r>
            <w:r w:rsidRPr="006D6CD8">
              <w:rPr>
                <w:b w:val="0"/>
                <w:bCs w:val="0"/>
                <w:i/>
                <w:sz w:val="24"/>
                <w:szCs w:val="24"/>
              </w:rPr>
              <w:t>загальною площею 1</w:t>
            </w:r>
            <w:r>
              <w:rPr>
                <w:b w:val="0"/>
                <w:bCs w:val="0"/>
                <w:i/>
                <w:sz w:val="24"/>
                <w:szCs w:val="24"/>
              </w:rPr>
              <w:t>92,90</w:t>
            </w:r>
            <w:r w:rsidRPr="006D6CD8">
              <w:rPr>
                <w:b w:val="0"/>
                <w:bCs w:val="0"/>
                <w:i/>
                <w:sz w:val="24"/>
                <w:szCs w:val="24"/>
              </w:rPr>
              <w:t xml:space="preserve"> кв. м (реєстраційний номер об’єкта нерухомого майна </w:t>
            </w:r>
            <w:r>
              <w:rPr>
                <w:b w:val="0"/>
                <w:bCs w:val="0"/>
                <w:i/>
                <w:sz w:val="24"/>
                <w:szCs w:val="24"/>
              </w:rPr>
              <w:t>37312221</w:t>
            </w:r>
            <w:r w:rsidRPr="006D6CD8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i/>
                <w:sz w:val="24"/>
                <w:szCs w:val="24"/>
              </w:rPr>
              <w:t>дата прийняття рішення про державну реєстрацію 06.08.2012</w:t>
            </w:r>
            <w:r w:rsidRPr="006D6CD8">
              <w:rPr>
                <w:b w:val="0"/>
                <w:bCs w:val="0"/>
                <w:i/>
                <w:sz w:val="24"/>
                <w:szCs w:val="24"/>
              </w:rPr>
              <w:t>);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0DA8D9DB" w14:textId="6CB26843" w:rsidR="00823CCF" w:rsidRDefault="006C42DD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C42DD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затверджений рішенням Київської міської ради від 11.10.2018 № 1875/5939 «Про затвердження детального плану території промрайону «Троєщина» на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            </w:t>
            </w:r>
            <w:r w:rsidRPr="006C42DD">
              <w:rPr>
                <w:b w:val="0"/>
                <w:bCs w:val="0"/>
                <w:i/>
                <w:sz w:val="24"/>
                <w:szCs w:val="24"/>
              </w:rPr>
              <w:t>вул. Пухівській у Деснянському районі м. Києва» (далі -</w:t>
            </w:r>
            <w:r w:rsidR="00760BF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6C42DD">
              <w:rPr>
                <w:b w:val="0"/>
                <w:bCs w:val="0"/>
                <w:i/>
                <w:sz w:val="24"/>
                <w:szCs w:val="24"/>
              </w:rPr>
              <w:t>ДПТ).</w:t>
            </w:r>
          </w:p>
          <w:p w14:paraId="112E87C4" w14:textId="10633DEC" w:rsidR="006C42DD" w:rsidRPr="00EE137E" w:rsidRDefault="006C42DD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C42DD">
              <w:rPr>
                <w:b w:val="0"/>
                <w:bCs w:val="0"/>
                <w:i/>
                <w:sz w:val="24"/>
                <w:szCs w:val="24"/>
              </w:rPr>
              <w:t xml:space="preserve">Функціональне призначення згідно з ДПТ – території </w:t>
            </w:r>
            <w:r w:rsidR="00343D7C">
              <w:rPr>
                <w:b w:val="0"/>
                <w:bCs w:val="0"/>
                <w:i/>
                <w:sz w:val="24"/>
                <w:szCs w:val="24"/>
              </w:rPr>
              <w:t>г</w:t>
            </w:r>
            <w:r w:rsidRPr="006C42DD">
              <w:rPr>
                <w:b w:val="0"/>
                <w:bCs w:val="0"/>
                <w:i/>
                <w:sz w:val="24"/>
                <w:szCs w:val="24"/>
              </w:rPr>
              <w:t>ромадських будівель та споруд (існуючі).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9354F8E" w:rsidR="00823CCF" w:rsidRPr="00EE137E" w:rsidRDefault="006C42DD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C42DD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C42D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606CF7E" w14:textId="50664BCD" w:rsidR="004F089D" w:rsidRPr="004F089D" w:rsidRDefault="004F089D" w:rsidP="004F089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089D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 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023A6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023A6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5AEB413" w14:textId="35012CC5" w:rsidR="00907FF6" w:rsidRPr="00EE137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розпорядження Київської міської державної адміністрації від 26.02.1998 № 413 передавалась Товариству в тимчасове довгострокове користування на умовах оренди строком на 25 років </w:t>
            </w:r>
            <w:r w:rsidR="006E6682"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для обслуговування та експлуатації комбінату харчування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="006E6682"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="006E6682"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право тимчасового користування землею на умовах оренди від 30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</w:rPr>
              <w:t>.12.</w:t>
            </w:r>
            <w:r w:rsidR="006E6682"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1999 № 62-5-00046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F39B81" w14:textId="091F61EE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023A6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6E6682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30.12.2024.</w:t>
            </w:r>
          </w:p>
          <w:p w14:paraId="507D98A6" w14:textId="77777777" w:rsidR="006E6682" w:rsidRPr="00EE137E" w:rsidRDefault="006E6682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0981680B" w14:textId="327C4093" w:rsidR="006E6682" w:rsidRPr="006E6682" w:rsidRDefault="006E6682" w:rsidP="006E6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листом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ГУ ДПС у м. Києві від 2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                              № 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72677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/6/26-15-13-01-08 станом на 1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.2024 за Товариством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3F21CC">
              <w:rPr>
                <w:rFonts w:ascii="Times New Roman" w:eastAsia="Times New Roman" w:hAnsi="Times New Roman" w:cs="Times New Roman"/>
                <w:i/>
                <w:color w:val="auto"/>
              </w:rPr>
              <w:t>заборгованість зі сплати орендної плати</w:t>
            </w: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 обліковується.</w:t>
            </w:r>
          </w:p>
          <w:p w14:paraId="448128AB" w14:textId="77777777" w:rsidR="006E6682" w:rsidRPr="006E6682" w:rsidRDefault="006E6682" w:rsidP="006E6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E668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 12.12.2024                             № 36062/5/26-15-13-01-05  станом на 01.12.2024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2937732D" w14:textId="77777777" w:rsidR="005D67B0" w:rsidRPr="00EE137E" w:rsidRDefault="005D67B0" w:rsidP="00F620DD">
            <w:pPr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0BD450D5" w14:textId="77777777" w:rsidR="00343D7C" w:rsidRPr="00343D7C" w:rsidRDefault="00343D7C" w:rsidP="00343D7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343D7C">
              <w:rPr>
                <w:rFonts w:ascii="Times New Roman" w:hAnsi="Times New Roman" w:cs="Times New Roman"/>
                <w:i/>
              </w:rPr>
              <w:t xml:space="preserve">Зазначаємо, що Департамент не може перебирати на себе повноваження Київської міської ради та приймати рішення про поновлення або відмову в поновленні договору оренди земельних ділянок,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BAB2226" w14:textId="77777777" w:rsidR="006E6682" w:rsidRPr="005D67B0" w:rsidRDefault="006E6682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13A2CF0D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7EDDBBE" w14:textId="77777777" w:rsidR="005D67B0" w:rsidRPr="005D67B0" w:rsidRDefault="005D67B0" w:rsidP="005D67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2B1406CE" w:rsidR="00DE0E7B" w:rsidRPr="001D49C8" w:rsidRDefault="005D67B0" w:rsidP="005D67B0">
            <w:pPr>
              <w:jc w:val="both"/>
              <w:rPr>
                <w:lang w:val="ru-RU"/>
              </w:rPr>
            </w:pPr>
            <w:r w:rsidRPr="005D67B0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8C4013E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</w:t>
      </w:r>
      <w:r w:rsidR="003A28F5" w:rsidRPr="003A28F5">
        <w:rPr>
          <w:i w:val="0"/>
          <w:sz w:val="24"/>
          <w:szCs w:val="24"/>
        </w:rPr>
        <w:t>абзац</w:t>
      </w:r>
      <w:r w:rsidR="003A28F5">
        <w:rPr>
          <w:i w:val="0"/>
          <w:sz w:val="24"/>
          <w:szCs w:val="24"/>
        </w:rPr>
        <w:t>ом</w:t>
      </w:r>
      <w:r w:rsidR="003A28F5" w:rsidRPr="003A28F5">
        <w:rPr>
          <w:i w:val="0"/>
          <w:sz w:val="24"/>
          <w:szCs w:val="24"/>
        </w:rPr>
        <w:t xml:space="preserve"> четверт</w:t>
      </w:r>
      <w:r w:rsidR="003A28F5">
        <w:rPr>
          <w:i w:val="0"/>
          <w:sz w:val="24"/>
          <w:szCs w:val="24"/>
        </w:rPr>
        <w:t>им</w:t>
      </w:r>
      <w:r w:rsidR="003A28F5" w:rsidRPr="003A28F5">
        <w:rPr>
          <w:i w:val="0"/>
          <w:sz w:val="24"/>
          <w:szCs w:val="24"/>
        </w:rPr>
        <w:t xml:space="preserve"> розділу IX «Перехідні положення» Закону України «Про оренду землі», </w:t>
      </w:r>
      <w:r w:rsidRPr="001D49C8">
        <w:rPr>
          <w:i w:val="0"/>
          <w:sz w:val="24"/>
          <w:szCs w:val="24"/>
        </w:rPr>
        <w:t>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рішення </w:t>
      </w:r>
      <w:r w:rsidRPr="006E6682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6E6682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76FCB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E76FCB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037B84" w:rsidRDefault="006A19DF" w:rsidP="006E6682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41DE0D1C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6E6682" w:rsidRPr="006E6682">
        <w:rPr>
          <w:i w:val="0"/>
          <w:sz w:val="24"/>
          <w:szCs w:val="24"/>
        </w:rPr>
        <w:t>05.12.2024 № 426/10234 «Про бюджет міста Києва на 2025 рік</w:t>
      </w:r>
      <w:r w:rsidR="003F1E3E" w:rsidRPr="003F1E3E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6E6682">
        <w:rPr>
          <w:b/>
          <w:sz w:val="24"/>
          <w:szCs w:val="24"/>
          <w:shd w:val="clear" w:color="auto" w:fill="FFFFFF"/>
        </w:rPr>
        <w:t>1 506 973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6E6682">
        <w:rPr>
          <w:b/>
          <w:sz w:val="24"/>
          <w:szCs w:val="24"/>
          <w:shd w:val="clear" w:color="auto" w:fill="FFFFFF"/>
        </w:rPr>
        <w:t xml:space="preserve"> 66 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6E6682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F85767" w14:textId="77777777" w:rsidR="006E6682" w:rsidRDefault="006E6682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1F44EA9D" w14:textId="77777777" w:rsidR="006E6682" w:rsidRPr="00037B84" w:rsidRDefault="006E6682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11C9D222" w14:textId="2A9D3978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760BF8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23A68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23A68">
          <w:rPr>
            <w:i w:val="0"/>
            <w:sz w:val="12"/>
            <w:szCs w:val="12"/>
            <w:lang w:val="ru-RU"/>
          </w:rPr>
          <w:t>-75945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023A68">
          <w:rPr>
            <w:i w:val="0"/>
            <w:sz w:val="12"/>
            <w:szCs w:val="12"/>
            <w:lang w:val="ru-RU"/>
          </w:rPr>
          <w:t>10.01.2025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023A68">
          <w:rPr>
            <w:i w:val="0"/>
            <w:sz w:val="12"/>
            <w:szCs w:val="12"/>
            <w:lang w:val="ru-RU"/>
          </w:rPr>
          <w:t>444056137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C351D74"/>
    <w:multiLevelType w:val="hybridMultilevel"/>
    <w:tmpl w:val="E2E0273A"/>
    <w:lvl w:ilvl="0" w:tplc="1BFA8C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F87"/>
    <w:multiLevelType w:val="hybridMultilevel"/>
    <w:tmpl w:val="C24A420E"/>
    <w:lvl w:ilvl="0" w:tplc="A18026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E038F"/>
    <w:multiLevelType w:val="hybridMultilevel"/>
    <w:tmpl w:val="02D8708E"/>
    <w:lvl w:ilvl="0" w:tplc="7534D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5786">
    <w:abstractNumId w:val="0"/>
  </w:num>
  <w:num w:numId="2" w16cid:durableId="893005605">
    <w:abstractNumId w:val="2"/>
  </w:num>
  <w:num w:numId="3" w16cid:durableId="678891605">
    <w:abstractNumId w:val="3"/>
  </w:num>
  <w:num w:numId="4" w16cid:durableId="87851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23A68"/>
    <w:rsid w:val="00034D1E"/>
    <w:rsid w:val="00037B84"/>
    <w:rsid w:val="00045F3B"/>
    <w:rsid w:val="000478E5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137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1F9A"/>
    <w:rsid w:val="00303CF1"/>
    <w:rsid w:val="00316BBB"/>
    <w:rsid w:val="00333098"/>
    <w:rsid w:val="0033417F"/>
    <w:rsid w:val="00343979"/>
    <w:rsid w:val="00343D7C"/>
    <w:rsid w:val="003525A6"/>
    <w:rsid w:val="0035749D"/>
    <w:rsid w:val="003842F5"/>
    <w:rsid w:val="00385014"/>
    <w:rsid w:val="003A28F5"/>
    <w:rsid w:val="003C2921"/>
    <w:rsid w:val="003D2E2D"/>
    <w:rsid w:val="003E0CE3"/>
    <w:rsid w:val="003E1B2C"/>
    <w:rsid w:val="003E769A"/>
    <w:rsid w:val="003F1994"/>
    <w:rsid w:val="003F1E3E"/>
    <w:rsid w:val="003F21CC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4F089D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2445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C42DD"/>
    <w:rsid w:val="006D0088"/>
    <w:rsid w:val="006D6CD8"/>
    <w:rsid w:val="006D791C"/>
    <w:rsid w:val="006D7E33"/>
    <w:rsid w:val="006E16C7"/>
    <w:rsid w:val="006E6682"/>
    <w:rsid w:val="006E7465"/>
    <w:rsid w:val="006F560A"/>
    <w:rsid w:val="0070323B"/>
    <w:rsid w:val="00714CB9"/>
    <w:rsid w:val="00721AD9"/>
    <w:rsid w:val="007223E9"/>
    <w:rsid w:val="007231FE"/>
    <w:rsid w:val="00751508"/>
    <w:rsid w:val="007552C1"/>
    <w:rsid w:val="0076092B"/>
    <w:rsid w:val="00760BF8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A6A5C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43700"/>
    <w:rsid w:val="00A71A8F"/>
    <w:rsid w:val="00A87093"/>
    <w:rsid w:val="00AA7E2D"/>
    <w:rsid w:val="00AD0630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C2BC3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5BAA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A54F4"/>
    <w:rsid w:val="00DD34E7"/>
    <w:rsid w:val="00DE0E7B"/>
    <w:rsid w:val="00DF2217"/>
    <w:rsid w:val="00E05220"/>
    <w:rsid w:val="00E27308"/>
    <w:rsid w:val="00E40910"/>
    <w:rsid w:val="00E5752E"/>
    <w:rsid w:val="00E7338E"/>
    <w:rsid w:val="00E76FCB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8345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20</cp:revision>
  <cp:lastPrinted>2025-01-10T09:06:00Z</cp:lastPrinted>
  <dcterms:created xsi:type="dcterms:W3CDTF">2024-02-20T12:49:00Z</dcterms:created>
  <dcterms:modified xsi:type="dcterms:W3CDTF">2025-01-15T11:43:00Z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2025-01-10T09:01:17Z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1a7291ff-ee96-490d-99fe-3d5567738661</vt:lpwstr>
  </property>
  <property fmtid="{D5CDD505-2E9C-101B-9397-08002B2CF9AE}" pid="8" name="MSIP_Label_defa4170-0d19-0005-0004-bc88714345d2_ContentBits">
    <vt:lpwstr>0</vt:lpwstr>
  </property>
</Properties>
</file>