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424270717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424270717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6C35C311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11257E">
        <w:rPr>
          <w:b/>
          <w:bCs/>
          <w:sz w:val="24"/>
          <w:szCs w:val="24"/>
          <w:lang w:val="ru-RU"/>
        </w:rPr>
        <w:t>ПЗН-60969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11257E">
        <w:rPr>
          <w:b/>
          <w:bCs/>
          <w:sz w:val="24"/>
          <w:szCs w:val="24"/>
          <w:lang w:val="ru-RU"/>
        </w:rPr>
        <w:t>12.01.2024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254BE6A0" w:rsidR="00E17376" w:rsidRDefault="0011257E" w:rsidP="0011257E">
      <w:pPr>
        <w:pStyle w:val="1"/>
        <w:shd w:val="clear" w:color="auto" w:fill="auto"/>
        <w:spacing w:after="0" w:line="226" w:lineRule="auto"/>
        <w:ind w:right="2409" w:firstLine="142"/>
        <w:jc w:val="center"/>
        <w:rPr>
          <w:b/>
          <w:i/>
          <w:iCs/>
          <w:sz w:val="24"/>
          <w:szCs w:val="24"/>
        </w:rPr>
      </w:pPr>
      <w:r w:rsidRPr="0011257E">
        <w:rPr>
          <w:b/>
          <w:i/>
          <w:iCs/>
          <w:sz w:val="24"/>
          <w:szCs w:val="24"/>
        </w:rPr>
        <w:t>Про передачу громадянці Каменській Таїсі Павлівні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Завальній, 13-Б у Дарницькому районі міста Києва</w:t>
      </w:r>
    </w:p>
    <w:p w14:paraId="6BDB4C02" w14:textId="77777777" w:rsidR="0011257E" w:rsidRPr="003774B2" w:rsidRDefault="0011257E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Каменська Таїса Павлівна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12.12.2023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424270717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8000000000:90:818:0042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2"/>
        <w:gridCol w:w="6209"/>
      </w:tblGrid>
      <w:tr w:rsidR="00E659C4" w14:paraId="4ACF000F" w14:textId="77777777" w:rsidTr="00EA27C8">
        <w:tc>
          <w:tcPr>
            <w:tcW w:w="3374" w:type="dxa"/>
          </w:tcPr>
          <w:p w14:paraId="769D59FF" w14:textId="0F8C7AFD" w:rsidR="00E659C4" w:rsidRDefault="00855E2F" w:rsidP="00EA27C8">
            <w:pPr>
              <w:pStyle w:val="a7"/>
              <w:shd w:val="clear" w:color="auto" w:fill="auto"/>
              <w:spacing w:line="240" w:lineRule="auto"/>
              <w:ind w:left="-83" w:hanging="22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Місце розташування </w:t>
            </w:r>
            <w:r w:rsidR="004F06EF"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(адреса):</w:t>
            </w:r>
          </w:p>
        </w:tc>
        <w:tc>
          <w:tcPr>
            <w:tcW w:w="6373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Завальна, 13-Б у Дарницькому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0,0557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7BFA18B3" w:rsidR="00E659C4" w:rsidRPr="00EA27C8" w:rsidRDefault="0011257E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11257E"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11257E" w14:paraId="7517B06A" w14:textId="77777777" w:rsidTr="00EA27C8">
        <w:tc>
          <w:tcPr>
            <w:tcW w:w="3374" w:type="dxa"/>
          </w:tcPr>
          <w:p w14:paraId="70D7E4DF" w14:textId="37B8F20F" w:rsidR="0011257E" w:rsidRDefault="0011257E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1257E">
              <w:rPr>
                <w:b w:val="0"/>
                <w:i/>
                <w:sz w:val="24"/>
                <w:szCs w:val="24"/>
              </w:rPr>
              <w:t>Категорія земель</w:t>
            </w:r>
          </w:p>
        </w:tc>
        <w:tc>
          <w:tcPr>
            <w:tcW w:w="6373" w:type="dxa"/>
          </w:tcPr>
          <w:p w14:paraId="25742E0F" w14:textId="288194FE" w:rsidR="0011257E" w:rsidRPr="0011257E" w:rsidRDefault="0011257E" w:rsidP="00EA27C8">
            <w:pPr>
              <w:pStyle w:val="a7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11257E"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61CC3421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11257E" w:rsidRPr="0011257E">
              <w:rPr>
                <w:b w:val="0"/>
                <w:i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373" w:type="dxa"/>
          </w:tcPr>
          <w:p w14:paraId="1AB1CB5D" w14:textId="3A73749B" w:rsidR="00E659C4" w:rsidRPr="00EA27C8" w:rsidRDefault="0011257E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1257E">
              <w:rPr>
                <w:b w:val="0"/>
                <w:i/>
                <w:sz w:val="24"/>
                <w:szCs w:val="24"/>
              </w:rPr>
              <w:t>02.01 для будівництва і обслуговування житлового будинку, господарських будівель і споруд (присадибна ділянка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08D61AC6" w14:textId="77777777" w:rsidR="0011257E" w:rsidRPr="0011257E" w:rsidRDefault="0011257E" w:rsidP="0011257E">
      <w:pPr>
        <w:pStyle w:val="1"/>
        <w:spacing w:after="40" w:line="233" w:lineRule="auto"/>
        <w:jc w:val="both"/>
        <w:rPr>
          <w:sz w:val="24"/>
          <w:szCs w:val="24"/>
        </w:rPr>
      </w:pPr>
      <w:r w:rsidRPr="0011257E">
        <w:rPr>
          <w:sz w:val="24"/>
          <w:szCs w:val="24"/>
        </w:rPr>
        <w:t>На замовлення зацікавленої особи землевпорядною організацією розроблено проєкт землеустрою щодо відведення земельної ділянки.</w:t>
      </w:r>
    </w:p>
    <w:p w14:paraId="135E12BE" w14:textId="2DA7C49F" w:rsidR="0011257E" w:rsidRPr="0011257E" w:rsidRDefault="0011257E" w:rsidP="0011257E">
      <w:pPr>
        <w:pStyle w:val="1"/>
        <w:shd w:val="clear" w:color="auto" w:fill="auto"/>
        <w:spacing w:after="40" w:line="233" w:lineRule="auto"/>
        <w:jc w:val="both"/>
        <w:rPr>
          <w:b/>
          <w:i/>
          <w:iCs/>
          <w:sz w:val="24"/>
          <w:szCs w:val="24"/>
        </w:rPr>
      </w:pPr>
      <w:r w:rsidRPr="0011257E">
        <w:rPr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</w:t>
      </w:r>
      <w:r>
        <w:rPr>
          <w:sz w:val="24"/>
          <w:szCs w:val="24"/>
        </w:rPr>
        <w:t xml:space="preserve"> рішення Київської міської ради</w:t>
      </w:r>
      <w:r w:rsidRPr="0011257E">
        <w:rPr>
          <w:sz w:val="24"/>
          <w:szCs w:val="24"/>
        </w:rPr>
        <w:t xml:space="preserve"> «</w:t>
      </w:r>
      <w:r w:rsidRPr="0011257E">
        <w:rPr>
          <w:iCs/>
          <w:sz w:val="24"/>
          <w:szCs w:val="24"/>
        </w:rPr>
        <w:t>Про передачу громадянці Каменській Таїсі Павлівні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Завальній, 13-Б у Дарницькому районі міста Києва</w:t>
      </w:r>
      <w:r>
        <w:rPr>
          <w:iCs/>
          <w:sz w:val="24"/>
          <w:szCs w:val="24"/>
        </w:rPr>
        <w:t>».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8841F1">
        <w:trPr>
          <w:cantSplit/>
          <w:trHeight w:val="2264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2A5ADDE6" w:rsidR="00E12AC0" w:rsidRPr="0011257E" w:rsidRDefault="0011257E" w:rsidP="00DA717D">
            <w:pPr>
              <w:pStyle w:val="1"/>
              <w:ind w:hanging="32"/>
              <w:jc w:val="both"/>
              <w:rPr>
                <w:i/>
                <w:sz w:val="24"/>
                <w:szCs w:val="24"/>
              </w:rPr>
            </w:pPr>
            <w:r w:rsidRPr="00DA717D">
              <w:rPr>
                <w:i/>
                <w:sz w:val="24"/>
                <w:szCs w:val="24"/>
              </w:rPr>
              <w:t>Земельна ділянка забудована житловим</w:t>
            </w:r>
            <w:r w:rsidR="00DA717D" w:rsidRPr="00DA717D">
              <w:rPr>
                <w:i/>
                <w:sz w:val="24"/>
                <w:szCs w:val="24"/>
              </w:rPr>
              <w:t xml:space="preserve"> будинком загальною площею 493,8</w:t>
            </w:r>
            <w:r w:rsidRPr="00DA717D">
              <w:rPr>
                <w:i/>
                <w:sz w:val="24"/>
                <w:szCs w:val="24"/>
              </w:rPr>
              <w:t xml:space="preserve"> кв. м, який належить на праві приватної в</w:t>
            </w:r>
            <w:r w:rsidR="00DA717D" w:rsidRPr="00DA717D">
              <w:rPr>
                <w:i/>
                <w:sz w:val="24"/>
                <w:szCs w:val="24"/>
              </w:rPr>
              <w:t>ласності громадянці Каменській Таїсі Павлівні</w:t>
            </w:r>
            <w:r w:rsidRPr="00DA717D">
              <w:rPr>
                <w:i/>
                <w:sz w:val="24"/>
                <w:szCs w:val="24"/>
              </w:rPr>
              <w:t xml:space="preserve"> (інформаційна довідка з Державного реєстру речови</w:t>
            </w:r>
            <w:r w:rsidR="00DA717D" w:rsidRPr="00DA717D">
              <w:rPr>
                <w:i/>
                <w:sz w:val="24"/>
                <w:szCs w:val="24"/>
              </w:rPr>
              <w:t>х прав на нерухоме майно  від 12.01.2024  № 361650723</w:t>
            </w:r>
            <w:r w:rsidRPr="00DA717D">
              <w:rPr>
                <w:i/>
                <w:sz w:val="24"/>
                <w:szCs w:val="24"/>
              </w:rPr>
              <w:t>), реєстраційний номер об'єкт</w:t>
            </w:r>
            <w:r w:rsidR="00DA717D" w:rsidRPr="00DA717D">
              <w:rPr>
                <w:i/>
                <w:sz w:val="24"/>
                <w:szCs w:val="24"/>
              </w:rPr>
              <w:t>а нерухомого майна 1795488580000</w:t>
            </w:r>
            <w:r w:rsidRPr="00DA717D">
              <w:rPr>
                <w:i/>
                <w:sz w:val="24"/>
                <w:szCs w:val="24"/>
              </w:rPr>
              <w:t xml:space="preserve">, </w:t>
            </w:r>
            <w:r w:rsidR="00DA717D" w:rsidRPr="00DA717D">
              <w:rPr>
                <w:i/>
                <w:sz w:val="24"/>
                <w:szCs w:val="24"/>
              </w:rPr>
              <w:t>запис про право власності від 26.03.2019                № 30878555</w:t>
            </w:r>
            <w:r w:rsidRPr="00DA717D">
              <w:rPr>
                <w:i/>
                <w:sz w:val="24"/>
                <w:szCs w:val="24"/>
              </w:rPr>
              <w:t>.</w:t>
            </w:r>
          </w:p>
        </w:tc>
      </w:tr>
      <w:tr w:rsidR="00E12AC0" w:rsidRPr="003774B2" w14:paraId="44C55D8C" w14:textId="77777777" w:rsidTr="008841F1">
        <w:trPr>
          <w:cantSplit/>
          <w:trHeight w:val="699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8841F1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3500B728" w:rsidR="00E12AC0" w:rsidRPr="00E12AC0" w:rsidRDefault="0011257E" w:rsidP="00027F6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1257E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</w:t>
            </w:r>
            <w:r w:rsidR="00027F65">
              <w:rPr>
                <w:bCs/>
                <w:i/>
                <w:sz w:val="24"/>
                <w:szCs w:val="24"/>
              </w:rPr>
              <w:t>е</w:t>
            </w:r>
            <w:r w:rsidRPr="0011257E">
              <w:rPr>
                <w:bCs/>
                <w:i/>
                <w:sz w:val="24"/>
                <w:szCs w:val="24"/>
              </w:rPr>
              <w:t xml:space="preserve">кту планування його приміської зони на період до 2020 року, затвердженого рішенням Київської міської ради                         від 28.03.2002 № 370/1804, земельна ділянка за функціональним призначенням належить до території </w:t>
            </w:r>
            <w:r w:rsidR="00F01765" w:rsidRPr="00F01765">
              <w:rPr>
                <w:bCs/>
                <w:i/>
                <w:sz w:val="24"/>
                <w:szCs w:val="24"/>
              </w:rPr>
              <w:t xml:space="preserve">житлової садибної забудови </w:t>
            </w:r>
            <w:r w:rsidR="00F01765">
              <w:rPr>
                <w:bCs/>
                <w:i/>
                <w:sz w:val="24"/>
                <w:szCs w:val="24"/>
              </w:rPr>
              <w:t>(перспективні).</w:t>
            </w:r>
          </w:p>
        </w:tc>
      </w:tr>
      <w:tr w:rsidR="00765699" w:rsidRPr="003774B2" w14:paraId="67EEAA64" w14:textId="77777777" w:rsidTr="008841F1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8841F1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8841F1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763994A3" w14:textId="5E6A2DD5" w:rsidR="00F01765" w:rsidRDefault="00F01765" w:rsidP="0011257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017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</w:t>
            </w:r>
            <w:r w:rsidR="00A43E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нка на вул. Завальній, 13-Б</w:t>
            </w:r>
            <w:r w:rsidRPr="00F017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Дарницькому районі м. Києва (</w:t>
            </w:r>
            <w:r w:rsidR="00A43E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кадастровий номер  8000000000:90:818:0042</w:t>
            </w:r>
            <w:r w:rsidRPr="00F017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сформована та зареєстрована в Державному земельному кадастрі на підставі розробленої технічної документації із землеустрою щодо встановлення (відновлення) меж земельної ділянки в натурі (на місцевості). Рішення про передачу у власність чи користування зазначеної земельної ділянки Київською міською радою не приймалось. Документи, що посвідчують право власності чи користування зазначеною земельною ділянкою відсутні.</w:t>
            </w:r>
          </w:p>
          <w:p w14:paraId="61512E5E" w14:textId="7EA40AA7" w:rsidR="0011257E" w:rsidRPr="0011257E" w:rsidRDefault="0011257E" w:rsidP="0011257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1257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26CBB59" w14:textId="77777777" w:rsidR="0011257E" w:rsidRPr="0011257E" w:rsidRDefault="0011257E" w:rsidP="0011257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1257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Зазначене підтверджується, зокрема, рішеннями Верховного Суду від 28.04.2021 у справі № 826/8857/16,                    від 17.04.2018 у справі № 826/8107/16, від 16.09.2021 у справі  № 826/8847/16. </w:t>
            </w:r>
          </w:p>
          <w:p w14:paraId="205BE7BA" w14:textId="2F21C2B9" w:rsidR="0011257E" w:rsidRPr="0011257E" w:rsidRDefault="0011257E" w:rsidP="0011257E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1257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6A914000" w:rsidR="00812178" w:rsidRPr="003774B2" w:rsidRDefault="00812178" w:rsidP="00BE53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045F99E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Загальні засади та порядок передачі земельних діл</w:t>
      </w:r>
      <w:r w:rsidR="00027F65">
        <w:rPr>
          <w:sz w:val="24"/>
          <w:szCs w:val="24"/>
        </w:rPr>
        <w:t>янок у власність</w:t>
      </w:r>
      <w:r w:rsidRPr="00DF2891">
        <w:rPr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514FDF3C" w:rsidR="009078AA" w:rsidRPr="009078AA" w:rsidRDefault="0011257E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</w:t>
      </w:r>
      <w:r w:rsidR="009078AA" w:rsidRPr="009078AA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2896731" w14:textId="244F6587" w:rsidR="00CA391A" w:rsidRDefault="001802C3" w:rsidP="001802C3">
      <w:pPr>
        <w:pStyle w:val="1"/>
        <w:shd w:val="clear" w:color="auto" w:fill="auto"/>
        <w:spacing w:after="120"/>
        <w:ind w:firstLine="426"/>
        <w:rPr>
          <w:color w:val="auto"/>
          <w:sz w:val="24"/>
          <w:szCs w:val="24"/>
        </w:rPr>
      </w:pPr>
      <w:r w:rsidRPr="001802C3">
        <w:rPr>
          <w:sz w:val="24"/>
          <w:szCs w:val="24"/>
        </w:rPr>
        <w:t xml:space="preserve">Наслідками прийняття розробленого проєкту рішення стане реалізація громадянкою  </w:t>
      </w:r>
      <w:r w:rsidRPr="001802C3">
        <w:rPr>
          <w:sz w:val="24"/>
          <w:szCs w:val="24"/>
        </w:rPr>
        <w:lastRenderedPageBreak/>
        <w:t xml:space="preserve">своїх прав на оформлення земельної ділянки.    </w:t>
      </w:r>
      <w:r w:rsidR="0081082C"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11257E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A978" w14:textId="77777777" w:rsidR="004B1D3F" w:rsidRDefault="00745F89" w:rsidP="004B1D3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</w:t>
    </w:r>
  </w:p>
  <w:p w14:paraId="2E60DAB9" w14:textId="2070C40D" w:rsidR="00862990" w:rsidRPr="007B7541" w:rsidRDefault="004B1D3F" w:rsidP="004B1D3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</w:t>
    </w:r>
    <w:r w:rsidR="00745F89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11257E">
      <w:rPr>
        <w:sz w:val="12"/>
        <w:szCs w:val="12"/>
        <w:lang w:val="ru-RU"/>
      </w:rPr>
      <w:t>ПЗН-60969</w:t>
    </w:r>
    <w:r w:rsidR="00862990">
      <w:rPr>
        <w:sz w:val="12"/>
        <w:szCs w:val="12"/>
      </w:rPr>
      <w:t xml:space="preserve"> від </w:t>
    </w:r>
    <w:r w:rsidR="00B2667F" w:rsidRPr="0011257E">
      <w:rPr>
        <w:sz w:val="12"/>
        <w:szCs w:val="12"/>
        <w:lang w:val="ru-RU"/>
      </w:rPr>
      <w:t>12.01.2024</w:t>
    </w:r>
    <w:r>
      <w:rPr>
        <w:sz w:val="12"/>
        <w:szCs w:val="12"/>
      </w:rPr>
      <w:t xml:space="preserve"> до справи №</w:t>
    </w:r>
    <w:r w:rsidR="00862990">
      <w:rPr>
        <w:sz w:val="12"/>
        <w:szCs w:val="12"/>
      </w:rPr>
      <w:t xml:space="preserve"> 424270717</w:t>
    </w:r>
    <w:r>
      <w:rPr>
        <w:sz w:val="12"/>
        <w:szCs w:val="12"/>
      </w:rPr>
      <w:t xml:space="preserve">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16C20" w:rsidRPr="00716C20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27F65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257E"/>
    <w:rsid w:val="00114807"/>
    <w:rsid w:val="00143284"/>
    <w:rsid w:val="0014558C"/>
    <w:rsid w:val="00150588"/>
    <w:rsid w:val="00155A66"/>
    <w:rsid w:val="00166900"/>
    <w:rsid w:val="001802C3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B1D3F"/>
    <w:rsid w:val="004E1042"/>
    <w:rsid w:val="004E223D"/>
    <w:rsid w:val="004F0681"/>
    <w:rsid w:val="004F06EF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C657A"/>
    <w:rsid w:val="006D0CA1"/>
    <w:rsid w:val="006D0D25"/>
    <w:rsid w:val="006E02F0"/>
    <w:rsid w:val="006F5153"/>
    <w:rsid w:val="00707471"/>
    <w:rsid w:val="00716C20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841F1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3ED4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13C93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A717D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1765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5388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user.kmr</cp:lastModifiedBy>
  <cp:revision>2</cp:revision>
  <cp:lastPrinted>2021-11-25T14:49:00Z</cp:lastPrinted>
  <dcterms:created xsi:type="dcterms:W3CDTF">2024-01-23T10:49:00Z</dcterms:created>
  <dcterms:modified xsi:type="dcterms:W3CDTF">2024-01-23T10:49:00Z</dcterms:modified>
</cp:coreProperties>
</file>