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04FDAC4F" w14:textId="77777777" w:rsidR="00E02AAC" w:rsidRDefault="00E02AAC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43829E3F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390556689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390556689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462935">
        <w:rPr>
          <w:b/>
          <w:bCs/>
          <w:sz w:val="24"/>
          <w:szCs w:val="24"/>
          <w:lang w:val="ru-RU"/>
        </w:rPr>
        <w:t>-53811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462935">
        <w:rPr>
          <w:b/>
          <w:bCs/>
          <w:sz w:val="24"/>
          <w:szCs w:val="24"/>
          <w:lang w:val="ru-RU"/>
        </w:rPr>
        <w:t>01.05.2024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42FAD5E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462935" w:rsidRPr="00462935">
        <w:rPr>
          <w:b/>
          <w:i/>
          <w:sz w:val="24"/>
          <w:szCs w:val="24"/>
        </w:rPr>
        <w:t>поновлення  приватному акціонерному товариству «</w:t>
      </w:r>
      <w:proofErr w:type="spellStart"/>
      <w:r w:rsidR="00462935" w:rsidRPr="00462935">
        <w:rPr>
          <w:b/>
          <w:i/>
          <w:sz w:val="24"/>
          <w:szCs w:val="24"/>
        </w:rPr>
        <w:t>Київрибгосп</w:t>
      </w:r>
      <w:proofErr w:type="spellEnd"/>
      <w:r w:rsidR="00462935" w:rsidRPr="00462935">
        <w:rPr>
          <w:b/>
          <w:i/>
          <w:sz w:val="24"/>
          <w:szCs w:val="24"/>
        </w:rPr>
        <w:t xml:space="preserve">» договору оренди земельної ділянки  від 23 травня 2008 року № 79-6-00622 (зі змінами) для будівництва </w:t>
      </w:r>
      <w:r w:rsidR="006B7BD8" w:rsidRPr="006B7BD8">
        <w:rPr>
          <w:b/>
          <w:i/>
          <w:sz w:val="24"/>
          <w:szCs w:val="24"/>
        </w:rPr>
        <w:t xml:space="preserve">експлуатації </w:t>
      </w:r>
      <w:r w:rsidR="00462935" w:rsidRPr="00462935">
        <w:rPr>
          <w:b/>
          <w:i/>
          <w:sz w:val="24"/>
          <w:szCs w:val="24"/>
        </w:rPr>
        <w:t xml:space="preserve">та обслуговування </w:t>
      </w:r>
      <w:r w:rsidR="006B7BD8">
        <w:rPr>
          <w:b/>
          <w:i/>
          <w:sz w:val="24"/>
          <w:szCs w:val="24"/>
        </w:rPr>
        <w:t>офісних та торгово-розважальних комплексів з об’єктами соціального та оздоровчого призначення</w:t>
      </w:r>
      <w:r w:rsidR="00462935" w:rsidRPr="00462935">
        <w:rPr>
          <w:b/>
          <w:i/>
          <w:sz w:val="24"/>
          <w:szCs w:val="24"/>
        </w:rPr>
        <w:t xml:space="preserve">  на вул. Промисловій, 4 у Голосіївському районі м. 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F1C08A0" w:rsidR="00E94376" w:rsidRPr="004C3A54" w:rsidRDefault="00462935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62935">
              <w:rPr>
                <w:i/>
                <w:sz w:val="24"/>
                <w:szCs w:val="24"/>
              </w:rPr>
              <w:t>Приватне акціонерне товариство «</w:t>
            </w:r>
            <w:proofErr w:type="spellStart"/>
            <w:r w:rsidRPr="00462935">
              <w:rPr>
                <w:i/>
                <w:sz w:val="24"/>
                <w:szCs w:val="24"/>
              </w:rPr>
              <w:t>Київрибгосп</w:t>
            </w:r>
            <w:proofErr w:type="spellEnd"/>
            <w:r w:rsidRPr="00462935">
              <w:rPr>
                <w:i/>
                <w:sz w:val="24"/>
                <w:szCs w:val="24"/>
              </w:rPr>
              <w:t>»                      (ЄДРПОУ 21524641)</w:t>
            </w:r>
            <w:r w:rsidR="004C3A54">
              <w:rPr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4C3A54">
              <w:rPr>
                <w:i/>
                <w:sz w:val="24"/>
                <w:szCs w:val="24"/>
                <w:lang w:val="ru-RU"/>
              </w:rPr>
              <w:t>далі</w:t>
            </w:r>
            <w:proofErr w:type="spellEnd"/>
            <w:r w:rsidR="004C3A54">
              <w:rPr>
                <w:i/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4C3A54" w:rsidRPr="004C3A54">
              <w:rPr>
                <w:i/>
                <w:sz w:val="24"/>
                <w:szCs w:val="24"/>
                <w:lang w:val="ru-RU"/>
              </w:rPr>
              <w:t>ПрАТ</w:t>
            </w:r>
            <w:proofErr w:type="spellEnd"/>
            <w:r w:rsidR="004C3A54" w:rsidRPr="004C3A54">
              <w:rPr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C3A54" w:rsidRPr="004C3A54">
              <w:rPr>
                <w:i/>
                <w:sz w:val="24"/>
                <w:szCs w:val="24"/>
                <w:lang w:val="ru-RU"/>
              </w:rPr>
              <w:t>Київрибгосп</w:t>
            </w:r>
            <w:proofErr w:type="spellEnd"/>
            <w:r w:rsidR="004C3A54" w:rsidRPr="004C3A54">
              <w:rPr>
                <w:i/>
                <w:sz w:val="24"/>
                <w:szCs w:val="24"/>
                <w:lang w:val="ru-RU"/>
              </w:rPr>
              <w:t>»</w:t>
            </w:r>
            <w:r w:rsidR="004C3A54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57A045A2" w14:textId="77777777" w:rsidR="00462935" w:rsidRPr="00462935" w:rsidRDefault="00462935" w:rsidP="0046293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2935">
              <w:rPr>
                <w:i/>
                <w:sz w:val="24"/>
                <w:szCs w:val="24"/>
              </w:rPr>
              <w:t>ЗАГАЛЬНА КІЛЬКІСТЬ АКЦІОНЕРІВ ЗГІДНО РЕЄСТРУ</w:t>
            </w:r>
          </w:p>
          <w:p w14:paraId="3A9C4805" w14:textId="77777777" w:rsidR="00462935" w:rsidRPr="00462935" w:rsidRDefault="00462935" w:rsidP="0046293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2935">
              <w:rPr>
                <w:i/>
                <w:sz w:val="24"/>
                <w:szCs w:val="24"/>
              </w:rPr>
              <w:t>Розмір внеску до статутного фонду: 7 607 299,00 грн;</w:t>
            </w:r>
          </w:p>
          <w:p w14:paraId="6643096C" w14:textId="1883BE70" w:rsidR="00E94376" w:rsidRPr="00123E08" w:rsidRDefault="00462935" w:rsidP="0046293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2935">
              <w:rPr>
                <w:i/>
                <w:sz w:val="24"/>
                <w:szCs w:val="24"/>
              </w:rPr>
              <w:t>Частка: 100 %.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C7A8B69" w14:textId="7B31B652" w:rsidR="00E94376" w:rsidRPr="00037B84" w:rsidRDefault="00001A29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01A29">
              <w:rPr>
                <w:i/>
                <w:sz w:val="24"/>
                <w:szCs w:val="24"/>
              </w:rPr>
              <w:t>Відсутній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28.03.2023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390556689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8000000000:90:116:0060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Промислова, 4 у Голосіївському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6293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66,1432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20D0F6C5" w:rsidR="008A338E" w:rsidRPr="00123E08" w:rsidRDefault="00CC4E46" w:rsidP="004C3A54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>ренда на</w:t>
            </w:r>
            <w:r w:rsidR="004C3A54">
              <w:rPr>
                <w:b/>
                <w:i/>
                <w:sz w:val="24"/>
                <w:szCs w:val="24"/>
              </w:rPr>
              <w:t xml:space="preserve"> 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464168FA" w:rsidR="006764C8" w:rsidRPr="00462935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03.10</w:t>
            </w:r>
            <w:r w:rsidR="005769B6" w:rsidRPr="00462935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462935">
              <w:rPr>
                <w:b/>
                <w:i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62935">
              <w:rPr>
                <w:b/>
                <w:i/>
                <w:sz w:val="24"/>
                <w:szCs w:val="24"/>
              </w:rPr>
              <w:t xml:space="preserve"> (</w:t>
            </w:r>
            <w:r w:rsidR="00E02AAC" w:rsidRPr="00E02AAC">
              <w:rPr>
                <w:b/>
                <w:i/>
                <w:sz w:val="24"/>
                <w:szCs w:val="24"/>
              </w:rPr>
              <w:t>для будівництва експлуатації та обслуговування офісних та торгово-розважальних комплексів з об’єктами соціальн</w:t>
            </w:r>
            <w:r w:rsidR="00E02AAC">
              <w:rPr>
                <w:b/>
                <w:i/>
                <w:sz w:val="24"/>
                <w:szCs w:val="24"/>
              </w:rPr>
              <w:t>ого та оздоровчого призначення</w:t>
            </w:r>
            <w:r w:rsidRPr="0046293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462935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2F20CF1" w14:textId="77777777" w:rsidR="004C3A54" w:rsidRDefault="004C3A54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1F33B602" w:rsidR="006D7E33" w:rsidRPr="00056A2A" w:rsidRDefault="004C3A54" w:rsidP="004C3A54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4C3A54">
              <w:rPr>
                <w:b/>
                <w:i/>
                <w:sz w:val="24"/>
                <w:szCs w:val="24"/>
                <w:shd w:val="clear" w:color="auto" w:fill="FFFFFF"/>
              </w:rPr>
              <w:t>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4C3A54">
              <w:rPr>
                <w:b/>
                <w:i/>
                <w:sz w:val="24"/>
                <w:szCs w:val="24"/>
                <w:shd w:val="clear" w:color="auto" w:fill="FFFFFF"/>
              </w:rPr>
              <w:t>594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4C3A54">
              <w:rPr>
                <w:b/>
                <w:i/>
                <w:sz w:val="24"/>
                <w:szCs w:val="24"/>
                <w:shd w:val="clear" w:color="auto" w:fill="FFFFFF"/>
              </w:rPr>
              <w:t>752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4C3A54">
              <w:rPr>
                <w:b/>
                <w:i/>
                <w:sz w:val="24"/>
                <w:szCs w:val="24"/>
                <w:shd w:val="clear" w:color="auto" w:fill="FFFFFF"/>
              </w:rPr>
              <w:t>823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,</w:t>
            </w:r>
            <w:r w:rsidRPr="004C3A54">
              <w:rPr>
                <w:b/>
                <w:i/>
                <w:sz w:val="24"/>
                <w:szCs w:val="24"/>
                <w:shd w:val="clear" w:color="auto" w:fill="FFFFFF"/>
              </w:rPr>
              <w:t>71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</w:t>
            </w:r>
          </w:p>
        </w:tc>
      </w:tr>
    </w:tbl>
    <w:p w14:paraId="1EE201F4" w14:textId="60507F31" w:rsidR="008A338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0B2C6607" w14:textId="77777777" w:rsidR="0093514C" w:rsidRPr="00553E8C" w:rsidRDefault="0093514C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5D16F1E" w14:textId="55826D32" w:rsidR="0092552D" w:rsidRDefault="0092552D" w:rsidP="00E02AAC">
      <w:pPr>
        <w:pStyle w:val="a7"/>
        <w:shd w:val="clear" w:color="auto" w:fill="auto"/>
        <w:ind w:right="283"/>
        <w:rPr>
          <w:sz w:val="24"/>
          <w:szCs w:val="24"/>
        </w:rPr>
      </w:pPr>
    </w:p>
    <w:p w14:paraId="04022EE6" w14:textId="77777777" w:rsidR="00E02AAC" w:rsidRDefault="00E02AA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92C9E5F" w14:textId="77777777" w:rsidR="00E02AAC" w:rsidRDefault="00E02AA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6904A72" w14:textId="77777777" w:rsidR="00E02AAC" w:rsidRDefault="00E02AA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376FA2B" w14:textId="77777777" w:rsidR="00E02AAC" w:rsidRDefault="00E02AA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65A62C84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4DD668DD" w14:textId="28770CA1" w:rsidR="004C3A54" w:rsidRPr="00553D1C" w:rsidRDefault="004C3A54" w:rsidP="004C3A54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F322C5">
              <w:rPr>
                <w:b w:val="0"/>
                <w:i/>
                <w:color w:val="auto"/>
                <w:sz w:val="24"/>
                <w:szCs w:val="24"/>
              </w:rPr>
              <w:t xml:space="preserve">Забудована. На земельній ділянці розміщується комплекс будівель та споруд у занедбаному стані, які частково використовуються для розведення риби та частково як </w:t>
            </w:r>
            <w:proofErr w:type="spellStart"/>
            <w:r w:rsidRPr="00F322C5">
              <w:rPr>
                <w:b w:val="0"/>
                <w:i/>
                <w:color w:val="auto"/>
                <w:sz w:val="24"/>
                <w:szCs w:val="24"/>
              </w:rPr>
              <w:t>адмінбудівлі</w:t>
            </w:r>
            <w:proofErr w:type="spellEnd"/>
            <w:r w:rsidRPr="00F322C5">
              <w:rPr>
                <w:b w:val="0"/>
                <w:i/>
                <w:color w:val="auto"/>
                <w:sz w:val="24"/>
                <w:szCs w:val="24"/>
              </w:rPr>
              <w:t xml:space="preserve">. У межах ділянки знаходиться декілька водойм, у яких розводять рибу. Деякі приміщення здаються в оренду 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               </w:t>
            </w:r>
            <w:r>
              <w:rPr>
                <w:b w:val="0"/>
                <w:i/>
                <w:sz w:val="24"/>
                <w:szCs w:val="24"/>
              </w:rPr>
              <w:t>(акт обстеження від 0</w:t>
            </w:r>
            <w:r w:rsidR="002155C2">
              <w:rPr>
                <w:b w:val="0"/>
                <w:i/>
                <w:sz w:val="24"/>
                <w:szCs w:val="24"/>
              </w:rPr>
              <w:t>2</w:t>
            </w:r>
            <w:r>
              <w:rPr>
                <w:b w:val="0"/>
                <w:i/>
                <w:sz w:val="24"/>
                <w:szCs w:val="24"/>
              </w:rPr>
              <w:t>.05.202</w:t>
            </w:r>
            <w:r w:rsidR="00054102">
              <w:rPr>
                <w:b w:val="0"/>
                <w:i/>
                <w:sz w:val="24"/>
                <w:szCs w:val="24"/>
              </w:rPr>
              <w:t>4</w:t>
            </w:r>
            <w:r>
              <w:rPr>
                <w:b w:val="0"/>
                <w:i/>
                <w:sz w:val="24"/>
                <w:szCs w:val="24"/>
              </w:rPr>
              <w:t xml:space="preserve"> № ДК/</w:t>
            </w:r>
            <w:r w:rsidR="002155C2">
              <w:rPr>
                <w:b w:val="0"/>
                <w:i/>
                <w:sz w:val="24"/>
                <w:szCs w:val="24"/>
              </w:rPr>
              <w:t>108</w:t>
            </w:r>
            <w:r>
              <w:rPr>
                <w:b w:val="0"/>
                <w:i/>
                <w:sz w:val="24"/>
                <w:szCs w:val="24"/>
              </w:rPr>
              <w:t>-АО/202</w:t>
            </w:r>
            <w:r w:rsidR="002155C2">
              <w:rPr>
                <w:b w:val="0"/>
                <w:i/>
                <w:sz w:val="24"/>
                <w:szCs w:val="24"/>
              </w:rPr>
              <w:t>4</w:t>
            </w:r>
            <w:r>
              <w:rPr>
                <w:b w:val="0"/>
                <w:i/>
                <w:sz w:val="24"/>
                <w:szCs w:val="24"/>
              </w:rPr>
              <w:t>).</w:t>
            </w:r>
          </w:p>
          <w:p w14:paraId="3581C718" w14:textId="77777777" w:rsidR="004C3A54" w:rsidRDefault="004C3A54" w:rsidP="004C3A54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14:paraId="4EBFBCBC" w14:textId="30516C37" w:rsidR="004C3A54" w:rsidRPr="0007140D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Згідно з відомостями Державного реєстру речових прав на нерухоме майно за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ардесою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: вул. Промислова, 4 </w:t>
            </w:r>
            <w:r w:rsidR="001270A4">
              <w:rPr>
                <w:rFonts w:ascii="Times New Roman" w:hAnsi="Times New Roman" w:cs="Times New Roman"/>
                <w:i/>
                <w:lang w:val="uk-UA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ПрАТ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8B4FEB">
              <w:rPr>
                <w:rFonts w:ascii="Times New Roman" w:hAnsi="Times New Roman" w:cs="Times New Roman"/>
                <w:i/>
                <w:lang w:val="uk-UA"/>
              </w:rPr>
              <w:t>«</w:t>
            </w:r>
            <w:proofErr w:type="spellStart"/>
            <w:r w:rsidRPr="008B4FEB">
              <w:rPr>
                <w:rFonts w:ascii="Times New Roman" w:hAnsi="Times New Roman" w:cs="Times New Roman"/>
                <w:i/>
                <w:lang w:val="uk-UA"/>
              </w:rPr>
              <w:t>Київрибгосп</w:t>
            </w:r>
            <w:proofErr w:type="spellEnd"/>
            <w:r w:rsidRPr="008B4FEB">
              <w:rPr>
                <w:rFonts w:ascii="Times New Roman" w:hAnsi="Times New Roman" w:cs="Times New Roman"/>
                <w:i/>
                <w:lang w:val="uk-UA"/>
              </w:rPr>
              <w:t>»</w:t>
            </w: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 належать на праві власності об’єкти нерухомого майна, а саме:</w:t>
            </w:r>
          </w:p>
          <w:p w14:paraId="2CB84A0C" w14:textId="77777777" w:rsidR="004C3A54" w:rsidRPr="0007140D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- будівля селекційно-племінної дільниці (літ. 81) загальною площею 818,2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. м (реєстраційний номер об’єкта нерухомого майна 228928080000, номер запису про інше речове право: 3641454 від 02.12.2013);  </w:t>
            </w:r>
          </w:p>
          <w:p w14:paraId="34FD685B" w14:textId="77777777" w:rsidR="004C3A54" w:rsidRPr="0007140D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- будівля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інкубцеху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 (літ. 80) загальною площею 662,4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. м (реєстраційний номер об’єкта нерухомого майна 228826580000, номер запису про інше речове право: 3639913 від 02.12.2013);   </w:t>
            </w:r>
          </w:p>
          <w:p w14:paraId="78993529" w14:textId="77777777" w:rsidR="004C3A54" w:rsidRPr="0007140D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- будівля побутового приміщення на басейнах (літ. 79)   загальною площею 134,6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. м (реєстраційний номер об’єкта нерухомого майна 228658380000, номер запису про інше речове право: 3637343 від 02.12.2013);   </w:t>
            </w:r>
          </w:p>
          <w:p w14:paraId="28995863" w14:textId="77777777" w:rsidR="004C3A54" w:rsidRPr="0007140D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- </w:t>
            </w: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будівля цеху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гранкормів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 (літ. 78)</w:t>
            </w:r>
            <w:r w:rsidRPr="0007140D">
              <w:rPr>
                <w:lang w:val="uk-UA"/>
              </w:rPr>
              <w:t xml:space="preserve"> </w:t>
            </w: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загальною площею 748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>. м (реєстраційний номер об’єкта нерухомого майна 228170480000, номер запису про інше речове право: 3629920 від 02.12.2013);</w:t>
            </w:r>
          </w:p>
          <w:p w14:paraId="1DE0966C" w14:textId="77777777" w:rsidR="004C3A54" w:rsidRPr="0007140D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- будівля цеху кормів (літ. 77) загальною площею 272,8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>. м (реєстраційний номер об’єкта нерухомого майна 226758580000, номер запису про інше речове право: 3606101 від 29.11.2013);</w:t>
            </w:r>
          </w:p>
          <w:p w14:paraId="4BF77983" w14:textId="77777777" w:rsidR="004C3A54" w:rsidRPr="0007140D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07140D">
              <w:rPr>
                <w:rFonts w:ascii="Times New Roman" w:hAnsi="Times New Roman" w:cs="Times New Roman"/>
                <w:i/>
                <w:lang w:val="uk-UA"/>
              </w:rPr>
              <w:t xml:space="preserve">- будівля розподільчої установки-РП-159 (літ. 76) загальною площею 68,5 </w:t>
            </w:r>
            <w:proofErr w:type="spellStart"/>
            <w:r w:rsidRPr="0007140D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07140D">
              <w:rPr>
                <w:rFonts w:ascii="Times New Roman" w:hAnsi="Times New Roman" w:cs="Times New Roman"/>
                <w:i/>
                <w:lang w:val="uk-UA"/>
              </w:rPr>
              <w:t>. м (реєстраційний номер об’єкта нерухомого майна 226660680000, номер запису про інше речове право: 3604471 від 29.11.2013);</w:t>
            </w:r>
          </w:p>
          <w:p w14:paraId="6FFD6CFB" w14:textId="77777777" w:rsidR="004C3A54" w:rsidRPr="00F322C5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322C5">
              <w:rPr>
                <w:rFonts w:ascii="Times New Roman" w:hAnsi="Times New Roman" w:cs="Times New Roman"/>
                <w:i/>
                <w:lang w:val="uk-UA"/>
              </w:rPr>
              <w:t xml:space="preserve">- будівля гаражу (літ.75) загальною площею 817,4 </w:t>
            </w:r>
            <w:proofErr w:type="spellStart"/>
            <w:r w:rsidRPr="00F322C5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F322C5">
              <w:rPr>
                <w:rFonts w:ascii="Times New Roman" w:hAnsi="Times New Roman" w:cs="Times New Roman"/>
                <w:i/>
                <w:lang w:val="uk-UA"/>
              </w:rPr>
              <w:t>. м (реєстраційний номер об’єкта нерухомого майна 226500680000, номер запису про інше речове право: 3601939 від 29.11.2013);</w:t>
            </w:r>
          </w:p>
          <w:p w14:paraId="48E2DFA0" w14:textId="3954A639" w:rsidR="0092552D" w:rsidRPr="00F322C5" w:rsidRDefault="004C3A54" w:rsidP="004C3A5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322C5">
              <w:rPr>
                <w:rFonts w:ascii="Times New Roman" w:hAnsi="Times New Roman" w:cs="Times New Roman"/>
                <w:i/>
                <w:lang w:val="uk-UA"/>
              </w:rPr>
              <w:t xml:space="preserve">- будівля заправки АПБ (літ. 74) загальною площею 31,5 </w:t>
            </w:r>
            <w:proofErr w:type="spellStart"/>
            <w:r w:rsidRPr="00F322C5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F322C5">
              <w:rPr>
                <w:rFonts w:ascii="Times New Roman" w:hAnsi="Times New Roman" w:cs="Times New Roman"/>
                <w:i/>
                <w:lang w:val="uk-UA"/>
              </w:rPr>
              <w:t>. м (реєстраційний номер об’єкта нерухомого майна 226354180000, номер запису про інше речове право: 3599767 від 29.11.2013);</w:t>
            </w:r>
          </w:p>
          <w:p w14:paraId="6223786F" w14:textId="77777777" w:rsidR="001270A4" w:rsidRPr="00F322C5" w:rsidRDefault="001270A4" w:rsidP="001270A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322C5">
              <w:rPr>
                <w:rFonts w:ascii="Times New Roman" w:hAnsi="Times New Roman" w:cs="Times New Roman"/>
                <w:i/>
                <w:lang w:val="uk-UA"/>
              </w:rPr>
              <w:t xml:space="preserve">- будівля-бокси для машин (літ.73) загальною площею 507 </w:t>
            </w:r>
            <w:proofErr w:type="spellStart"/>
            <w:r w:rsidRPr="00F322C5">
              <w:rPr>
                <w:rFonts w:ascii="Times New Roman" w:hAnsi="Times New Roman" w:cs="Times New Roman"/>
                <w:i/>
                <w:lang w:val="uk-UA"/>
              </w:rPr>
              <w:t>кв</w:t>
            </w:r>
            <w:proofErr w:type="spellEnd"/>
            <w:r w:rsidRPr="00F322C5">
              <w:rPr>
                <w:rFonts w:ascii="Times New Roman" w:hAnsi="Times New Roman" w:cs="Times New Roman"/>
                <w:i/>
                <w:lang w:val="uk-UA"/>
              </w:rPr>
              <w:t>. м (реєстраційний номер об’єкта нерухомого майна 225439280000, номер запису про інше речове право: 3584943 від 28.11.2013);</w:t>
            </w:r>
          </w:p>
          <w:p w14:paraId="05D037E8" w14:textId="77777777" w:rsidR="001270A4" w:rsidRDefault="001270A4" w:rsidP="001270A4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4C3A54">
              <w:rPr>
                <w:b w:val="0"/>
                <w:bCs w:val="0"/>
                <w:i/>
                <w:sz w:val="24"/>
                <w:szCs w:val="24"/>
              </w:rPr>
              <w:t xml:space="preserve">будівля складу (літ.72) загальною площею 324,2 </w:t>
            </w:r>
            <w:proofErr w:type="spellStart"/>
            <w:r w:rsidRPr="004C3A54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4C3A54">
              <w:rPr>
                <w:b w:val="0"/>
                <w:bCs w:val="0"/>
                <w:i/>
                <w:sz w:val="24"/>
                <w:szCs w:val="24"/>
              </w:rPr>
              <w:t>. м (реєстраційний номер об’єкта нерухомого майна 225334680000, номер запису про інше речове право: 3583179 від 28.11.2013);</w:t>
            </w:r>
          </w:p>
          <w:p w14:paraId="506E57A9" w14:textId="78AB671E" w:rsidR="00823CCF" w:rsidRPr="00EE137E" w:rsidRDefault="00823CCF" w:rsidP="004C3A54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92552D" w:rsidRPr="00037B84" w14:paraId="7954495A" w14:textId="77777777" w:rsidTr="00B312AA">
        <w:trPr>
          <w:cantSplit/>
          <w:trHeight w:val="2106"/>
        </w:trPr>
        <w:tc>
          <w:tcPr>
            <w:tcW w:w="2972" w:type="dxa"/>
          </w:tcPr>
          <w:p w14:paraId="43919D40" w14:textId="77777777" w:rsidR="0092552D" w:rsidRPr="00776E89" w:rsidRDefault="0092552D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484E3C71" w14:textId="7C686953" w:rsidR="0092552D" w:rsidRPr="004C3A54" w:rsidRDefault="0092552D" w:rsidP="0092552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C3A54">
              <w:rPr>
                <w:b w:val="0"/>
                <w:bCs w:val="0"/>
                <w:i/>
                <w:sz w:val="24"/>
                <w:szCs w:val="24"/>
              </w:rPr>
              <w:t xml:space="preserve">- будівля блоку виробничих приміщень (літ.71) загальною площею 306,5 </w:t>
            </w:r>
            <w:proofErr w:type="spellStart"/>
            <w:r w:rsidRPr="004C3A54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4C3A54">
              <w:rPr>
                <w:b w:val="0"/>
                <w:bCs w:val="0"/>
                <w:i/>
                <w:sz w:val="24"/>
                <w:szCs w:val="24"/>
              </w:rPr>
              <w:t>. м (реєстраційний номер об’єкта нерухомого майна 225104380000, номер запису про інше речове право: 3579632 від 28.11.2013);</w:t>
            </w:r>
          </w:p>
          <w:p w14:paraId="17A900AF" w14:textId="77777777" w:rsidR="0092552D" w:rsidRDefault="0092552D" w:rsidP="0092552D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C3A54">
              <w:rPr>
                <w:b w:val="0"/>
                <w:bCs w:val="0"/>
                <w:i/>
                <w:sz w:val="24"/>
                <w:szCs w:val="24"/>
              </w:rPr>
              <w:t xml:space="preserve">- будівля прохідної (літ. 70) загальною площею 14,6 </w:t>
            </w:r>
            <w:proofErr w:type="spellStart"/>
            <w:r w:rsidRPr="004C3A54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4C3A54">
              <w:rPr>
                <w:b w:val="0"/>
                <w:bCs w:val="0"/>
                <w:i/>
                <w:sz w:val="24"/>
                <w:szCs w:val="24"/>
              </w:rPr>
              <w:t>. м (реєстраційний номер об’єкта нерухомого майна 224954780000, номер запису про інше речове право: 3577468 від 28.11.2013).</w:t>
            </w:r>
          </w:p>
          <w:p w14:paraId="444A816F" w14:textId="31DFBE4F" w:rsidR="001270A4" w:rsidRPr="00F322C5" w:rsidRDefault="001270A4" w:rsidP="001270A4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Крім того, у ПрАТ «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</w:rPr>
              <w:t>Київрибгосп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</w:rPr>
              <w:t xml:space="preserve">» перебуває в оренді канальна насосна станція з гідротехнічними спорудами загальною площею 37,5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</w:rPr>
              <w:t>кв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</w:rPr>
              <w:t xml:space="preserve">. м </w:t>
            </w:r>
            <w:r w:rsidRPr="009376ED">
              <w:rPr>
                <w:b w:val="0"/>
                <w:i/>
                <w:color w:val="auto"/>
                <w:sz w:val="24"/>
                <w:szCs w:val="24"/>
              </w:rPr>
              <w:t xml:space="preserve">(реєстраційний номер об’єкта нерухомого майна </w:t>
            </w:r>
            <w:r>
              <w:rPr>
                <w:b w:val="0"/>
                <w:i/>
                <w:color w:val="auto"/>
                <w:sz w:val="24"/>
                <w:szCs w:val="24"/>
              </w:rPr>
              <w:t>466271880000</w:t>
            </w:r>
            <w:r w:rsidRPr="009376ED">
              <w:rPr>
                <w:b w:val="0"/>
                <w:i/>
                <w:color w:val="auto"/>
                <w:sz w:val="24"/>
                <w:szCs w:val="24"/>
              </w:rPr>
              <w:t xml:space="preserve">, номер запису про інше речове право: </w:t>
            </w:r>
            <w:r>
              <w:rPr>
                <w:b w:val="0"/>
                <w:i/>
                <w:color w:val="auto"/>
                <w:sz w:val="24"/>
                <w:szCs w:val="24"/>
              </w:rPr>
              <w:t>30921477 від 28.03.2019) на підставі договору оренди нерухомого майна від 28.03.2019  № 8395, що належить до державної власності (орендодавець Регіональне відділення Фонду державного майна України по  м. Києву)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270A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2CD30D46" w:rsidR="00823CCF" w:rsidRPr="00EE137E" w:rsidRDefault="0018193A" w:rsidP="004C3A54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1E010CA7" w:rsidR="00823CCF" w:rsidRPr="00EE137E" w:rsidRDefault="004C3A54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C3A54">
              <w:rPr>
                <w:b w:val="0"/>
                <w:bCs w:val="0"/>
                <w:i/>
                <w:sz w:val="24"/>
                <w:szCs w:val="24"/>
              </w:rPr>
              <w:t>Території захисної зелені (на розрахунковий період), частково охоронна зона газопроводу.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C3A5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AB7C3A3" w14:textId="77777777" w:rsidR="004C3A54" w:rsidRDefault="004C3A54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C3A54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 </w:t>
            </w:r>
          </w:p>
          <w:p w14:paraId="0EC5BAC8" w14:textId="6B54AE83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4629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4629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4629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4629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4629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4629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4629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462935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679DCC26" w:rsidR="004C3A54" w:rsidRPr="00EE137E" w:rsidRDefault="003F1E3E" w:rsidP="004C3A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</w:t>
            </w:r>
            <w:r w:rsidR="004C3A54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3F1E3E">
              <w:rPr>
                <w:rFonts w:ascii="Times New Roman" w:eastAsia="Times New Roman" w:hAnsi="Times New Roman" w:cs="Times New Roman"/>
                <w:i/>
              </w:rPr>
              <w:t>відноситься до територій зелених насаджень.</w:t>
            </w:r>
          </w:p>
        </w:tc>
      </w:tr>
      <w:tr w:rsidR="0093514C" w:rsidRPr="00037B84" w14:paraId="5F35829C" w14:textId="77777777" w:rsidTr="00430CA4">
        <w:trPr>
          <w:cantSplit/>
          <w:trHeight w:val="1413"/>
        </w:trPr>
        <w:tc>
          <w:tcPr>
            <w:tcW w:w="2972" w:type="dxa"/>
          </w:tcPr>
          <w:p w14:paraId="732E9E0C" w14:textId="683F1AAF" w:rsidR="0093514C" w:rsidRPr="002F2D3F" w:rsidRDefault="0093514C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31C77EDE" w14:textId="77777777" w:rsidR="0093514C" w:rsidRPr="004C3A54" w:rsidRDefault="0093514C" w:rsidP="009351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C3A54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 від 01.10.2007 № 431/3265 вирішено передати ВАТ «</w:t>
            </w:r>
            <w:proofErr w:type="spellStart"/>
            <w:r w:rsidRPr="004C3A54">
              <w:rPr>
                <w:rFonts w:ascii="Times New Roman" w:eastAsia="Times New Roman" w:hAnsi="Times New Roman" w:cs="Times New Roman"/>
                <w:i/>
                <w:color w:val="auto"/>
              </w:rPr>
              <w:t>Київрибгосп</w:t>
            </w:r>
            <w:proofErr w:type="spellEnd"/>
            <w:r w:rsidRPr="004C3A54">
              <w:rPr>
                <w:rFonts w:ascii="Times New Roman" w:eastAsia="Times New Roman" w:hAnsi="Times New Roman" w:cs="Times New Roman"/>
                <w:i/>
                <w:color w:val="auto"/>
              </w:rPr>
              <w:t>» (нині –                                     ПрАТ «</w:t>
            </w:r>
            <w:proofErr w:type="spellStart"/>
            <w:r w:rsidRPr="004C3A54">
              <w:rPr>
                <w:rFonts w:ascii="Times New Roman" w:eastAsia="Times New Roman" w:hAnsi="Times New Roman" w:cs="Times New Roman"/>
                <w:i/>
                <w:color w:val="auto"/>
              </w:rPr>
              <w:t>Київрибгосп</w:t>
            </w:r>
            <w:proofErr w:type="spellEnd"/>
            <w:r w:rsidRPr="004C3A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»)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довгострокову оренду на 15 років </w:t>
            </w:r>
            <w:r w:rsidRPr="004C3A54">
              <w:rPr>
                <w:rFonts w:ascii="Times New Roman" w:eastAsia="Times New Roman" w:hAnsi="Times New Roman" w:cs="Times New Roman"/>
                <w:i/>
                <w:color w:val="auto"/>
              </w:rPr>
              <w:t>земельну ділянку площею 66,14 га для будівництва, експлуатації та обслуговування офісних та торгово-розважальних комплексів з об'єктами соціального та оздоровчого призначення на вул. Промисловій, 4 у Голосіївському  районі міста Києва.</w:t>
            </w:r>
          </w:p>
          <w:p w14:paraId="5E723A5A" w14:textId="5CA0F38E" w:rsidR="0093514C" w:rsidRPr="003F1E3E" w:rsidRDefault="0093514C" w:rsidP="004C3A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2046C">
              <w:rPr>
                <w:rFonts w:ascii="Times New Roman" w:hAnsi="Times New Roman" w:cs="Times New Roman"/>
                <w:i/>
              </w:rPr>
              <w:t>Рішенням Господарського суду міста Києва від 31.03.2008 у справі № 35/114, залишеним без змін постановою Київського апеляційного господарського суду від 09.07.2008 та постановою Вищого господарського суду України від 19.05.2010, укладено договір оренди вказаної земельної ділянки між Київською міською радою та ВАТ «</w:t>
            </w:r>
            <w:proofErr w:type="spellStart"/>
            <w:r w:rsidRPr="0052046C">
              <w:rPr>
                <w:rFonts w:ascii="Times New Roman" w:hAnsi="Times New Roman" w:cs="Times New Roman"/>
                <w:i/>
              </w:rPr>
              <w:t>Київрибгосп</w:t>
            </w:r>
            <w:proofErr w:type="spellEnd"/>
            <w:r w:rsidRPr="0052046C">
              <w:rPr>
                <w:rFonts w:ascii="Times New Roman" w:hAnsi="Times New Roman" w:cs="Times New Roman"/>
                <w:i/>
              </w:rPr>
              <w:t xml:space="preserve">» на 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52046C">
              <w:rPr>
                <w:rFonts w:ascii="Times New Roman" w:hAnsi="Times New Roman" w:cs="Times New Roman"/>
                <w:i/>
              </w:rPr>
              <w:t>15</w:t>
            </w:r>
            <w:r>
              <w:t xml:space="preserve"> </w:t>
            </w:r>
            <w:r w:rsidRPr="0093514C">
              <w:rPr>
                <w:rFonts w:ascii="Times New Roman" w:hAnsi="Times New Roman" w:cs="Times New Roman"/>
                <w:i/>
              </w:rPr>
              <w:t xml:space="preserve">років, який зареєстрований Головним управлінням земельних ресурсів виконавчого органу Київської міської ради (Київської міської державної адміністрації) 23.05.2008 за </w:t>
            </w: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93514C">
              <w:rPr>
                <w:rFonts w:ascii="Times New Roman" w:hAnsi="Times New Roman" w:cs="Times New Roman"/>
                <w:i/>
              </w:rPr>
              <w:t>№ 79-6-00622.</w:t>
            </w:r>
          </w:p>
        </w:tc>
      </w:tr>
      <w:tr w:rsidR="0092552D" w:rsidRPr="00037B84" w14:paraId="646FA5B4" w14:textId="77777777" w:rsidTr="00430CA4">
        <w:trPr>
          <w:cantSplit/>
          <w:trHeight w:val="1413"/>
        </w:trPr>
        <w:tc>
          <w:tcPr>
            <w:tcW w:w="2972" w:type="dxa"/>
          </w:tcPr>
          <w:p w14:paraId="3B7273E2" w14:textId="6D3D53D5" w:rsidR="0092552D" w:rsidRPr="0093514C" w:rsidRDefault="0092552D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A8BBB0" w14:textId="77777777" w:rsidR="0093514C" w:rsidRPr="0052046C" w:rsidRDefault="0093514C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2046C">
              <w:rPr>
                <w:rFonts w:ascii="Times New Roman" w:hAnsi="Times New Roman" w:cs="Times New Roman"/>
                <w:i/>
              </w:rPr>
              <w:t xml:space="preserve">Невід'ємною частиною вказаного договору оренди є договір оренди земельної ділянки, посвідчений приватним нотаріусом Київського міського нотаріального округу </w:t>
            </w:r>
            <w:proofErr w:type="spellStart"/>
            <w:r w:rsidRPr="0052046C">
              <w:rPr>
                <w:rFonts w:ascii="Times New Roman" w:hAnsi="Times New Roman" w:cs="Times New Roman"/>
                <w:i/>
              </w:rPr>
              <w:t>Мисан</w:t>
            </w:r>
            <w:proofErr w:type="spellEnd"/>
            <w:r w:rsidRPr="0052046C">
              <w:rPr>
                <w:rFonts w:ascii="Times New Roman" w:hAnsi="Times New Roman" w:cs="Times New Roman"/>
                <w:i/>
              </w:rPr>
              <w:t xml:space="preserve"> В.І. 28.06.2008 за реєстровим № 2993, що зареєстрований Головним управлінням земельних ресурсів виконавчого органу Київської міської ради (Київської міської державної адміністрації) у книзі записів державної реєстрації договорів 27.08.2008 за  № 79-6-00640.</w:t>
            </w:r>
          </w:p>
          <w:p w14:paraId="5734FC1E" w14:textId="496D6759" w:rsidR="0093514C" w:rsidRDefault="0093514C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2046C">
              <w:rPr>
                <w:rFonts w:ascii="Times New Roman" w:hAnsi="Times New Roman" w:cs="Times New Roman"/>
                <w:i/>
              </w:rPr>
              <w:t xml:space="preserve">Термін дії договору до 23.05.2023. </w:t>
            </w:r>
          </w:p>
          <w:p w14:paraId="79290A8F" w14:textId="77777777" w:rsidR="006C636F" w:rsidRDefault="006C636F" w:rsidP="006C636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5B17C437" w14:textId="4CBF7508" w:rsidR="006C636F" w:rsidRPr="0093514C" w:rsidRDefault="006C636F" w:rsidP="006C636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514C">
              <w:rPr>
                <w:rFonts w:ascii="Times New Roman" w:hAnsi="Times New Roman" w:cs="Times New Roman"/>
                <w:i/>
              </w:rPr>
              <w:t xml:space="preserve">ішенням Господарського суду міста Києва від 20.07.2021 у справі № 910/2825/21, залишеним без змін постановою Північного апеляційного господарського суду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3514C">
              <w:rPr>
                <w:rFonts w:ascii="Times New Roman" w:hAnsi="Times New Roman" w:cs="Times New Roman"/>
                <w:i/>
              </w:rPr>
              <w:t>від 01.12.2021,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3514C">
              <w:rPr>
                <w:rFonts w:ascii="Times New Roman" w:hAnsi="Times New Roman" w:cs="Times New Roman"/>
                <w:i/>
              </w:rPr>
              <w:t>у задоволені позову Київської міської ради до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</w:t>
            </w:r>
            <w:r w:rsidRPr="0093514C">
              <w:rPr>
                <w:rFonts w:ascii="Times New Roman" w:hAnsi="Times New Roman" w:cs="Times New Roman"/>
                <w:i/>
              </w:rPr>
              <w:t xml:space="preserve"> Пр</w:t>
            </w:r>
            <w:r>
              <w:rPr>
                <w:rFonts w:ascii="Times New Roman" w:hAnsi="Times New Roman" w:cs="Times New Roman"/>
                <w:i/>
              </w:rPr>
              <w:t>АТ</w:t>
            </w:r>
            <w:r w:rsidRPr="0093514C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Київрибгосп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>» про стягнення заборгованості з орендної плати відмовлено.</w:t>
            </w:r>
          </w:p>
          <w:p w14:paraId="39CF5184" w14:textId="77777777" w:rsidR="006C636F" w:rsidRPr="0093514C" w:rsidRDefault="006C636F" w:rsidP="006C636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>Суди в межах розгляду даної справи зауважили, що основною метою договору оренди земельної ділянки та одним з визначальних прав орендодавця є своєчасне отримання останнім орендної плати у встановленому розмірі.</w:t>
            </w:r>
          </w:p>
          <w:p w14:paraId="6176FF21" w14:textId="77777777" w:rsidR="006C636F" w:rsidRPr="0052046C" w:rsidRDefault="006C636F" w:rsidP="006C636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>У листі № 48445/6/26-15-13-01-23 від 12.05.2021 Головне управління ДПС у м. Києві зазначило, що заборгованість по орендній платі з юридичних осіб у ПрАТ «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Київрибгосп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>» відсутня.</w:t>
            </w:r>
          </w:p>
          <w:p w14:paraId="052297CE" w14:textId="2D268E73" w:rsidR="0093514C" w:rsidRDefault="006C636F" w:rsidP="006C636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eastAsia="Times New Roman" w:hAnsi="Times New Roman" w:cs="Times New Roman"/>
                <w:i/>
              </w:rPr>
              <w:t>Враховуючи вищевикладене, суди дійшли до висновку про відсутність підстав для стягнення з ПрАТ «</w:t>
            </w:r>
            <w:proofErr w:type="spellStart"/>
            <w:r w:rsidRPr="0093514C">
              <w:rPr>
                <w:rFonts w:ascii="Times New Roman" w:eastAsia="Times New Roman" w:hAnsi="Times New Roman" w:cs="Times New Roman"/>
                <w:i/>
              </w:rPr>
              <w:t>Київрибгосп</w:t>
            </w:r>
            <w:proofErr w:type="spellEnd"/>
            <w:r w:rsidRPr="0093514C">
              <w:rPr>
                <w:rFonts w:ascii="Times New Roman" w:eastAsia="Times New Roman" w:hAnsi="Times New Roman" w:cs="Times New Roman"/>
                <w:i/>
              </w:rPr>
              <w:t>» заборгованості з орендної плати.</w:t>
            </w:r>
          </w:p>
          <w:p w14:paraId="34A0EE7B" w14:textId="77777777" w:rsidR="006C636F" w:rsidRDefault="006C636F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13DD8886" w14:textId="6F3A8F86" w:rsidR="0093514C" w:rsidRPr="0093514C" w:rsidRDefault="0093514C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>Згідно з довідкою ГУ ДПС у м. Києві від 12.03.2024                                       № 4272/АП/26-15-50-06-06Е станом на 12.03.2024                        ПрАТ «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Київрибгосп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>» не має податкового боргу.</w:t>
            </w:r>
          </w:p>
          <w:p w14:paraId="4703B97B" w14:textId="5971199B" w:rsidR="0093514C" w:rsidRDefault="0093514C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>Відповідно до листа ГУ ДПС у м. Києві від 14.04.2024                          № 10362/5/26-15-13-01-05 станом на 01.04.2024                              ПрАТ «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Київрибгосп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>» до переліку суб’єктів, які мають податковий борг до місцевого бюджету, не включено.</w:t>
            </w:r>
          </w:p>
          <w:p w14:paraId="62F0264C" w14:textId="33BA487B" w:rsidR="0093514C" w:rsidRDefault="0093514C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0C7B5A59" w14:textId="5C1AF04A" w:rsidR="00BF20D5" w:rsidRDefault="006C636F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BF20D5">
              <w:rPr>
                <w:rFonts w:ascii="Times New Roman" w:hAnsi="Times New Roman" w:cs="Times New Roman"/>
                <w:i/>
              </w:rPr>
              <w:t xml:space="preserve">раховуючи наявність на земельній ділянці об’єкту нерухомого майна, що </w:t>
            </w:r>
            <w:r w:rsidR="00BF20D5" w:rsidRPr="00BF20D5">
              <w:rPr>
                <w:rFonts w:ascii="Times New Roman" w:hAnsi="Times New Roman" w:cs="Times New Roman"/>
                <w:i/>
              </w:rPr>
              <w:t>належить до державної власності</w:t>
            </w:r>
            <w:r w:rsidR="00BF20D5">
              <w:rPr>
                <w:rFonts w:ascii="Times New Roman" w:hAnsi="Times New Roman" w:cs="Times New Roman"/>
                <w:i/>
              </w:rPr>
              <w:t xml:space="preserve">, цим </w:t>
            </w:r>
            <w:proofErr w:type="spellStart"/>
            <w:r w:rsidR="00BF20D5">
              <w:rPr>
                <w:rFonts w:ascii="Times New Roman" w:hAnsi="Times New Roman" w:cs="Times New Roman"/>
                <w:i/>
              </w:rPr>
              <w:t>проєктом</w:t>
            </w:r>
            <w:proofErr w:type="spellEnd"/>
            <w:r w:rsidR="00BF20D5">
              <w:rPr>
                <w:rFonts w:ascii="Times New Roman" w:hAnsi="Times New Roman" w:cs="Times New Roman"/>
                <w:i/>
              </w:rPr>
              <w:t xml:space="preserve"> рішення передбачено обов’язок </w:t>
            </w:r>
            <w:r w:rsidR="00BF20D5" w:rsidRPr="00BF20D5">
              <w:rPr>
                <w:rFonts w:ascii="Times New Roman" w:hAnsi="Times New Roman" w:cs="Times New Roman"/>
                <w:i/>
              </w:rPr>
              <w:t>ПрАТ «</w:t>
            </w:r>
            <w:proofErr w:type="spellStart"/>
            <w:r w:rsidR="00BF20D5" w:rsidRPr="00BF20D5">
              <w:rPr>
                <w:rFonts w:ascii="Times New Roman" w:hAnsi="Times New Roman" w:cs="Times New Roman"/>
                <w:i/>
              </w:rPr>
              <w:t>Київрибгосп</w:t>
            </w:r>
            <w:proofErr w:type="spellEnd"/>
            <w:r w:rsidR="00BF20D5" w:rsidRPr="00BF20D5">
              <w:rPr>
                <w:rFonts w:ascii="Times New Roman" w:hAnsi="Times New Roman" w:cs="Times New Roman"/>
                <w:i/>
              </w:rPr>
              <w:t>»</w:t>
            </w:r>
            <w:r w:rsidR="00BF20D5">
              <w:rPr>
                <w:rFonts w:ascii="Times New Roman" w:hAnsi="Times New Roman" w:cs="Times New Roman"/>
                <w:i/>
              </w:rPr>
              <w:t xml:space="preserve"> щодо </w:t>
            </w:r>
            <w:r w:rsidR="00BF20D5" w:rsidRPr="00BF20D5">
              <w:rPr>
                <w:rFonts w:ascii="Times New Roman" w:hAnsi="Times New Roman" w:cs="Times New Roman"/>
                <w:i/>
              </w:rPr>
              <w:t>вжит</w:t>
            </w:r>
            <w:r w:rsidR="00BF20D5">
              <w:rPr>
                <w:rFonts w:ascii="Times New Roman" w:hAnsi="Times New Roman" w:cs="Times New Roman"/>
                <w:i/>
              </w:rPr>
              <w:t>тя</w:t>
            </w:r>
            <w:r w:rsidR="00BF20D5" w:rsidRPr="00BF20D5">
              <w:rPr>
                <w:rFonts w:ascii="Times New Roman" w:hAnsi="Times New Roman" w:cs="Times New Roman"/>
                <w:i/>
              </w:rPr>
              <w:t xml:space="preserve"> організаційно-правових заходів для поділу земельної ділянки</w:t>
            </w:r>
            <w:r w:rsidR="00BF20D5">
              <w:rPr>
                <w:rFonts w:ascii="Times New Roman" w:hAnsi="Times New Roman" w:cs="Times New Roman"/>
                <w:i/>
              </w:rPr>
              <w:t>.</w:t>
            </w:r>
          </w:p>
          <w:p w14:paraId="50D84A9B" w14:textId="77777777" w:rsidR="00BF20D5" w:rsidRDefault="00BF20D5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7BD49956" w14:textId="77777777" w:rsidR="0093514C" w:rsidRPr="0093514C" w:rsidRDefault="0093514C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 xml:space="preserve">Департаментом земельних ресурсів виконавчого органу Київської міської ради (Київської міської державної адміністрації) (далі – 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Деапартамент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 xml:space="preserve">) готувався 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 xml:space="preserve"> рішення про відмову у поновленні договору оренди                                від 01.04.2024 № 08/231-498/ПР. </w:t>
            </w:r>
          </w:p>
          <w:p w14:paraId="70CD3D4F" w14:textId="03A8BF7B" w:rsidR="0093514C" w:rsidRDefault="0093514C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 xml:space="preserve">Постійною комісією Київської міської ради з питань архітектури, 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містопланування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 xml:space="preserve"> та земельних відносин (витяг з протоколу № 6/71 засідання від 03.04.2024) 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відхилено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 xml:space="preserve"> цей 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 xml:space="preserve"> рішення та рекомендовано Департаменту розглянути можливість підготовки 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проєкт</w:t>
            </w:r>
            <w:r w:rsidR="004F3EFB">
              <w:rPr>
                <w:rFonts w:ascii="Times New Roman" w:hAnsi="Times New Roman" w:cs="Times New Roman"/>
                <w:i/>
              </w:rPr>
              <w:t>у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 xml:space="preserve"> рішення про поновлення договору оренди земельної ділянки.</w:t>
            </w:r>
          </w:p>
          <w:p w14:paraId="705F5DD6" w14:textId="0CB3834F" w:rsidR="0093514C" w:rsidRDefault="0093514C" w:rsidP="0093514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30D487EF" w14:textId="1F0AC81B" w:rsidR="0093514C" w:rsidRPr="003F1E3E" w:rsidRDefault="0093514C" w:rsidP="009351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037B84" w14:paraId="4912F663" w14:textId="77777777" w:rsidTr="0093514C">
        <w:trPr>
          <w:cantSplit/>
          <w:trHeight w:val="1854"/>
        </w:trPr>
        <w:tc>
          <w:tcPr>
            <w:tcW w:w="2972" w:type="dxa"/>
          </w:tcPr>
          <w:p w14:paraId="171FC032" w14:textId="6D26BFC0" w:rsidR="00FC7A92" w:rsidRPr="00037B84" w:rsidRDefault="00776E89" w:rsidP="0092552D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7F6ADA26" w14:textId="25F48C2A" w:rsidR="0093514C" w:rsidRPr="0093514C" w:rsidRDefault="0093514C" w:rsidP="0093514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 w:rsidR="00FC639B" w:rsidRPr="00FC639B">
              <w:rPr>
                <w:rFonts w:ascii="Times New Roman" w:hAnsi="Times New Roman" w:cs="Times New Roman"/>
                <w:i/>
              </w:rPr>
              <w:t>про поновлення (відмову в поновленні)</w:t>
            </w:r>
            <w:r w:rsidR="006C636F">
              <w:rPr>
                <w:rFonts w:ascii="Times New Roman" w:hAnsi="Times New Roman" w:cs="Times New Roman"/>
                <w:i/>
              </w:rPr>
              <w:t xml:space="preserve"> договору оренди земельної ділянки</w:t>
            </w:r>
            <w:bookmarkStart w:id="0" w:name="_GoBack"/>
            <w:bookmarkEnd w:id="0"/>
            <w:r w:rsidRPr="0093514C">
              <w:rPr>
                <w:rFonts w:ascii="Times New Roman" w:hAnsi="Times New Roman" w:cs="Times New Roman"/>
                <w:i/>
              </w:rPr>
              <w:t xml:space="preserve">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13FDB2A" w14:textId="77777777" w:rsidR="0093514C" w:rsidRPr="0093514C" w:rsidRDefault="0093514C" w:rsidP="0093514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9C7C1BC" w14:textId="77777777" w:rsidR="0093514C" w:rsidRPr="0093514C" w:rsidRDefault="0093514C" w:rsidP="0093514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0F601D38" w14:textId="77777777" w:rsidR="0093514C" w:rsidRPr="0093514C" w:rsidRDefault="0093514C" w:rsidP="0093514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1CEF3E" w14:textId="754DB19A" w:rsidR="00DE0E7B" w:rsidRPr="0052046C" w:rsidRDefault="0093514C" w:rsidP="0093514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514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3514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3514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23107141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7FC07E94" w:rsidR="00061CD4" w:rsidRPr="008B4FEB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 w:rsidRPr="008B4FEB">
        <w:rPr>
          <w:i w:val="0"/>
          <w:sz w:val="24"/>
          <w:szCs w:val="24"/>
        </w:rPr>
        <w:t>Про</w:t>
      </w:r>
      <w:r w:rsidR="007A5002" w:rsidRPr="008B4FEB">
        <w:rPr>
          <w:i w:val="0"/>
          <w:sz w:val="24"/>
          <w:szCs w:val="24"/>
        </w:rPr>
        <w:t>є</w:t>
      </w:r>
      <w:r w:rsidRPr="008B4FEB">
        <w:rPr>
          <w:i w:val="0"/>
          <w:sz w:val="24"/>
          <w:szCs w:val="24"/>
        </w:rPr>
        <w:t>кт</w:t>
      </w:r>
      <w:proofErr w:type="spellEnd"/>
      <w:r w:rsidRPr="008B4FEB">
        <w:rPr>
          <w:i w:val="0"/>
          <w:sz w:val="24"/>
          <w:szCs w:val="24"/>
        </w:rPr>
        <w:t xml:space="preserve"> рішення не містить інформацію</w:t>
      </w:r>
      <w:r>
        <w:rPr>
          <w:i w:val="0"/>
          <w:sz w:val="24"/>
          <w:szCs w:val="24"/>
        </w:rPr>
        <w:t xml:space="preserve"> з обмеженим доступом у розумінні статті 6 Закону </w:t>
      </w:r>
      <w:r w:rsidRPr="008B4FEB">
        <w:rPr>
          <w:i w:val="0"/>
          <w:sz w:val="24"/>
          <w:szCs w:val="24"/>
        </w:rPr>
        <w:t>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8B4FEB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8B4FEB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00EE6B81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6F6E0D" w:rsidRPr="006F6E0D">
        <w:rPr>
          <w:b/>
          <w:sz w:val="24"/>
          <w:szCs w:val="24"/>
        </w:rPr>
        <w:t>79 737 641,19</w:t>
      </w:r>
      <w:r w:rsidRPr="006F6E0D">
        <w:rPr>
          <w:b/>
          <w:sz w:val="24"/>
          <w:szCs w:val="24"/>
          <w:shd w:val="clear" w:color="auto" w:fill="FFFFFF"/>
        </w:rPr>
        <w:t xml:space="preserve"> грн</w:t>
      </w:r>
      <w:r w:rsidR="006F6E0D" w:rsidRPr="006F6E0D">
        <w:rPr>
          <w:b/>
          <w:sz w:val="24"/>
          <w:szCs w:val="24"/>
          <w:shd w:val="clear" w:color="auto" w:fill="FFFFFF"/>
        </w:rPr>
        <w:t xml:space="preserve"> на рік (5%)</w:t>
      </w:r>
      <w:r w:rsidRPr="006F6E0D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8CA0E1C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</w:t>
      </w:r>
      <w:r w:rsidRPr="0052046C">
        <w:rPr>
          <w:i w:val="0"/>
          <w:sz w:val="24"/>
          <w:szCs w:val="24"/>
        </w:rPr>
        <w:t>ділянкою.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462935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92552D">
      <w:headerReference w:type="default" r:id="rId11"/>
      <w:footerReference w:type="default" r:id="rId12"/>
      <w:pgSz w:w="11907" w:h="16839" w:code="9"/>
      <w:pgMar w:top="142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487164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462935">
          <w:rPr>
            <w:i w:val="0"/>
            <w:sz w:val="12"/>
            <w:szCs w:val="12"/>
            <w:lang w:val="ru-RU"/>
          </w:rPr>
          <w:t>-53811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462935">
          <w:rPr>
            <w:i w:val="0"/>
            <w:sz w:val="12"/>
            <w:szCs w:val="12"/>
            <w:lang w:val="ru-RU"/>
          </w:rPr>
          <w:t>01.05.2024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462935">
          <w:rPr>
            <w:i w:val="0"/>
            <w:sz w:val="12"/>
            <w:szCs w:val="12"/>
            <w:lang w:val="ru-RU"/>
          </w:rPr>
          <w:t>390556689</w:t>
        </w:r>
      </w:p>
      <w:p w14:paraId="0BF67CBB" w14:textId="68484FAE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C636F" w:rsidRPr="006C636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1A29"/>
    <w:rsid w:val="00005A7B"/>
    <w:rsid w:val="00034D1E"/>
    <w:rsid w:val="00037B84"/>
    <w:rsid w:val="00045F3B"/>
    <w:rsid w:val="00047DE7"/>
    <w:rsid w:val="000502C7"/>
    <w:rsid w:val="00054102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270A4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B6663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155C2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62935"/>
    <w:rsid w:val="00474616"/>
    <w:rsid w:val="0049406D"/>
    <w:rsid w:val="00495DE6"/>
    <w:rsid w:val="004A4541"/>
    <w:rsid w:val="004B05D1"/>
    <w:rsid w:val="004C3A54"/>
    <w:rsid w:val="004C4F16"/>
    <w:rsid w:val="004D4B3C"/>
    <w:rsid w:val="004D51B7"/>
    <w:rsid w:val="004F3EFB"/>
    <w:rsid w:val="00501B43"/>
    <w:rsid w:val="00512B86"/>
    <w:rsid w:val="005156AF"/>
    <w:rsid w:val="0052046C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B7BD8"/>
    <w:rsid w:val="006C2523"/>
    <w:rsid w:val="006C636F"/>
    <w:rsid w:val="006D0088"/>
    <w:rsid w:val="006D791C"/>
    <w:rsid w:val="006D7E33"/>
    <w:rsid w:val="006E16C7"/>
    <w:rsid w:val="006E7465"/>
    <w:rsid w:val="006F560A"/>
    <w:rsid w:val="006F6E0D"/>
    <w:rsid w:val="0070323B"/>
    <w:rsid w:val="00714CB9"/>
    <w:rsid w:val="00721AD9"/>
    <w:rsid w:val="007223E9"/>
    <w:rsid w:val="007231FE"/>
    <w:rsid w:val="00735047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B4FEB"/>
    <w:rsid w:val="008E59A5"/>
    <w:rsid w:val="008F0B34"/>
    <w:rsid w:val="00905988"/>
    <w:rsid w:val="00907FF6"/>
    <w:rsid w:val="0091277B"/>
    <w:rsid w:val="009131FA"/>
    <w:rsid w:val="00915DCB"/>
    <w:rsid w:val="0092552D"/>
    <w:rsid w:val="00934E19"/>
    <w:rsid w:val="0093514C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B1C48"/>
    <w:rsid w:val="00AD4369"/>
    <w:rsid w:val="00AD6678"/>
    <w:rsid w:val="00B064DC"/>
    <w:rsid w:val="00B124CA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1606"/>
    <w:rsid w:val="00BA5124"/>
    <w:rsid w:val="00BF1120"/>
    <w:rsid w:val="00BF20D5"/>
    <w:rsid w:val="00C232F5"/>
    <w:rsid w:val="00C241ED"/>
    <w:rsid w:val="00C369D3"/>
    <w:rsid w:val="00C414E0"/>
    <w:rsid w:val="00C50743"/>
    <w:rsid w:val="00C55118"/>
    <w:rsid w:val="00C720F1"/>
    <w:rsid w:val="00C75B52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2AAC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639B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paragraph" w:customStyle="1" w:styleId="ParagraphStyle">
    <w:name w:val="Paragraph Style"/>
    <w:rsid w:val="004C3A54"/>
    <w:pPr>
      <w:widowControl/>
      <w:autoSpaceDE w:val="0"/>
      <w:autoSpaceDN w:val="0"/>
      <w:adjustRightInd w:val="0"/>
    </w:pPr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24E9-C0C2-410C-848F-CC9D8F14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12252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Босович Ольга Костянтинівна</cp:lastModifiedBy>
  <cp:revision>18</cp:revision>
  <cp:lastPrinted>2024-05-03T07:24:00Z</cp:lastPrinted>
  <dcterms:created xsi:type="dcterms:W3CDTF">2024-05-01T10:49:00Z</dcterms:created>
  <dcterms:modified xsi:type="dcterms:W3CDTF">2024-05-03T07:24:00Z</dcterms:modified>
</cp:coreProperties>
</file>