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2E34" w14:textId="77777777" w:rsidR="004D1119" w:rsidRPr="00D444D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384427442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384427442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444D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444D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444D3">
        <w:rPr>
          <w:b/>
          <w:bCs/>
          <w:sz w:val="24"/>
          <w:szCs w:val="24"/>
          <w:lang w:val="ru-RU"/>
        </w:rPr>
        <w:t xml:space="preserve">№ </w:t>
      </w:r>
      <w:r w:rsidR="004D1119" w:rsidRPr="00D444D3">
        <w:rPr>
          <w:b/>
          <w:bCs/>
          <w:sz w:val="24"/>
          <w:szCs w:val="24"/>
          <w:lang w:val="ru-RU"/>
        </w:rPr>
        <w:t>ПЗН-61406 від 16.01.2024</w:t>
      </w:r>
    </w:p>
    <w:p w14:paraId="781D03CD" w14:textId="77777777" w:rsidR="004D1119" w:rsidRPr="00D444D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444D3">
        <w:rPr>
          <w:sz w:val="24"/>
          <w:szCs w:val="24"/>
          <w:lang w:val="ru-RU"/>
        </w:rPr>
        <w:t>до проєкту рішення Київської міської ради:</w:t>
      </w:r>
    </w:p>
    <w:p w14:paraId="69E0EA30" w14:textId="5F32C344" w:rsidR="004D1119" w:rsidRPr="004D1119" w:rsidRDefault="004D1119" w:rsidP="00D444D3">
      <w:pPr>
        <w:pStyle w:val="a7"/>
        <w:shd w:val="clear" w:color="auto" w:fill="auto"/>
        <w:spacing w:line="266" w:lineRule="auto"/>
        <w:ind w:right="2739"/>
        <w:jc w:val="center"/>
        <w:rPr>
          <w:b/>
          <w:b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444D3" w:rsidRPr="00D444D3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«ПРОКСІМУС» земельної ділянки в оренду для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</w:t>
      </w:r>
      <w:r w:rsidR="00CC1D7B">
        <w:rPr>
          <w:rFonts w:eastAsia="Georgia"/>
          <w:b/>
          <w:i/>
          <w:iCs/>
          <w:sz w:val="24"/>
          <w:szCs w:val="24"/>
          <w:lang w:val="ru-RU"/>
        </w:rPr>
        <w:t xml:space="preserve">            </w:t>
      </w:r>
      <w:r w:rsidR="00D444D3" w:rsidRPr="00D444D3">
        <w:rPr>
          <w:rFonts w:eastAsia="Georgia"/>
          <w:b/>
          <w:i/>
          <w:iCs/>
          <w:sz w:val="24"/>
          <w:szCs w:val="24"/>
          <w:lang w:val="ru-RU"/>
        </w:rPr>
        <w:t>вул. Пост-Волинській, 3 у Солом'янському районі 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CC1D7B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D444D3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«ПРОКСІУМ»</w:t>
            </w:r>
          </w:p>
        </w:tc>
      </w:tr>
      <w:tr w:rsidR="004D1119" w:rsidRPr="00D444D3" w14:paraId="6A6CF238" w14:textId="77777777" w:rsidTr="00D444D3">
        <w:trPr>
          <w:cantSplit/>
          <w:trHeight w:hRule="exact" w:val="307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444D3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5184479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432743C8" w14:textId="77777777" w:rsidR="00D444D3" w:rsidRP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НЕБОСЕНКО ЮРІЙ АНАТОЛІЙОВИЧ</w:t>
            </w:r>
          </w:p>
          <w:p w14:paraId="610F9FE9" w14:textId="32CEE00D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r>
              <w:rPr>
                <w:i/>
                <w:iCs/>
                <w:sz w:val="24"/>
                <w:szCs w:val="24"/>
                <w:lang w:val="ru-RU"/>
              </w:rPr>
              <w:t>,</w:t>
            </w:r>
            <w:r w:rsidRPr="00D444D3">
              <w:rPr>
                <w:i/>
                <w:iCs/>
                <w:sz w:val="24"/>
                <w:szCs w:val="24"/>
                <w:lang w:val="ru-RU"/>
              </w:rPr>
              <w:t xml:space="preserve"> 03035, м. Київ, вул. Кудряшова</w:t>
            </w:r>
          </w:p>
          <w:p w14:paraId="44CA0C9C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146C7988" w14:textId="0B2FD34E" w:rsidR="00D444D3" w:rsidRP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КРИВУШКІН ОЛЕГ ОЛЕКСАНДРОВИЧ</w:t>
            </w:r>
          </w:p>
          <w:p w14:paraId="019F78EC" w14:textId="59D48AC9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r>
              <w:rPr>
                <w:i/>
                <w:iCs/>
                <w:sz w:val="24"/>
                <w:szCs w:val="24"/>
                <w:lang w:val="ru-RU"/>
              </w:rPr>
              <w:t>,</w:t>
            </w:r>
            <w:r w:rsidRPr="00D444D3">
              <w:rPr>
                <w:i/>
                <w:iCs/>
                <w:sz w:val="24"/>
                <w:szCs w:val="24"/>
                <w:lang w:val="ru-RU"/>
              </w:rPr>
              <w:t xml:space="preserve"> 03170, м. Київ, б-р. Ромена Ролана</w:t>
            </w:r>
          </w:p>
          <w:p w14:paraId="67CDC8A1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775CF4F5" w14:textId="7EF7142C" w:rsidR="00D444D3" w:rsidRP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НЕПЕКЛО АНДРІЙ ЛЕОНІДОВИЧ</w:t>
            </w:r>
          </w:p>
          <w:p w14:paraId="3CBF2C12" w14:textId="6DA67B09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r>
              <w:rPr>
                <w:i/>
                <w:iCs/>
                <w:sz w:val="24"/>
                <w:szCs w:val="24"/>
                <w:lang w:val="ru-RU"/>
              </w:rPr>
              <w:t>,</w:t>
            </w:r>
            <w:r w:rsidRPr="00D444D3">
              <w:rPr>
                <w:i/>
                <w:iCs/>
                <w:sz w:val="24"/>
                <w:szCs w:val="24"/>
                <w:lang w:val="ru-RU"/>
              </w:rPr>
              <w:t xml:space="preserve"> 03187, м. Київ, вул. Заболотного</w:t>
            </w:r>
          </w:p>
          <w:p w14:paraId="217F913B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19DB0782" w14:textId="1DBAC761" w:rsidR="00D444D3" w:rsidRP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КРИВУШКІН ВАЛЕРІЙ ОЛЕКСАНДРОВИЧ</w:t>
            </w:r>
          </w:p>
          <w:p w14:paraId="13ACE229" w14:textId="16DBD0B5" w:rsidR="004D1119" w:rsidRPr="00A43048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r>
              <w:rPr>
                <w:i/>
                <w:iCs/>
                <w:sz w:val="24"/>
                <w:szCs w:val="24"/>
                <w:lang w:val="ru-RU"/>
              </w:rPr>
              <w:t>,</w:t>
            </w:r>
            <w:r w:rsidRPr="00D444D3">
              <w:rPr>
                <w:i/>
                <w:iCs/>
                <w:sz w:val="24"/>
                <w:szCs w:val="24"/>
                <w:lang w:val="ru-RU"/>
              </w:rPr>
              <w:t xml:space="preserve"> 03170, м. Київ, б-р. Ромена Роллана</w:t>
            </w:r>
          </w:p>
        </w:tc>
      </w:tr>
      <w:tr w:rsidR="004D1119" w:rsidRPr="00D444D3" w14:paraId="2EEB9864" w14:textId="77777777" w:rsidTr="00D444D3">
        <w:trPr>
          <w:cantSplit/>
          <w:trHeight w:hRule="exact" w:val="2269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D444D3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66A9D1D0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29E68F47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НЕБОСЕНКО ЮРІЙ АНАТОЛІЙОВИЧ</w:t>
            </w:r>
          </w:p>
          <w:p w14:paraId="14915F58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Україна 03035, м. Київ, вул. Кудряшова</w:t>
            </w:r>
          </w:p>
          <w:p w14:paraId="24B1DE45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083A4155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КРИВУШКІН ВАЛЕРІЙ ОЛЕКСАНДРОВИЧ</w:t>
            </w:r>
          </w:p>
          <w:p w14:paraId="260DCCA1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 xml:space="preserve">Україна 03170, м. Київ, </w:t>
            </w:r>
            <w:r>
              <w:rPr>
                <w:i/>
                <w:iCs/>
                <w:sz w:val="24"/>
                <w:szCs w:val="24"/>
                <w:lang w:val="ru-RU"/>
              </w:rPr>
              <w:t>б-р</w:t>
            </w:r>
            <w:r w:rsidRPr="00D444D3">
              <w:rPr>
                <w:i/>
                <w:iCs/>
                <w:sz w:val="24"/>
                <w:szCs w:val="24"/>
                <w:lang w:val="ru-RU"/>
              </w:rPr>
              <w:t>. Роллана Ромена</w:t>
            </w:r>
          </w:p>
          <w:p w14:paraId="7F8F4994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5370B4E1" w14:textId="77777777" w:rsidR="00D444D3" w:rsidRDefault="00D444D3" w:rsidP="00D444D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>КРИВУШКІН ОЛЕГ ОЛЕКСАНДРОВИЧ</w:t>
            </w:r>
          </w:p>
          <w:p w14:paraId="395C8F20" w14:textId="6E644927" w:rsidR="004D1119" w:rsidRPr="00A43048" w:rsidRDefault="00D444D3" w:rsidP="00D444D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iCs/>
                <w:sz w:val="24"/>
                <w:szCs w:val="24"/>
                <w:lang w:val="ru-RU"/>
              </w:rPr>
              <w:t xml:space="preserve">Україна 03170, м. Київ, </w:t>
            </w:r>
            <w:r>
              <w:rPr>
                <w:i/>
                <w:iCs/>
                <w:sz w:val="24"/>
                <w:szCs w:val="24"/>
                <w:lang w:val="ru-RU"/>
              </w:rPr>
              <w:t>б-р</w:t>
            </w:r>
            <w:r w:rsidRPr="00D444D3">
              <w:rPr>
                <w:i/>
                <w:iCs/>
                <w:sz w:val="24"/>
                <w:szCs w:val="24"/>
                <w:lang w:val="ru-RU"/>
              </w:rPr>
              <w:t>. Роллана Ромена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D444D3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444D3">
              <w:rPr>
                <w:i/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18.12.2023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384427442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BA436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D444D3">
        <w:rPr>
          <w:b/>
          <w:bCs/>
          <w:sz w:val="24"/>
          <w:szCs w:val="24"/>
          <w:lang w:val="ru-RU"/>
        </w:rPr>
        <w:t>8000000000:69:264:0008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BA4369">
        <w:trPr>
          <w:trHeight w:val="49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Солом'янський, вул. Пост-Волинська, 3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0,2493 га</w:t>
            </w:r>
          </w:p>
        </w:tc>
      </w:tr>
      <w:tr w:rsidR="004D1119" w:rsidRPr="00CC1D7B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25817BD" w:rsidR="004D1119" w:rsidRPr="00A43048" w:rsidRDefault="006E106A" w:rsidP="00BA436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D444D3">
              <w:rPr>
                <w:i/>
                <w:sz w:val="24"/>
                <w:szCs w:val="24"/>
              </w:rPr>
              <w:t xml:space="preserve"> на </w:t>
            </w:r>
            <w:r w:rsidR="00BA4369">
              <w:rPr>
                <w:i/>
                <w:sz w:val="24"/>
                <w:szCs w:val="24"/>
              </w:rPr>
              <w:t>10</w:t>
            </w:r>
            <w:r w:rsidR="00D444D3">
              <w:rPr>
                <w:i/>
                <w:sz w:val="24"/>
                <w:szCs w:val="24"/>
              </w:rPr>
              <w:t xml:space="preserve">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C1D7B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E026127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BA4369">
        <w:trPr>
          <w:trHeight w:val="10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D444D3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56CAA4F" w:rsidR="00A21758" w:rsidRPr="00A43048" w:rsidRDefault="00C675D8" w:rsidP="00BA4369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03.10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BA4369">
              <w:rPr>
                <w:rStyle w:val="a9"/>
                <w:sz w:val="24"/>
                <w:szCs w:val="24"/>
              </w:rPr>
              <w:t xml:space="preserve"> (</w:t>
            </w:r>
            <w:r w:rsidR="00BA4369" w:rsidRPr="00BA4369">
              <w:rPr>
                <w:rStyle w:val="a9"/>
                <w:sz w:val="24"/>
                <w:szCs w:val="24"/>
              </w:rPr>
              <w:t>для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BA4369">
              <w:rPr>
                <w:rStyle w:val="a9"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lastRenderedPageBreak/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203F1C2" w:rsidR="00E93A88" w:rsidRPr="00A43048" w:rsidRDefault="00D444D3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D444D3">
              <w:rPr>
                <w:rStyle w:val="a9"/>
                <w:sz w:val="24"/>
                <w:szCs w:val="24"/>
              </w:rPr>
              <w:t>8 760 628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 w:rsidRPr="00D444D3">
              <w:rPr>
                <w:rStyle w:val="a9"/>
                <w:sz w:val="24"/>
                <w:szCs w:val="24"/>
              </w:rPr>
              <w:t>50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CC1D7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5E599F61" w14:textId="77777777" w:rsidR="00D444D3" w:rsidRPr="00DD3D55" w:rsidRDefault="00D444D3" w:rsidP="00D444D3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F443A4F" w14:textId="22977E3C" w:rsidR="00D444D3" w:rsidRDefault="00D444D3" w:rsidP="00D444D3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="0099289E" w:rsidRPr="0099289E">
        <w:rPr>
          <w:sz w:val="24"/>
          <w:szCs w:val="24"/>
          <w:lang w:val="uk-UA"/>
        </w:rPr>
        <w:t>від 15</w:t>
      </w:r>
      <w:r w:rsidR="0099289E">
        <w:rPr>
          <w:sz w:val="24"/>
          <w:szCs w:val="24"/>
          <w:lang w:val="uk-UA"/>
        </w:rPr>
        <w:t>.01.</w:t>
      </w:r>
      <w:r w:rsidR="0099289E" w:rsidRPr="0099289E">
        <w:rPr>
          <w:sz w:val="24"/>
          <w:szCs w:val="24"/>
          <w:lang w:val="uk-UA"/>
        </w:rPr>
        <w:t>2024 № НВ-0000076452024</w:t>
      </w:r>
      <w:r w:rsidRPr="00DD3D55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99289E" w:rsidRPr="0099289E">
        <w:rPr>
          <w:sz w:val="24"/>
          <w:szCs w:val="24"/>
          <w:lang w:val="uk-UA"/>
        </w:rPr>
        <w:t>08</w:t>
      </w:r>
      <w:r w:rsidR="0099289E">
        <w:rPr>
          <w:sz w:val="24"/>
          <w:szCs w:val="24"/>
          <w:lang w:val="uk-UA"/>
        </w:rPr>
        <w:t>.01.</w:t>
      </w:r>
      <w:r w:rsidR="0099289E" w:rsidRPr="0099289E">
        <w:rPr>
          <w:sz w:val="24"/>
          <w:szCs w:val="24"/>
          <w:lang w:val="uk-UA"/>
        </w:rPr>
        <w:t>2024, номер відомостей про речове право 53266250</w:t>
      </w:r>
      <w:r w:rsidRPr="00DD3D55">
        <w:rPr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4121A96A" w14:textId="77777777" w:rsidR="0099289E" w:rsidRPr="00DD3D55" w:rsidRDefault="0099289E" w:rsidP="00D444D3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5DA2E50E" w14:textId="77777777" w:rsidR="00D444D3" w:rsidRPr="00DD3D55" w:rsidRDefault="00D444D3" w:rsidP="00D444D3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Мета прийняття рішення.</w:t>
      </w:r>
    </w:p>
    <w:p w14:paraId="4D3A30BD" w14:textId="4C4B1B79" w:rsidR="00D444D3" w:rsidRDefault="00D444D3" w:rsidP="00D444D3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7869CB51" w14:textId="77777777" w:rsidR="0099289E" w:rsidRPr="00DD3D55" w:rsidRDefault="0099289E" w:rsidP="00D444D3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7CDC7642" w14:textId="77777777" w:rsidR="00D444D3" w:rsidRPr="00DD3D55" w:rsidRDefault="00D444D3" w:rsidP="00D444D3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D444D3" w:rsidRPr="00CC1D7B" w14:paraId="331014E7" w14:textId="77777777" w:rsidTr="0002349E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9E7" w14:textId="77777777" w:rsidR="00D444D3" w:rsidRPr="00DD3D55" w:rsidRDefault="00D444D3" w:rsidP="0002349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2ACFDA5C" w14:textId="77777777" w:rsidR="00D444D3" w:rsidRPr="00DD3D55" w:rsidRDefault="00D444D3" w:rsidP="0002349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EB2" w14:textId="69591EFC" w:rsidR="00D444D3" w:rsidRPr="00DD3D55" w:rsidRDefault="00D444D3" w:rsidP="00FE37AC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 xml:space="preserve">майновий комплекс загальною площею 1337,6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кв. м, який перебуває у власності ТОВАРИСТВА З ОБМЕЖЕНОЮ ВІДПОВІДАЛЬНІСТЮ «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ПРОКСІМУС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»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 xml:space="preserve"> на підставі договору купівлі-продажу нерухомості від 28.03.2023 № 153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право власності зареєстровано у Державному реєстрі речових прав на нерухоме майно 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28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3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23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49726160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від 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09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01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24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361199011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D444D3" w:rsidRPr="00CC1D7B" w14:paraId="62202EAE" w14:textId="77777777" w:rsidTr="0002349E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C248" w14:textId="77777777" w:rsidR="00D444D3" w:rsidRPr="00DD3D55" w:rsidRDefault="00D444D3" w:rsidP="0002349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7E5" w14:textId="5A585521" w:rsidR="00D444D3" w:rsidRPr="00B94F49" w:rsidRDefault="00D444D3" w:rsidP="00FE37AC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 w:rsidRPr="005F6018">
              <w:rPr>
                <w:rFonts w:ascii="Times New Roman" w:eastAsia="Times New Roman" w:hAnsi="Times New Roman" w:cs="Times New Roman"/>
                <w:i/>
              </w:rPr>
              <w:t xml:space="preserve">детального плану території в межах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="00FE37AC">
              <w:rPr>
                <w:rFonts w:ascii="Times New Roman" w:eastAsia="Times New Roman" w:hAnsi="Times New Roman" w:cs="Times New Roman"/>
                <w:i/>
              </w:rPr>
              <w:t xml:space="preserve">бульв. І. Лепсе, вул. Суздальської, вул. Академіка Білецького і залізниці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F6018">
              <w:rPr>
                <w:rFonts w:ascii="Times New Roman" w:eastAsia="Times New Roman" w:hAnsi="Times New Roman" w:cs="Times New Roman"/>
                <w:i/>
              </w:rPr>
              <w:t>у Солом’янському районі м. Києва, затвердженого рішенням Київської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F6018">
              <w:rPr>
                <w:rFonts w:ascii="Times New Roman" w:eastAsia="Times New Roman" w:hAnsi="Times New Roman" w:cs="Times New Roman"/>
                <w:i/>
              </w:rPr>
              <w:t>міської ради від 20.12.2017 № 100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7</w:t>
            </w:r>
            <w:r w:rsidRPr="005F6018">
              <w:rPr>
                <w:rFonts w:ascii="Times New Roman" w:eastAsia="Times New Roman" w:hAnsi="Times New Roman" w:cs="Times New Roman"/>
                <w:i/>
              </w:rPr>
              <w:t>/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4014</w:t>
            </w:r>
            <w:r>
              <w:rPr>
                <w:rFonts w:ascii="Times New Roman" w:eastAsia="Times New Roman" w:hAnsi="Times New Roman" w:cs="Times New Roman"/>
                <w:i/>
              </w:rPr>
              <w:t>, земельна ділянка за функціональним призначення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належить до території громадських будівель і споруд (існуючі) (витяг з містобудівного кадастру наданий Департаментом містобудування та архітектури виконавчого органу Київської міської ради (Київської міської державної адміністрації) листом від 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</w:rPr>
              <w:t>.2023 № 055-</w:t>
            </w:r>
            <w:r w:rsidR="00FE37AC">
              <w:rPr>
                <w:rFonts w:ascii="Times New Roman" w:eastAsia="Times New Roman" w:hAnsi="Times New Roman" w:cs="Times New Roman"/>
                <w:i/>
              </w:rPr>
              <w:t>10847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D444D3" w:rsidRPr="00CC1D7B" w14:paraId="521A36A1" w14:textId="77777777" w:rsidTr="0002349E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809" w14:textId="77777777" w:rsidR="00D444D3" w:rsidRPr="00DD3D55" w:rsidRDefault="00D444D3" w:rsidP="0002349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61BFD72E" w14:textId="77777777" w:rsidR="00D444D3" w:rsidRPr="00DD3D55" w:rsidRDefault="00D444D3" w:rsidP="0002349E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DD3D55">
              <w:rPr>
                <w:i/>
                <w:sz w:val="24"/>
                <w:szCs w:val="24"/>
              </w:rPr>
              <w:t xml:space="preserve">з </w:t>
            </w:r>
          </w:p>
          <w:p w14:paraId="17AEFC78" w14:textId="77777777" w:rsidR="00D444D3" w:rsidRPr="00DD3D55" w:rsidRDefault="00D444D3" w:rsidP="0002349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BA1" w14:textId="77777777" w:rsidR="00D444D3" w:rsidRPr="00DD3D55" w:rsidRDefault="00D444D3" w:rsidP="00D444D3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i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 w:rsidRPr="00B94F49">
              <w:rPr>
                <w:i/>
                <w:sz w:val="24"/>
                <w:szCs w:val="24"/>
              </w:rPr>
              <w:t>громадських будівель і споруд (існуючі)</w:t>
            </w:r>
            <w:r w:rsidRPr="00DD3D55">
              <w:rPr>
                <w:i/>
                <w:sz w:val="24"/>
                <w:szCs w:val="24"/>
              </w:rPr>
              <w:t>.</w:t>
            </w:r>
          </w:p>
        </w:tc>
      </w:tr>
      <w:tr w:rsidR="00D444D3" w:rsidRPr="00CC1D7B" w14:paraId="26FAB2F1" w14:textId="77777777" w:rsidTr="00FE37A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A1D8" w14:textId="77777777" w:rsidR="00D444D3" w:rsidRPr="00DD3D55" w:rsidRDefault="00D444D3" w:rsidP="0002349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FC4" w14:textId="3A630CDC" w:rsidR="00D444D3" w:rsidRPr="00DD3D55" w:rsidRDefault="00D444D3" w:rsidP="00676388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 w:rsidR="00FE37AC">
              <w:rPr>
                <w:bCs/>
                <w:i/>
                <w:sz w:val="24"/>
                <w:szCs w:val="24"/>
              </w:rPr>
              <w:t>08</w:t>
            </w:r>
            <w:r>
              <w:rPr>
                <w:bCs/>
                <w:i/>
                <w:sz w:val="24"/>
                <w:szCs w:val="24"/>
              </w:rPr>
              <w:t>.</w:t>
            </w:r>
            <w:r w:rsidR="00FE37AC">
              <w:rPr>
                <w:bCs/>
                <w:i/>
                <w:sz w:val="24"/>
                <w:szCs w:val="24"/>
              </w:rPr>
              <w:t>01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B94F49">
              <w:rPr>
                <w:bCs/>
                <w:i/>
                <w:sz w:val="24"/>
                <w:szCs w:val="24"/>
              </w:rPr>
              <w:t>202</w:t>
            </w:r>
            <w:r w:rsidR="00FE37AC">
              <w:rPr>
                <w:bCs/>
                <w:i/>
                <w:sz w:val="24"/>
                <w:szCs w:val="24"/>
              </w:rPr>
              <w:t>4</w:t>
            </w:r>
            <w:r w:rsidRPr="00B94F49">
              <w:rPr>
                <w:bCs/>
                <w:i/>
                <w:sz w:val="24"/>
                <w:szCs w:val="24"/>
              </w:rPr>
              <w:t xml:space="preserve">, номер відомостей про речове </w:t>
            </w:r>
            <w:r w:rsidRPr="00B94F49">
              <w:rPr>
                <w:bCs/>
                <w:i/>
                <w:sz w:val="24"/>
                <w:szCs w:val="24"/>
              </w:rPr>
              <w:lastRenderedPageBreak/>
              <w:t xml:space="preserve">право </w:t>
            </w:r>
            <w:r w:rsidR="00FE37AC">
              <w:rPr>
                <w:bCs/>
                <w:i/>
                <w:sz w:val="24"/>
                <w:szCs w:val="24"/>
              </w:rPr>
              <w:t>53266250</w:t>
            </w:r>
            <w:r w:rsidRPr="00DD3D55">
              <w:rPr>
                <w:bCs/>
                <w:i/>
                <w:sz w:val="24"/>
                <w:szCs w:val="24"/>
              </w:rPr>
              <w:t xml:space="preserve"> (інформація з Державного реєстру речових прав</w:t>
            </w:r>
            <w:r w:rsidR="00676388">
              <w:rPr>
                <w:bCs/>
                <w:i/>
                <w:sz w:val="24"/>
                <w:szCs w:val="24"/>
              </w:rPr>
              <w:t xml:space="preserve"> на нерухоме майно </w:t>
            </w:r>
            <w:r w:rsidRPr="00DD3D55">
              <w:rPr>
                <w:bCs/>
                <w:i/>
                <w:sz w:val="24"/>
                <w:szCs w:val="24"/>
              </w:rPr>
              <w:t xml:space="preserve">від </w:t>
            </w:r>
            <w:r w:rsidR="00FE37AC">
              <w:rPr>
                <w:bCs/>
                <w:i/>
                <w:sz w:val="24"/>
                <w:szCs w:val="24"/>
              </w:rPr>
              <w:t>12</w:t>
            </w:r>
            <w:r w:rsidRPr="00DD3D55">
              <w:rPr>
                <w:bCs/>
                <w:i/>
                <w:sz w:val="24"/>
                <w:szCs w:val="24"/>
              </w:rPr>
              <w:t>.</w:t>
            </w:r>
            <w:r>
              <w:rPr>
                <w:bCs/>
                <w:i/>
                <w:sz w:val="24"/>
                <w:szCs w:val="24"/>
              </w:rPr>
              <w:t>01</w:t>
            </w:r>
            <w:r w:rsidRPr="00DD3D55">
              <w:rPr>
                <w:bCs/>
                <w:i/>
                <w:sz w:val="24"/>
                <w:szCs w:val="24"/>
              </w:rPr>
              <w:t>.202</w:t>
            </w:r>
            <w:r>
              <w:rPr>
                <w:bCs/>
                <w:i/>
                <w:sz w:val="24"/>
                <w:szCs w:val="24"/>
              </w:rPr>
              <w:t>4</w:t>
            </w:r>
            <w:r w:rsidRPr="00DD3D55">
              <w:rPr>
                <w:bCs/>
                <w:i/>
                <w:sz w:val="24"/>
                <w:szCs w:val="24"/>
              </w:rPr>
              <w:t xml:space="preserve"> № </w:t>
            </w:r>
            <w:r w:rsidR="00FE37AC">
              <w:rPr>
                <w:bCs/>
                <w:i/>
                <w:sz w:val="24"/>
                <w:szCs w:val="24"/>
              </w:rPr>
              <w:t>361621114</w:t>
            </w:r>
            <w:r w:rsidRPr="00DD3D5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D444D3" w:rsidRPr="00CC1D7B" w14:paraId="3D993BCE" w14:textId="77777777" w:rsidTr="0002349E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9EFD" w14:textId="77777777" w:rsidR="00D444D3" w:rsidRPr="00DD3D55" w:rsidRDefault="00D444D3" w:rsidP="0002349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lastRenderedPageBreak/>
              <w:t xml:space="preserve"> Розташування в зеленій </w:t>
            </w:r>
          </w:p>
          <w:p w14:paraId="3E734F24" w14:textId="77777777" w:rsidR="00D444D3" w:rsidRPr="00DD3D55" w:rsidRDefault="00D444D3" w:rsidP="0002349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C09" w14:textId="77777777" w:rsidR="00D444D3" w:rsidRPr="00DD3D55" w:rsidRDefault="00D444D3" w:rsidP="00D444D3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D444D3" w:rsidRPr="00CC1D7B" w14:paraId="0B03D015" w14:textId="77777777" w:rsidTr="0002349E">
        <w:trPr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3550" w14:textId="77777777" w:rsidR="00D444D3" w:rsidRPr="00DD3D55" w:rsidRDefault="00D444D3" w:rsidP="0002349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1FB" w14:textId="5FC427FF" w:rsidR="00D444D3" w:rsidRDefault="00D444D3" w:rsidP="00D444D3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01312">
              <w:rPr>
                <w:rFonts w:ascii="Times New Roman" w:hAnsi="Times New Roman" w:cs="Times New Roman"/>
                <w:i/>
              </w:rPr>
              <w:t xml:space="preserve">площею </w:t>
            </w:r>
            <w:r>
              <w:rPr>
                <w:rFonts w:ascii="Times New Roman" w:hAnsi="Times New Roman" w:cs="Times New Roman"/>
                <w:i/>
              </w:rPr>
              <w:t>0,</w:t>
            </w:r>
            <w:r w:rsidR="0092041D">
              <w:rPr>
                <w:rFonts w:ascii="Times New Roman" w:hAnsi="Times New Roman" w:cs="Times New Roman"/>
                <w:i/>
              </w:rPr>
              <w:t>2493</w:t>
            </w:r>
            <w:r w:rsidRPr="00401312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 w:rsidR="0092041D">
              <w:rPr>
                <w:rFonts w:ascii="Times New Roman" w:hAnsi="Times New Roman" w:cs="Times New Roman"/>
                <w:i/>
              </w:rPr>
              <w:t>69</w:t>
            </w:r>
            <w:r w:rsidRPr="00526684">
              <w:rPr>
                <w:rFonts w:ascii="Times New Roman" w:hAnsi="Times New Roman" w:cs="Times New Roman"/>
                <w:i/>
              </w:rPr>
              <w:t>:</w:t>
            </w:r>
            <w:r w:rsidR="0092041D">
              <w:rPr>
                <w:rFonts w:ascii="Times New Roman" w:hAnsi="Times New Roman" w:cs="Times New Roman"/>
                <w:i/>
              </w:rPr>
              <w:t>264</w:t>
            </w:r>
            <w:r w:rsidRPr="00526684">
              <w:rPr>
                <w:rFonts w:ascii="Times New Roman" w:hAnsi="Times New Roman" w:cs="Times New Roman"/>
                <w:i/>
              </w:rPr>
              <w:t>:000</w:t>
            </w:r>
            <w:r w:rsidR="0092041D">
              <w:rPr>
                <w:rFonts w:ascii="Times New Roman" w:hAnsi="Times New Roman" w:cs="Times New Roman"/>
                <w:i/>
              </w:rPr>
              <w:t>8</w:t>
            </w:r>
            <w:r w:rsidRPr="00401312">
              <w:rPr>
                <w:rFonts w:ascii="Times New Roman" w:hAnsi="Times New Roman" w:cs="Times New Roman"/>
                <w:i/>
              </w:rPr>
              <w:t xml:space="preserve">) на вул. </w:t>
            </w:r>
            <w:r w:rsidR="0092041D">
              <w:rPr>
                <w:rFonts w:ascii="Times New Roman" w:hAnsi="Times New Roman" w:cs="Times New Roman"/>
                <w:i/>
              </w:rPr>
              <w:t xml:space="preserve">Пост-Волинській, 3 </w:t>
            </w:r>
            <w:r w:rsidRPr="00401312">
              <w:rPr>
                <w:rFonts w:ascii="Times New Roman" w:hAnsi="Times New Roman" w:cs="Times New Roman"/>
                <w:i/>
              </w:rPr>
              <w:t xml:space="preserve">у Солом’янському районі міста Києва сформована на виконання Міської цільової програми використання та охорони земель міста Києва на </w:t>
            </w:r>
            <w:r w:rsidRPr="00526684">
              <w:rPr>
                <w:rFonts w:ascii="Times New Roman" w:hAnsi="Times New Roman" w:cs="Times New Roman"/>
                <w:i/>
              </w:rPr>
              <w:t>2022-2025 роки, затверджен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526684">
              <w:rPr>
                <w:rFonts w:ascii="Times New Roman" w:hAnsi="Times New Roman" w:cs="Times New Roman"/>
                <w:i/>
              </w:rPr>
              <w:t xml:space="preserve"> рішенням Київської міської ради від 07.10.2021 № 2727/2768</w:t>
            </w:r>
            <w:r w:rsidRPr="00401312">
              <w:rPr>
                <w:rFonts w:ascii="Times New Roman" w:hAnsi="Times New Roman" w:cs="Times New Roman"/>
                <w:i/>
              </w:rPr>
              <w:t>, та зареєстрована у Державному земельному кадастрі з цільовим призначенням: 03.</w:t>
            </w:r>
            <w:r>
              <w:rPr>
                <w:rFonts w:ascii="Times New Roman" w:hAnsi="Times New Roman" w:cs="Times New Roman"/>
                <w:i/>
              </w:rPr>
              <w:t xml:space="preserve">10 </w:t>
            </w:r>
            <w:r w:rsidRPr="00526684">
              <w:rPr>
                <w:rFonts w:ascii="Times New Roman" w:hAnsi="Times New Roman" w:cs="Times New Roman"/>
                <w:i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0DB8B4CF" w14:textId="1E03DB82" w:rsidR="00D444D3" w:rsidRDefault="00D444D3" w:rsidP="00D444D3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 xml:space="preserve">Технічна документація із землеустрою щодо інвентаризації земель, на підставі якої вказана земельна ділянка зареєстрована у Державному земельному кадастрі, затверджена рішенням Київської міської ради від </w:t>
            </w:r>
            <w:r w:rsidR="0092041D">
              <w:rPr>
                <w:rFonts w:ascii="Times New Roman" w:hAnsi="Times New Roman" w:cs="Times New Roman"/>
                <w:i/>
              </w:rPr>
              <w:t>02</w:t>
            </w:r>
            <w:r w:rsidRPr="00401312">
              <w:rPr>
                <w:rFonts w:ascii="Times New Roman" w:hAnsi="Times New Roman" w:cs="Times New Roman"/>
                <w:i/>
              </w:rPr>
              <w:t>.</w:t>
            </w:r>
            <w:r w:rsidR="0092041D">
              <w:rPr>
                <w:rFonts w:ascii="Times New Roman" w:hAnsi="Times New Roman" w:cs="Times New Roman"/>
                <w:i/>
              </w:rPr>
              <w:t>11</w:t>
            </w:r>
            <w:r w:rsidRPr="00401312">
              <w:rPr>
                <w:rFonts w:ascii="Times New Roman" w:hAnsi="Times New Roman" w:cs="Times New Roman"/>
                <w:i/>
              </w:rPr>
              <w:t>.202</w:t>
            </w:r>
            <w:r w:rsidR="0092041D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01312">
              <w:rPr>
                <w:rFonts w:ascii="Times New Roman" w:hAnsi="Times New Roman" w:cs="Times New Roman"/>
                <w:i/>
              </w:rPr>
              <w:t xml:space="preserve">№ </w:t>
            </w:r>
            <w:r w:rsidR="0092041D">
              <w:rPr>
                <w:rFonts w:ascii="Times New Roman" w:hAnsi="Times New Roman" w:cs="Times New Roman"/>
                <w:i/>
              </w:rPr>
              <w:t>7204/7245</w:t>
            </w:r>
            <w:r w:rsidRPr="00401312">
              <w:rPr>
                <w:rFonts w:ascii="Times New Roman" w:hAnsi="Times New Roman" w:cs="Times New Roman"/>
                <w:i/>
              </w:rPr>
              <w:t>.</w:t>
            </w:r>
          </w:p>
          <w:p w14:paraId="01FD2EF6" w14:textId="1B258329" w:rsidR="00D444D3" w:rsidRPr="00526684" w:rsidRDefault="00D444D3" w:rsidP="00D444D3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526684">
              <w:rPr>
                <w:rFonts w:ascii="Times New Roman" w:hAnsi="Times New Roman" w:cs="Times New Roman"/>
                <w:i/>
              </w:rPr>
              <w:t xml:space="preserve">Рішення про передачу зазначеної земельної ділянки у власність або у користування будь-яким фізичним або юридичним особам 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526684">
              <w:rPr>
                <w:rFonts w:ascii="Times New Roman" w:hAnsi="Times New Roman" w:cs="Times New Roman"/>
                <w:i/>
              </w:rPr>
              <w:t>иївська міська рада не приймала.</w:t>
            </w:r>
          </w:p>
          <w:p w14:paraId="68FF4AF6" w14:textId="77777777" w:rsidR="00D444D3" w:rsidRPr="00DD3D55" w:rsidRDefault="00D444D3" w:rsidP="00D444D3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Земельна ділянка розташована поза межами червоних ліній.</w:t>
            </w:r>
          </w:p>
          <w:p w14:paraId="24EBB708" w14:textId="0D475B2A" w:rsidR="00D444D3" w:rsidRPr="00DD3D55" w:rsidRDefault="00D444D3" w:rsidP="00D444D3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Підпунктом 2.8 пункту 2 проєкту рішення запропоновано з урахуванням існуючої судової практики (постанови Верховного Cуду від 18.06.2020 у справі № 925/449/19, від 27.01.2021 у справі № 630/269/16, від 10.02.2021 у справі № 200/8930/18)</w:t>
            </w:r>
            <w:r w:rsidR="0092041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1D97B76" w14:textId="77777777" w:rsidR="00D444D3" w:rsidRPr="00DD3D55" w:rsidRDefault="00D444D3" w:rsidP="00D444D3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F621145" w14:textId="1B91E64E" w:rsidR="00D444D3" w:rsidRPr="00DD3D55" w:rsidRDefault="00D444D3" w:rsidP="00D444D3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92041D"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 w:rsidR="0092041D"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403D4EC6" w14:textId="77777777" w:rsidR="00D444D3" w:rsidRPr="00DD3D55" w:rsidRDefault="00D444D3" w:rsidP="00D444D3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C527A6A" w14:textId="77777777" w:rsidR="00D444D3" w:rsidRPr="00DD3D55" w:rsidRDefault="00D444D3" w:rsidP="00D444D3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0"/>
          <w:szCs w:val="10"/>
          <w:lang w:val="uk-UA"/>
        </w:rPr>
      </w:pPr>
    </w:p>
    <w:p w14:paraId="022A9470" w14:textId="77777777" w:rsidR="004C5269" w:rsidRDefault="004C5269" w:rsidP="00D444D3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759488D0" w14:textId="77777777" w:rsidR="004C5269" w:rsidRDefault="004C5269" w:rsidP="00D444D3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732F049A" w14:textId="4A8F469B" w:rsidR="00D444D3" w:rsidRPr="00DD3D55" w:rsidRDefault="00D444D3" w:rsidP="00D444D3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6DD08ED0" w14:textId="77777777" w:rsidR="00D444D3" w:rsidRPr="00DD3D55" w:rsidRDefault="00D444D3" w:rsidP="00D444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7503BFF7" w14:textId="77777777" w:rsidR="00D444D3" w:rsidRPr="00DD3D55" w:rsidRDefault="00D444D3" w:rsidP="00D444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2BE8510E" w14:textId="77777777" w:rsidR="00D444D3" w:rsidRPr="00DD3D55" w:rsidRDefault="00D444D3" w:rsidP="00D444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0A7A5656" w14:textId="77777777" w:rsidR="00D444D3" w:rsidRPr="00DD3D55" w:rsidRDefault="00D444D3" w:rsidP="00D444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24EE954" w14:textId="77777777" w:rsidR="00D444D3" w:rsidRPr="00DD3D55" w:rsidRDefault="00D444D3" w:rsidP="00D444D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7859E4F3" w14:textId="77777777" w:rsidR="00D444D3" w:rsidRPr="00DD3D55" w:rsidRDefault="00D444D3" w:rsidP="00D444D3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BB12947" w14:textId="0C60AB5E" w:rsidR="00D444D3" w:rsidRPr="00DD3D55" w:rsidRDefault="00D444D3" w:rsidP="00D444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Pr="00D44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438 031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грн </w:t>
      </w:r>
      <w:r w:rsidRPr="00D44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43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46894AF4" w14:textId="77777777" w:rsidR="00D444D3" w:rsidRPr="00DD3D55" w:rsidRDefault="00D444D3" w:rsidP="00D444D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1C0D5B65" w14:textId="77777777" w:rsidR="00D444D3" w:rsidRPr="00DD3D55" w:rsidRDefault="00D444D3" w:rsidP="00D444D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4777E29F" w14:textId="77777777" w:rsidR="00D444D3" w:rsidRPr="00DD3D55" w:rsidRDefault="00D444D3" w:rsidP="00D444D3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5D3DB8B0" w14:textId="77777777" w:rsidR="00D444D3" w:rsidRPr="00DD3D55" w:rsidRDefault="00D444D3" w:rsidP="00D444D3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23E32A5B" w14:textId="77777777" w:rsidR="00D444D3" w:rsidRPr="00DD3D55" w:rsidRDefault="00D444D3" w:rsidP="00D444D3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D3D5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D3D5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5CDCA68B" w14:textId="77777777" w:rsidR="00D444D3" w:rsidRPr="00DD3D55" w:rsidRDefault="00D444D3" w:rsidP="00D444D3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17EE1943" w14:textId="77777777" w:rsidR="00D444D3" w:rsidRPr="00DD3D55" w:rsidRDefault="00D444D3" w:rsidP="00D444D3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444D3" w:rsidRPr="00DD3D55" w14:paraId="36E9478C" w14:textId="77777777" w:rsidTr="0002349E">
        <w:trPr>
          <w:trHeight w:val="287"/>
        </w:trPr>
        <w:tc>
          <w:tcPr>
            <w:tcW w:w="4814" w:type="dxa"/>
            <w:hideMark/>
          </w:tcPr>
          <w:p w14:paraId="244BCEFF" w14:textId="77777777" w:rsidR="00D444D3" w:rsidRPr="00DD3D55" w:rsidRDefault="00D444D3" w:rsidP="0002349E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0B50D432" w14:textId="77777777" w:rsidR="00D444D3" w:rsidRPr="00DD3D55" w:rsidRDefault="00D444D3" w:rsidP="0002349E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E6AA758" w14:textId="77777777" w:rsidR="00D444D3" w:rsidRPr="00DD3D55" w:rsidRDefault="00D444D3" w:rsidP="00D444D3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uk-UA"/>
        </w:rPr>
      </w:pPr>
    </w:p>
    <w:sectPr w:rsidR="00D444D3" w:rsidRPr="00DD3D55" w:rsidSect="003B107A">
      <w:headerReference w:type="default" r:id="rId11"/>
      <w:pgSz w:w="11906" w:h="16838" w:code="9"/>
      <w:pgMar w:top="993" w:right="758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EDD8" w14:textId="77777777" w:rsidR="00432918" w:rsidRDefault="00432918" w:rsidP="004D1119">
      <w:pPr>
        <w:spacing w:after="0" w:line="240" w:lineRule="auto"/>
      </w:pPr>
      <w:r>
        <w:separator/>
      </w:r>
    </w:p>
  </w:endnote>
  <w:endnote w:type="continuationSeparator" w:id="0">
    <w:p w14:paraId="7888E8D3" w14:textId="77777777" w:rsidR="00432918" w:rsidRDefault="0043291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FECD" w14:textId="77777777" w:rsidR="00432918" w:rsidRDefault="00432918" w:rsidP="004D1119">
      <w:pPr>
        <w:spacing w:after="0" w:line="240" w:lineRule="auto"/>
      </w:pPr>
      <w:r>
        <w:separator/>
      </w:r>
    </w:p>
  </w:footnote>
  <w:footnote w:type="continuationSeparator" w:id="0">
    <w:p w14:paraId="3426B59C" w14:textId="77777777" w:rsidR="00432918" w:rsidRDefault="0043291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8E5A8B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979670" cy="5524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6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5023154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4E89AB14" w14:textId="77777777" w:rsidR="00D444D3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64B8B021" w:rsidR="00854FAD" w:rsidRPr="00643941" w:rsidRDefault="00854FAD" w:rsidP="00D444D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Pr="00D444D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ПЗН-61406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16.01.2024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D444D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D444D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384427442</w:t>
                              </w:r>
                            </w:p>
                            <w:p w14:paraId="46F472CC" w14:textId="0090D463" w:rsidR="00854FAD" w:rsidRPr="00854FAD" w:rsidRDefault="00854FAD" w:rsidP="00D444D3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A4369" w:rsidRPr="00BA436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2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15023154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4E89AB14" w14:textId="77777777" w:rsidR="00D444D3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64B8B021" w:rsidR="00854FAD" w:rsidRPr="00643941" w:rsidRDefault="00854FAD" w:rsidP="00D444D3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D444D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ПЗН-61406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16.01.2024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D444D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D444D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384427442</w:t>
                        </w:r>
                      </w:p>
                      <w:p w14:paraId="46F472CC" w14:textId="0090D463" w:rsidR="00854FAD" w:rsidRPr="00854FAD" w:rsidRDefault="00854FAD" w:rsidP="00D444D3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A4369" w:rsidRPr="00BA436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264936">
    <w:abstractNumId w:val="2"/>
  </w:num>
  <w:num w:numId="2" w16cid:durableId="2005664172">
    <w:abstractNumId w:val="0"/>
  </w:num>
  <w:num w:numId="3" w16cid:durableId="179759877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107A"/>
    <w:rsid w:val="003B497B"/>
    <w:rsid w:val="003C4464"/>
    <w:rsid w:val="003C48D1"/>
    <w:rsid w:val="004251B0"/>
    <w:rsid w:val="00432918"/>
    <w:rsid w:val="0044297A"/>
    <w:rsid w:val="00457E5F"/>
    <w:rsid w:val="00465F9E"/>
    <w:rsid w:val="004855E4"/>
    <w:rsid w:val="00494F8F"/>
    <w:rsid w:val="004A3488"/>
    <w:rsid w:val="004A5DBD"/>
    <w:rsid w:val="004C5269"/>
    <w:rsid w:val="004D1119"/>
    <w:rsid w:val="004D5BC3"/>
    <w:rsid w:val="0050254F"/>
    <w:rsid w:val="00511117"/>
    <w:rsid w:val="00533F20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6388"/>
    <w:rsid w:val="00677C54"/>
    <w:rsid w:val="00683654"/>
    <w:rsid w:val="006C7FB9"/>
    <w:rsid w:val="006E106A"/>
    <w:rsid w:val="006E10B3"/>
    <w:rsid w:val="006F2E3B"/>
    <w:rsid w:val="0071776E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41D"/>
    <w:rsid w:val="00920863"/>
    <w:rsid w:val="0099289E"/>
    <w:rsid w:val="009946E5"/>
    <w:rsid w:val="009D6F39"/>
    <w:rsid w:val="009E5D57"/>
    <w:rsid w:val="00A21758"/>
    <w:rsid w:val="00A274B9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A4369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C1D7B"/>
    <w:rsid w:val="00CD0A63"/>
    <w:rsid w:val="00D444D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444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2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4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3C6E-EDBD-462A-89C2-95592F2B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8501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2024-01-19T11:15:00Z</cp:lastPrinted>
  <dcterms:created xsi:type="dcterms:W3CDTF">2024-01-23T12:49:00Z</dcterms:created>
  <dcterms:modified xsi:type="dcterms:W3CDTF">2024-01-23T12:49:00Z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