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0CCB4DB8" w14:textId="4C8A7E2C" w:rsidR="00F6318B" w:rsidRPr="00F6318B" w:rsidRDefault="003847A9" w:rsidP="00DC75A9">
      <w:pPr>
        <w:rPr>
          <w:lang w:val="uk-UA"/>
        </w:rPr>
      </w:pPr>
      <w:r>
        <w:rPr>
          <w:noProof/>
        </w:rPr>
        <w:drawing>
          <wp:anchor distT="0" distB="0" distL="114300" distR="114300" simplePos="0" relativeHeight="251658240" behindDoc="0" locked="0" layoutInCell="1" allowOverlap="1" wp14:anchorId="336358CE" wp14:editId="1FF8954E">
            <wp:simplePos x="0" y="0"/>
            <wp:positionH relativeFrom="column">
              <wp:posOffset>4482465</wp:posOffset>
            </wp:positionH>
            <wp:positionV relativeFrom="paragraph">
              <wp:posOffset>8890</wp:posOffset>
            </wp:positionV>
            <wp:extent cx="1590675" cy="1476375"/>
            <wp:effectExtent l="0" t="0" r="0" b="0"/>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476375"/>
                    </a:xfrm>
                    <a:prstGeom prst="rect">
                      <a:avLst/>
                    </a:prstGeom>
                  </pic:spPr>
                </pic:pic>
              </a:graphicData>
            </a:graphic>
            <wp14:sizeRelV relativeFrom="margin">
              <wp14:pctHeight>0</wp14:pctHeight>
            </wp14:sizeRelV>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9B9A468">
                <wp:simplePos x="0" y="0"/>
                <wp:positionH relativeFrom="column">
                  <wp:posOffset>4424680</wp:posOffset>
                </wp:positionH>
                <wp:positionV relativeFrom="paragraph">
                  <wp:posOffset>1339215</wp:posOffset>
                </wp:positionV>
                <wp:extent cx="1762125" cy="233045"/>
                <wp:effectExtent l="0" t="0" r="9525"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374442350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8.4pt;margin-top:105.45pt;width:138.75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" stroked="f">
                <v:textbox style="mso-fit-shape-to-text:t">
                  <w:txbxContent>
                    <w:p w14:paraId="16B69CE0" w14:textId="77777777" w:rsidR="001A22CE" w:rsidRPr="00273DDF" w:rsidRDefault="001A22CE" w:rsidP="00AF790C">
                      <w:pPr>
                        <w:jc w:val="center"/>
                        <w:rPr>
                          <w:i/>
                        </w:rPr>
                      </w:pPr>
                      <w:r w:rsidRPr="00273DDF">
                        <w:rPr>
                          <w:rStyle w:val="af2"/>
                          <w:i w:val="0"/>
                        </w:rPr>
                        <w:t>374442350</w:t>
                      </w:r>
                    </w:p>
                  </w:txbxContent>
                </v:textbox>
              </v:shape>
            </w:pict>
          </mc:Fallback>
        </mc:AlternateContent>
      </w:r>
    </w:p>
    <w:tbl>
      <w:tblPr>
        <w:tblW w:w="0" w:type="auto"/>
        <w:tblLook w:val="01E0" w:firstRow="1" w:lastRow="1" w:firstColumn="1" w:lastColumn="1" w:noHBand="0" w:noVBand="0"/>
      </w:tblPr>
      <w:tblGrid>
        <w:gridCol w:w="5495"/>
      </w:tblGrid>
      <w:tr w:rsidR="00DE4A20" w:rsidRPr="008D41C4" w14:paraId="39883B9B" w14:textId="77777777" w:rsidTr="00FD4405">
        <w:trPr>
          <w:trHeight w:val="2500"/>
        </w:trPr>
        <w:tc>
          <w:tcPr>
            <w:tcW w:w="5495" w:type="dxa"/>
            <w:hideMark/>
          </w:tcPr>
          <w:p w14:paraId="0B182D23" w14:textId="1AB0F618" w:rsidR="00F6318B" w:rsidRPr="00DE4A20" w:rsidRDefault="0009503E" w:rsidP="008D41C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FD4405">
              <w:rPr>
                <w:b/>
                <w:color w:val="000000" w:themeColor="text1"/>
                <w:sz w:val="28"/>
                <w:szCs w:val="28"/>
              </w:rPr>
              <w:t>передачу</w:t>
            </w:r>
            <w:r w:rsidR="00A127D2" w:rsidRPr="00FD4405">
              <w:rPr>
                <w:b/>
                <w:color w:val="000000" w:themeColor="text1"/>
                <w:sz w:val="28"/>
                <w:szCs w:val="28"/>
              </w:rPr>
              <w:t xml:space="preserve"> </w:t>
            </w:r>
            <w:r w:rsidR="00A264FD" w:rsidRPr="00FD4405">
              <w:rPr>
                <w:b/>
                <w:color w:val="000000" w:themeColor="text1"/>
                <w:sz w:val="28"/>
                <w:szCs w:val="28"/>
              </w:rPr>
              <w:t>ТОВАРИСТВ</w:t>
            </w:r>
            <w:r w:rsidR="00FD4405">
              <w:rPr>
                <w:b/>
                <w:color w:val="000000" w:themeColor="text1"/>
                <w:sz w:val="28"/>
                <w:szCs w:val="28"/>
              </w:rPr>
              <w:t>У</w:t>
            </w:r>
            <w:r w:rsidR="00A264FD" w:rsidRPr="00DE4A20">
              <w:rPr>
                <w:b/>
                <w:color w:val="000000" w:themeColor="text1"/>
                <w:sz w:val="28"/>
                <w:szCs w:val="28"/>
              </w:rPr>
              <w:t xml:space="preserve"> З ОБМЕЖЕНОЮ ВІДПОВІДАЛЬНІСТЮ «ГЕЙЗЕР»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FD4405">
              <w:rPr>
                <w:rStyle w:val="af2"/>
                <w:b/>
                <w:i w:val="0"/>
                <w:color w:val="000000" w:themeColor="text1"/>
                <w:sz w:val="28"/>
                <w:szCs w:val="28"/>
              </w:rPr>
              <w:t>оренд</w:t>
            </w:r>
            <w:r w:rsidR="00FD4405">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для експлуатації та обслуговування будівель і споруд автобази</w:t>
            </w:r>
            <w:r w:rsidR="00FB314E" w:rsidRPr="00DE4A20">
              <w:rPr>
                <w:b/>
                <w:iCs/>
                <w:color w:val="000000" w:themeColor="text1"/>
                <w:sz w:val="28"/>
                <w:szCs w:val="28"/>
              </w:rPr>
              <w:t xml:space="preserve"> </w:t>
            </w:r>
            <w:r w:rsidRPr="00DE4A20">
              <w:rPr>
                <w:b/>
                <w:color w:val="000000" w:themeColor="text1"/>
                <w:sz w:val="28"/>
                <w:szCs w:val="28"/>
              </w:rPr>
              <w:t xml:space="preserve">на </w:t>
            </w:r>
            <w:r w:rsidR="00FD4405">
              <w:rPr>
                <w:b/>
                <w:color w:val="000000" w:themeColor="text1"/>
                <w:sz w:val="28"/>
                <w:szCs w:val="28"/>
              </w:rPr>
              <w:br/>
            </w:r>
            <w:r w:rsidR="0001227E" w:rsidRPr="00FD4405">
              <w:rPr>
                <w:b/>
                <w:iCs/>
                <w:color w:val="000000" w:themeColor="text1"/>
                <w:sz w:val="28"/>
                <w:szCs w:val="28"/>
              </w:rPr>
              <w:t xml:space="preserve">вул. </w:t>
            </w:r>
            <w:r w:rsidR="008D41C4">
              <w:rPr>
                <w:b/>
                <w:iCs/>
                <w:color w:val="000000" w:themeColor="text1"/>
                <w:sz w:val="28"/>
                <w:szCs w:val="28"/>
              </w:rPr>
              <w:t>Р</w:t>
            </w:r>
            <w:r w:rsidR="008D41C4" w:rsidRPr="00FD4405">
              <w:rPr>
                <w:b/>
                <w:iCs/>
                <w:color w:val="000000" w:themeColor="text1"/>
                <w:sz w:val="28"/>
                <w:szCs w:val="28"/>
              </w:rPr>
              <w:t xml:space="preserve">одини </w:t>
            </w:r>
            <w:r w:rsidR="0001227E" w:rsidRPr="00FD4405">
              <w:rPr>
                <w:b/>
                <w:iCs/>
                <w:color w:val="000000" w:themeColor="text1"/>
                <w:sz w:val="28"/>
                <w:szCs w:val="28"/>
              </w:rPr>
              <w:t>Бунґе, 12</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Святошинському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07F6D163" w14:textId="1E15528B" w:rsidR="00F6318B" w:rsidRPr="00DE4A20" w:rsidRDefault="00C7069E" w:rsidP="00F6318B">
      <w:pPr>
        <w:pStyle w:val="20"/>
        <w:ind w:firstLine="709"/>
        <w:rPr>
          <w:color w:val="000000" w:themeColor="text1"/>
          <w:szCs w:val="28"/>
          <w:lang w:val="uk-UA"/>
        </w:rPr>
      </w:pPr>
      <w:r w:rsidRPr="00FD4405">
        <w:rPr>
          <w:color w:val="000000" w:themeColor="text1"/>
          <w:lang w:val="uk-UA"/>
        </w:rPr>
        <w:t xml:space="preserve">Розглянувши заяву ТОВАРИСТВА З ОБМЕЖЕНОЮ ВІДПОВІДАЛЬНІСТЮ «ГЕЙЗЕР» (код ЄДРПОУ: 30550604, місцезнаходження юридичної особи: 03194, місто Київ, бульвар Кольцова, будинок 1-А) від 15 жовтня 2024 року № 50402-009027774-031-03 про передачу в оренду земельної ділянки та додані документи,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w:t>
      </w:r>
      <w:r w:rsidR="00FD4405" w:rsidRPr="00C70D61">
        <w:rPr>
          <w:color w:val="000000" w:themeColor="text1"/>
          <w:lang w:val="uk-UA"/>
        </w:rPr>
        <w:t>рішенням Київської міської ради від 2</w:t>
      </w:r>
      <w:r w:rsidR="00FD4405">
        <w:rPr>
          <w:color w:val="000000" w:themeColor="text1"/>
          <w:lang w:val="uk-UA"/>
        </w:rPr>
        <w:t>7</w:t>
      </w:r>
      <w:r w:rsidR="00FD4405" w:rsidRPr="00C70D61">
        <w:rPr>
          <w:color w:val="000000" w:themeColor="text1"/>
          <w:lang w:val="uk-UA"/>
        </w:rPr>
        <w:t xml:space="preserve"> </w:t>
      </w:r>
      <w:r w:rsidR="00FD4405">
        <w:rPr>
          <w:color w:val="000000" w:themeColor="text1"/>
          <w:lang w:val="uk-UA"/>
        </w:rPr>
        <w:t>жовтня</w:t>
      </w:r>
      <w:r w:rsidR="00FD4405" w:rsidRPr="00C70D61">
        <w:rPr>
          <w:color w:val="000000" w:themeColor="text1"/>
          <w:lang w:val="uk-UA"/>
        </w:rPr>
        <w:t xml:space="preserve"> 2022 року </w:t>
      </w:r>
      <w:r w:rsidR="00FD4405">
        <w:rPr>
          <w:color w:val="000000" w:themeColor="text1"/>
          <w:lang w:val="uk-UA"/>
        </w:rPr>
        <w:t xml:space="preserve">№ 5465/5506 </w:t>
      </w:r>
      <w:r w:rsidR="002874AD">
        <w:rPr>
          <w:color w:val="000000" w:themeColor="text1"/>
          <w:lang w:val="uk-UA"/>
        </w:rPr>
        <w:t>«</w:t>
      </w:r>
      <w:r w:rsidR="00FD4405" w:rsidRPr="00C70D61">
        <w:rPr>
          <w:color w:val="000000" w:themeColor="text1"/>
          <w:lang w:val="uk-UA"/>
        </w:rPr>
        <w:t xml:space="preserve">Про перейменування </w:t>
      </w:r>
      <w:r w:rsidR="00FD4405">
        <w:rPr>
          <w:color w:val="000000" w:themeColor="text1"/>
          <w:lang w:val="uk-UA"/>
        </w:rPr>
        <w:t>вулиці Якутської</w:t>
      </w:r>
      <w:r w:rsidR="00FD4405" w:rsidRPr="00C70D61">
        <w:rPr>
          <w:color w:val="000000" w:themeColor="text1"/>
          <w:lang w:val="uk-UA"/>
        </w:rPr>
        <w:t xml:space="preserve"> в </w:t>
      </w:r>
      <w:r w:rsidR="00FD4405">
        <w:rPr>
          <w:color w:val="000000" w:themeColor="text1"/>
          <w:lang w:val="uk-UA"/>
        </w:rPr>
        <w:t>Святошинському</w:t>
      </w:r>
      <w:r w:rsidR="00FD4405" w:rsidRPr="00C70D61">
        <w:rPr>
          <w:color w:val="000000" w:themeColor="text1"/>
          <w:lang w:val="uk-UA"/>
        </w:rPr>
        <w:t xml:space="preserve"> районі міста Києва</w:t>
      </w:r>
      <w:r w:rsidR="002874AD">
        <w:rPr>
          <w:color w:val="000000" w:themeColor="text1"/>
          <w:lang w:val="uk-UA"/>
        </w:rPr>
        <w:t>»</w:t>
      </w:r>
      <w:r w:rsidR="00FD4405">
        <w:rPr>
          <w:color w:val="000000" w:themeColor="text1"/>
          <w:lang w:val="uk-UA"/>
        </w:rPr>
        <w:t xml:space="preserve">, </w:t>
      </w:r>
      <w:r w:rsidRPr="00FD4405">
        <w:rPr>
          <w:color w:val="000000" w:themeColor="text1"/>
          <w:lang w:val="uk-UA"/>
        </w:rPr>
        <w:t>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07 жовтня 2024 року, номер відомостей про речове право: 57072059),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79C2FB31"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FD4405">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DE4A20">
        <w:rPr>
          <w:color w:val="000000" w:themeColor="text1"/>
          <w:sz w:val="28"/>
          <w:szCs w:val="28"/>
        </w:rPr>
        <w:t>ТОВАРИСТВ</w:t>
      </w:r>
      <w:r w:rsidR="00FD4405">
        <w:rPr>
          <w:color w:val="000000" w:themeColor="text1"/>
          <w:sz w:val="28"/>
          <w:szCs w:val="28"/>
          <w:lang w:val="uk-UA"/>
        </w:rPr>
        <w:t>У</w:t>
      </w:r>
      <w:r w:rsidR="00A264FD" w:rsidRPr="00DE4A20">
        <w:rPr>
          <w:color w:val="000000" w:themeColor="text1"/>
          <w:sz w:val="28"/>
          <w:szCs w:val="28"/>
        </w:rPr>
        <w:t xml:space="preserve"> З ОБМЕЖЕНОЮ ВІДПОВІДАЛЬНІСТЮ «ГЕЙЗЕР»</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DE4A20">
        <w:rPr>
          <w:iCs/>
          <w:color w:val="000000" w:themeColor="text1"/>
          <w:sz w:val="28"/>
          <w:szCs w:val="28"/>
          <w:lang w:eastAsia="uk-UA"/>
        </w:rPr>
        <w:t>оренд</w:t>
      </w:r>
      <w:r w:rsidR="00FD4405">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DE5E31" w:rsidRPr="00FD4405">
        <w:rPr>
          <w:iCs/>
          <w:color w:val="000000" w:themeColor="text1"/>
          <w:sz w:val="28"/>
          <w:szCs w:val="28"/>
          <w:lang w:val="uk-UA" w:eastAsia="uk-UA"/>
        </w:rPr>
        <w:t xml:space="preserve">на </w:t>
      </w:r>
      <w:r w:rsidR="00FD4405">
        <w:rPr>
          <w:iCs/>
          <w:color w:val="000000" w:themeColor="text1"/>
          <w:sz w:val="28"/>
          <w:szCs w:val="28"/>
          <w:lang w:val="uk-UA" w:eastAsia="uk-UA"/>
        </w:rPr>
        <w:t>10 років</w:t>
      </w:r>
      <w:r w:rsidR="00DE5E31" w:rsidRPr="00FD4405">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FD4405">
        <w:rPr>
          <w:iCs/>
          <w:color w:val="000000" w:themeColor="text1"/>
          <w:sz w:val="28"/>
          <w:szCs w:val="28"/>
          <w:lang w:val="uk-UA" w:eastAsia="uk-UA"/>
        </w:rPr>
        <w:t>2,5497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FD4405">
        <w:rPr>
          <w:iCs/>
          <w:color w:val="000000" w:themeColor="text1"/>
          <w:sz w:val="28"/>
          <w:szCs w:val="28"/>
          <w:lang w:val="uk-UA" w:eastAsia="uk-UA"/>
        </w:rPr>
        <w:lastRenderedPageBreak/>
        <w:t>8000000000:75:316:0119</w:t>
      </w:r>
      <w:r w:rsidR="00F837D8" w:rsidRPr="00AF790C">
        <w:rPr>
          <w:sz w:val="28"/>
          <w:szCs w:val="28"/>
          <w:lang w:val="uk-UA"/>
        </w:rPr>
        <w:t>) для експлуатації та обслуговування будівель і споруд автобази</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12.04 для розміщення та експлуатації будівель і споруд автомобільного транспорту та дорожнього господарства</w:t>
      </w:r>
      <w:r w:rsidR="00421815" w:rsidRPr="00AF790C">
        <w:rPr>
          <w:sz w:val="28"/>
          <w:szCs w:val="28"/>
          <w:lang w:val="uk-UA"/>
        </w:rPr>
        <w:t>)</w:t>
      </w:r>
      <w:r w:rsidR="00F837D8" w:rsidRPr="00AF790C">
        <w:rPr>
          <w:sz w:val="28"/>
          <w:lang w:val="uk-UA"/>
        </w:rPr>
        <w:t xml:space="preserve"> на </w:t>
      </w:r>
      <w:r w:rsidR="00F837D8" w:rsidRPr="00FD4405">
        <w:rPr>
          <w:iCs/>
          <w:sz w:val="28"/>
          <w:szCs w:val="28"/>
          <w:lang w:val="uk-UA"/>
        </w:rPr>
        <w:t xml:space="preserve">вул. </w:t>
      </w:r>
      <w:r w:rsidR="008D41C4">
        <w:rPr>
          <w:iCs/>
          <w:sz w:val="28"/>
          <w:szCs w:val="28"/>
          <w:lang w:val="uk-UA"/>
        </w:rPr>
        <w:t>Р</w:t>
      </w:r>
      <w:r w:rsidR="008D41C4" w:rsidRPr="00FD4405">
        <w:rPr>
          <w:iCs/>
          <w:sz w:val="28"/>
          <w:szCs w:val="28"/>
        </w:rPr>
        <w:t xml:space="preserve">одини </w:t>
      </w:r>
      <w:r w:rsidR="00F837D8" w:rsidRPr="00FD4405">
        <w:rPr>
          <w:iCs/>
          <w:sz w:val="28"/>
          <w:szCs w:val="28"/>
        </w:rPr>
        <w:t>Бунґе, 12</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Святошинському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w:t>
      </w:r>
      <w:r w:rsidR="00B010A6" w:rsidRPr="00DC75A9">
        <w:rPr>
          <w:sz w:val="28"/>
          <w:szCs w:val="28"/>
          <w:lang w:val="uk-UA"/>
        </w:rPr>
        <w:t>майно</w:t>
      </w:r>
      <w:r w:rsidR="00DC75A9">
        <w:rPr>
          <w:sz w:val="28"/>
          <w:szCs w:val="28"/>
          <w:lang w:val="uk-UA"/>
        </w:rPr>
        <w:t xml:space="preserve"> 16 серпня 2017 року</w:t>
      </w:r>
      <w:r w:rsidR="00B010A6" w:rsidRPr="00AF790C">
        <w:rPr>
          <w:sz w:val="28"/>
          <w:szCs w:val="28"/>
          <w:lang w:val="uk-UA"/>
        </w:rPr>
        <w:t>, номер зап</w:t>
      </w:r>
      <w:r w:rsidR="00AF790C">
        <w:rPr>
          <w:sz w:val="28"/>
          <w:szCs w:val="28"/>
          <w:lang w:val="uk-UA"/>
        </w:rPr>
        <w:t xml:space="preserve">ису про інше </w:t>
      </w:r>
      <w:r w:rsidR="00AF790C" w:rsidRPr="00DC75A9">
        <w:rPr>
          <w:sz w:val="28"/>
          <w:szCs w:val="28"/>
          <w:lang w:val="uk-UA"/>
        </w:rPr>
        <w:t xml:space="preserve">речове право </w:t>
      </w:r>
      <w:r w:rsidR="00DC75A9" w:rsidRPr="00DC75A9">
        <w:rPr>
          <w:sz w:val="28"/>
          <w:szCs w:val="28"/>
          <w:lang w:val="uk-UA"/>
        </w:rPr>
        <w:t>21980315</w:t>
      </w:r>
      <w:r w:rsidR="00B010A6" w:rsidRPr="00DC75A9">
        <w:rPr>
          <w:sz w:val="28"/>
          <w:szCs w:val="28"/>
          <w:lang w:val="uk-UA"/>
        </w:rPr>
        <w:t xml:space="preserve">) </w:t>
      </w:r>
      <w:r w:rsidR="00961B41" w:rsidRPr="00DC75A9">
        <w:rPr>
          <w:sz w:val="28"/>
          <w:szCs w:val="28"/>
          <w:lang w:val="uk-UA"/>
        </w:rPr>
        <w:t>(категорія</w:t>
      </w:r>
      <w:r w:rsidR="00961B41" w:rsidRPr="00AF790C">
        <w:rPr>
          <w:sz w:val="28"/>
          <w:szCs w:val="28"/>
          <w:lang w:val="uk-UA"/>
        </w:rPr>
        <w:t xml:space="preserve"> земель – землі промисловості, транспорту, електронних комунікацій, енергетики, оборони та іншого призначення</w:t>
      </w:r>
      <w:r w:rsidR="00F86F74" w:rsidRPr="00AF790C">
        <w:rPr>
          <w:sz w:val="28"/>
          <w:szCs w:val="28"/>
          <w:lang w:val="uk-UA"/>
        </w:rPr>
        <w:t xml:space="preserve">), </w:t>
      </w:r>
      <w:r w:rsidR="00F86F74" w:rsidRPr="00E13205">
        <w:rPr>
          <w:color w:val="000000" w:themeColor="text1"/>
          <w:sz w:val="28"/>
          <w:szCs w:val="28"/>
          <w:lang w:val="uk-UA"/>
        </w:rPr>
        <w:t xml:space="preserve">заява ДЦ від 15 жовтня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50402-009027774-031-03, справа № </w:t>
      </w:r>
      <w:r w:rsidR="00F86F74" w:rsidRPr="00E13205">
        <w:rPr>
          <w:b/>
          <w:color w:val="000000" w:themeColor="text1"/>
          <w:sz w:val="28"/>
          <w:szCs w:val="28"/>
          <w:lang w:val="uk-UA"/>
        </w:rPr>
        <w:t>374442350</w:t>
      </w:r>
      <w:r w:rsidR="00F86F74" w:rsidRPr="00E13205">
        <w:rPr>
          <w:color w:val="000000" w:themeColor="text1"/>
          <w:sz w:val="28"/>
          <w:szCs w:val="28"/>
          <w:lang w:val="uk-UA"/>
        </w:rPr>
        <w:t>.</w:t>
      </w:r>
    </w:p>
    <w:p w14:paraId="2A95A3DC" w14:textId="3B45CC12"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DC75A9">
        <w:rPr>
          <w:color w:val="000000" w:themeColor="text1"/>
          <w:sz w:val="28"/>
          <w:szCs w:val="28"/>
        </w:rPr>
        <w:t>ТОВАРИСТВ</w:t>
      </w:r>
      <w:r w:rsidR="00DC75A9">
        <w:rPr>
          <w:color w:val="000000" w:themeColor="text1"/>
          <w:sz w:val="28"/>
          <w:szCs w:val="28"/>
          <w:lang w:val="uk-UA"/>
        </w:rPr>
        <w:t>У</w:t>
      </w:r>
      <w:r w:rsidR="00C376CD" w:rsidRPr="00DC75A9">
        <w:rPr>
          <w:color w:val="000000" w:themeColor="text1"/>
          <w:sz w:val="28"/>
          <w:szCs w:val="28"/>
        </w:rPr>
        <w:t xml:space="preserve"> З ОБМЕЖЕНОЮ ВІДПОВІДАЛЬНІСТЮ «ГЕЙЗЕР»</w:t>
      </w:r>
      <w:r w:rsidR="0009503E" w:rsidRPr="00DC75A9">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5828A842" w14:textId="77777777" w:rsidR="002874AD"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.2. </w:t>
      </w:r>
      <w:r w:rsidR="002874AD" w:rsidRPr="002874AD">
        <w:rPr>
          <w:sz w:val="28"/>
          <w:szCs w:val="28"/>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E154AC8" w14:textId="0A076133"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357B04C4"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2.4.</w:t>
      </w:r>
      <w:r w:rsidRPr="00DC75A9">
        <w:rPr>
          <w:sz w:val="28"/>
          <w:szCs w:val="28"/>
          <w:lang w:val="uk-UA"/>
        </w:rPr>
        <w:tab/>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B72ABD8"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2.5.</w:t>
      </w:r>
      <w:r w:rsidRPr="00DC75A9">
        <w:rPr>
          <w:sz w:val="28"/>
          <w:szCs w:val="28"/>
          <w:lang w:val="uk-UA"/>
        </w:rPr>
        <w:tab/>
        <w:t xml:space="preserve">Під час використання земельної ділянки дотримуватися обмежень у її використанні, зареєстрованих у Державному земельному кадастрі. </w:t>
      </w:r>
    </w:p>
    <w:p w14:paraId="093752BE"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2.6.</w:t>
      </w:r>
      <w:r w:rsidRPr="00DC75A9">
        <w:rPr>
          <w:sz w:val="28"/>
          <w:szCs w:val="28"/>
          <w:lang w:val="uk-UA"/>
        </w:rPr>
        <w:tab/>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2A6DEB43"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2.7.</w:t>
      </w:r>
      <w:r w:rsidRPr="00DC75A9">
        <w:rPr>
          <w:sz w:val="28"/>
          <w:szCs w:val="28"/>
          <w:lang w:val="uk-UA"/>
        </w:rPr>
        <w:tab/>
        <w:t>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55E73192"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2.8.</w:t>
      </w:r>
      <w:r w:rsidRPr="00DC75A9">
        <w:rPr>
          <w:sz w:val="28"/>
          <w:szCs w:val="28"/>
          <w:lang w:val="uk-UA"/>
        </w:rPr>
        <w:tab/>
      </w:r>
      <w:r w:rsidRPr="00DC75A9">
        <w:rPr>
          <w:sz w:val="28"/>
          <w:szCs w:val="28"/>
          <w:lang w:val="uk-UA"/>
        </w:rPr>
        <w:tab/>
        <w:t>Земельну ділянку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21658BC7"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2.9.</w:t>
      </w:r>
      <w:r w:rsidRPr="00DC75A9">
        <w:rPr>
          <w:sz w:val="28"/>
          <w:szCs w:val="28"/>
          <w:lang w:val="uk-UA"/>
        </w:rPr>
        <w:tab/>
        <w:t xml:space="preserve">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w:t>
      </w:r>
      <w:r w:rsidRPr="00DC75A9">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4FB00DAF"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3.</w:t>
      </w:r>
      <w:r w:rsidRPr="00DC75A9">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2.9 пункту 2 цього рішення.</w:t>
      </w:r>
    </w:p>
    <w:p w14:paraId="3009DBDA" w14:textId="77777777" w:rsidR="00DC75A9" w:rsidRPr="00DC75A9" w:rsidRDefault="00DC75A9" w:rsidP="00DC75A9">
      <w:pPr>
        <w:tabs>
          <w:tab w:val="left" w:pos="0"/>
          <w:tab w:val="left" w:pos="1134"/>
        </w:tabs>
        <w:ind w:firstLine="680"/>
        <w:jc w:val="both"/>
        <w:rPr>
          <w:sz w:val="28"/>
          <w:szCs w:val="28"/>
          <w:lang w:val="uk-UA"/>
        </w:rPr>
      </w:pPr>
      <w:r w:rsidRPr="00DC75A9">
        <w:rPr>
          <w:sz w:val="28"/>
          <w:szCs w:val="28"/>
          <w:lang w:val="uk-UA"/>
        </w:rPr>
        <w:t>4.</w:t>
      </w:r>
      <w:r w:rsidRPr="00DC75A9">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543F58B" w14:textId="475A54F5" w:rsidR="00DC75A9" w:rsidRPr="00DC75A9" w:rsidRDefault="008D41C4" w:rsidP="00DC75A9">
      <w:pPr>
        <w:tabs>
          <w:tab w:val="left" w:pos="0"/>
          <w:tab w:val="left" w:pos="1134"/>
        </w:tabs>
        <w:ind w:firstLine="680"/>
        <w:jc w:val="both"/>
        <w:rPr>
          <w:sz w:val="28"/>
          <w:szCs w:val="28"/>
          <w:lang w:val="uk-UA"/>
        </w:rPr>
      </w:pPr>
      <w:r>
        <w:rPr>
          <w:sz w:val="28"/>
          <w:szCs w:val="28"/>
          <w:lang w:val="uk-UA"/>
        </w:rPr>
        <w:t>5.</w:t>
      </w:r>
      <w:r>
        <w:rPr>
          <w:sz w:val="28"/>
          <w:szCs w:val="28"/>
          <w:lang w:val="uk-UA"/>
        </w:rPr>
        <w:tab/>
      </w:r>
      <w:r w:rsidR="00DC75A9" w:rsidRPr="00DC75A9">
        <w:rPr>
          <w:sz w:val="28"/>
          <w:szCs w:val="28"/>
          <w:lang w:val="uk-UA"/>
        </w:rPr>
        <w:t>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 у разі якщо протягом цього строку не укладений відповідний договір оренди земельної ділянки.</w:t>
      </w:r>
    </w:p>
    <w:p w14:paraId="1B2F8394" w14:textId="3975D488" w:rsidR="00DC75A9" w:rsidRPr="00DC75A9" w:rsidRDefault="008D41C4" w:rsidP="00DC75A9">
      <w:pPr>
        <w:tabs>
          <w:tab w:val="left" w:pos="0"/>
          <w:tab w:val="left" w:pos="1134"/>
        </w:tabs>
        <w:ind w:firstLine="680"/>
        <w:jc w:val="both"/>
        <w:rPr>
          <w:sz w:val="28"/>
          <w:szCs w:val="28"/>
          <w:lang w:val="uk-UA"/>
        </w:rPr>
      </w:pPr>
      <w:r>
        <w:rPr>
          <w:sz w:val="28"/>
          <w:szCs w:val="28"/>
          <w:lang w:val="uk-UA"/>
        </w:rPr>
        <w:t>6.</w:t>
      </w:r>
      <w:r>
        <w:rPr>
          <w:sz w:val="28"/>
          <w:szCs w:val="28"/>
          <w:lang w:val="uk-UA"/>
        </w:rPr>
        <w:tab/>
      </w:r>
      <w:r w:rsidR="00DC75A9" w:rsidRPr="00DC75A9">
        <w:rPr>
          <w:sz w:val="28"/>
          <w:szCs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527EE7A5" w:rsidR="00AF790C" w:rsidRDefault="00AF790C" w:rsidP="00C30241">
      <w:pPr>
        <w:tabs>
          <w:tab w:val="left" w:pos="0"/>
          <w:tab w:val="left" w:pos="1134"/>
        </w:tabs>
        <w:ind w:firstLine="680"/>
        <w:jc w:val="both"/>
        <w:rPr>
          <w:sz w:val="28"/>
          <w:szCs w:val="28"/>
          <w:lang w:val="uk-UA"/>
        </w:rPr>
      </w:pPr>
    </w:p>
    <w:p w14:paraId="69897ABB" w14:textId="77777777" w:rsidR="00DC75A9" w:rsidRDefault="00DC75A9"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1"/>
        <w:gridCol w:w="3867"/>
      </w:tblGrid>
      <w:tr w:rsidR="00AF790C" w14:paraId="5B0DC490" w14:textId="77777777" w:rsidTr="00AF790C">
        <w:tc>
          <w:tcPr>
            <w:tcW w:w="5920" w:type="dxa"/>
          </w:tcPr>
          <w:p w14:paraId="129BC53F" w14:textId="77777777" w:rsidR="00AF790C" w:rsidRDefault="00AF790C" w:rsidP="00F80946">
            <w:pPr>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F80946">
            <w:pPr>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F80946">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2E69073A" w14:textId="77777777" w:rsidR="00DC75A9" w:rsidRPr="008D41C4" w:rsidRDefault="00DC75A9" w:rsidP="006B6988">
            <w:pPr>
              <w:jc w:val="right"/>
              <w:rPr>
                <w:rStyle w:val="af0"/>
                <w:b w:val="0"/>
                <w:sz w:val="28"/>
                <w:szCs w:val="28"/>
                <w:lang w:val="uk-UA"/>
              </w:rPr>
            </w:pPr>
          </w:p>
          <w:p w14:paraId="014E0554" w14:textId="61E5227D"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096C6F5A" w:rsidR="00E75718" w:rsidRPr="008119F4" w:rsidRDefault="008119F4" w:rsidP="004B54E1">
      <w:pPr>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4B1B2" w14:textId="77777777" w:rsidR="00FD1CA5" w:rsidRDefault="00FD1CA5">
      <w:r>
        <w:separator/>
      </w:r>
    </w:p>
  </w:endnote>
  <w:endnote w:type="continuationSeparator" w:id="0">
    <w:p w14:paraId="00ED938B" w14:textId="77777777" w:rsidR="00FD1CA5" w:rsidRDefault="00FD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62205" w14:textId="77777777" w:rsidR="00FD1CA5" w:rsidRDefault="00FD1CA5">
      <w:r>
        <w:separator/>
      </w:r>
    </w:p>
  </w:footnote>
  <w:footnote w:type="continuationSeparator" w:id="0">
    <w:p w14:paraId="1467B7AF" w14:textId="77777777" w:rsidR="00FD1CA5" w:rsidRDefault="00FD1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24837196">
    <w:abstractNumId w:val="10"/>
  </w:num>
  <w:num w:numId="2" w16cid:durableId="1009024947">
    <w:abstractNumId w:val="6"/>
  </w:num>
  <w:num w:numId="3" w16cid:durableId="1285841507">
    <w:abstractNumId w:val="9"/>
  </w:num>
  <w:num w:numId="4" w16cid:durableId="1140922253">
    <w:abstractNumId w:val="0"/>
  </w:num>
  <w:num w:numId="5" w16cid:durableId="1938519221">
    <w:abstractNumId w:val="8"/>
  </w:num>
  <w:num w:numId="6" w16cid:durableId="2010986707">
    <w:abstractNumId w:val="4"/>
  </w:num>
  <w:num w:numId="7" w16cid:durableId="666440495">
    <w:abstractNumId w:val="5"/>
  </w:num>
  <w:num w:numId="8" w16cid:durableId="117720220">
    <w:abstractNumId w:val="7"/>
  </w:num>
  <w:num w:numId="9" w16cid:durableId="629476398">
    <w:abstractNumId w:val="2"/>
  </w:num>
  <w:num w:numId="10" w16cid:durableId="736633491">
    <w:abstractNumId w:val="1"/>
  </w:num>
  <w:num w:numId="11" w16cid:durableId="1474517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874A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54E1"/>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41C4"/>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E33E4"/>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474"/>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C75A9"/>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0946"/>
    <w:rsid w:val="00F837D8"/>
    <w:rsid w:val="00F86F74"/>
    <w:rsid w:val="00F914C9"/>
    <w:rsid w:val="00F96326"/>
    <w:rsid w:val="00FA6337"/>
    <w:rsid w:val="00FA6448"/>
    <w:rsid w:val="00FB314E"/>
    <w:rsid w:val="00FB434A"/>
    <w:rsid w:val="00FC5867"/>
    <w:rsid w:val="00FC7D06"/>
    <w:rsid w:val="00FD1CA5"/>
    <w:rsid w:val="00FD3A90"/>
    <w:rsid w:val="00FD4405"/>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7951301">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908</Words>
  <Characters>5177</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6073</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7</cp:revision>
  <cp:lastPrinted>2024-11-04T11:30:00Z</cp:lastPrinted>
  <dcterms:created xsi:type="dcterms:W3CDTF">2024-10-28T07:35:00Z</dcterms:created>
  <dcterms:modified xsi:type="dcterms:W3CDTF">2024-11-07T12:40:00Z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