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5F261F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5F261F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313969844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313969844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F261F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5F261F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5F261F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261F">
        <w:rPr>
          <w:b/>
          <w:bCs/>
          <w:i w:val="0"/>
          <w:iCs w:val="0"/>
          <w:sz w:val="24"/>
          <w:szCs w:val="24"/>
          <w:lang w:val="uk-UA"/>
        </w:rPr>
        <w:t xml:space="preserve">№ ПЗН-53902 від </w:t>
      </w:r>
      <w:r w:rsidRPr="005F261F">
        <w:rPr>
          <w:b/>
          <w:bCs/>
          <w:i w:val="0"/>
          <w:sz w:val="24"/>
          <w:szCs w:val="24"/>
          <w:lang w:val="uk-UA"/>
        </w:rPr>
        <w:t>28.04.2023</w:t>
      </w:r>
    </w:p>
    <w:p w14:paraId="1B663883" w14:textId="3817E3F5" w:rsidR="00B30291" w:rsidRPr="005F261F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5F261F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5F261F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5F261F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5F261F">
        <w:rPr>
          <w:i w:val="0"/>
          <w:sz w:val="24"/>
          <w:szCs w:val="24"/>
          <w:lang w:val="uk-UA"/>
        </w:rPr>
        <w:t>:</w:t>
      </w:r>
    </w:p>
    <w:p w14:paraId="050188E1" w14:textId="097DA9DF" w:rsidR="00B76CB4" w:rsidRPr="005F261F" w:rsidRDefault="00B76CB4" w:rsidP="00B76CB4">
      <w:pPr>
        <w:pStyle w:val="1"/>
        <w:shd w:val="clear" w:color="auto" w:fill="auto"/>
        <w:spacing w:line="226" w:lineRule="auto"/>
        <w:ind w:right="2693"/>
        <w:jc w:val="center"/>
        <w:rPr>
          <w:b/>
          <w:sz w:val="24"/>
          <w:szCs w:val="24"/>
          <w:lang w:val="uk-UA"/>
        </w:rPr>
      </w:pPr>
      <w:r w:rsidRPr="005F261F">
        <w:rPr>
          <w:b/>
          <w:sz w:val="24"/>
          <w:szCs w:val="24"/>
          <w:lang w:val="uk-UA"/>
        </w:rPr>
        <w:t xml:space="preserve">Про зміну виду цільового призначення земельної ділянки, яка перебуває у власності громадянина </w:t>
      </w:r>
      <w:proofErr w:type="spellStart"/>
      <w:r w:rsidR="008A1D36" w:rsidRPr="005F261F">
        <w:rPr>
          <w:rFonts w:eastAsia="Georgia"/>
          <w:b/>
          <w:sz w:val="24"/>
          <w:szCs w:val="24"/>
          <w:lang w:val="uk-UA"/>
        </w:rPr>
        <w:t>Туманяна</w:t>
      </w:r>
      <w:proofErr w:type="spellEnd"/>
      <w:r w:rsidR="008A1D36" w:rsidRPr="005F261F">
        <w:rPr>
          <w:rFonts w:eastAsia="Georgia"/>
          <w:b/>
          <w:sz w:val="24"/>
          <w:szCs w:val="24"/>
          <w:lang w:val="uk-UA"/>
        </w:rPr>
        <w:t xml:space="preserve"> Владислава Олександровича</w:t>
      </w:r>
      <w:r w:rsidRPr="005F261F">
        <w:rPr>
          <w:b/>
          <w:sz w:val="24"/>
          <w:szCs w:val="24"/>
          <w:lang w:val="uk-UA"/>
        </w:rPr>
        <w:t xml:space="preserve">, для будівництва та обслуговування будівель торгівлі </w:t>
      </w:r>
      <w:r w:rsidRPr="005F261F">
        <w:rPr>
          <w:rFonts w:eastAsia="Georgia"/>
          <w:b/>
          <w:sz w:val="24"/>
          <w:szCs w:val="24"/>
          <w:lang w:val="uk-UA"/>
        </w:rPr>
        <w:t xml:space="preserve">на вул. Якова Качури, 60 </w:t>
      </w:r>
      <w:r w:rsidRPr="005F261F">
        <w:rPr>
          <w:b/>
          <w:sz w:val="24"/>
          <w:szCs w:val="24"/>
          <w:lang w:val="uk-UA"/>
        </w:rPr>
        <w:t>у Святошинському районі міста Києва</w:t>
      </w:r>
    </w:p>
    <w:p w14:paraId="34EA734E" w14:textId="20FB9A3F" w:rsidR="002410F5" w:rsidRPr="005F261F" w:rsidRDefault="002410F5" w:rsidP="00B76CB4">
      <w:pPr>
        <w:pStyle w:val="1"/>
        <w:shd w:val="clear" w:color="auto" w:fill="auto"/>
        <w:spacing w:line="226" w:lineRule="auto"/>
        <w:ind w:right="2693"/>
        <w:jc w:val="center"/>
        <w:rPr>
          <w:b/>
          <w:sz w:val="24"/>
          <w:szCs w:val="24"/>
          <w:lang w:val="uk-UA"/>
        </w:rPr>
      </w:pPr>
    </w:p>
    <w:p w14:paraId="6F59292B" w14:textId="77777777" w:rsidR="002410F5" w:rsidRPr="005F261F" w:rsidRDefault="002410F5" w:rsidP="00B76CB4">
      <w:pPr>
        <w:pStyle w:val="1"/>
        <w:shd w:val="clear" w:color="auto" w:fill="auto"/>
        <w:spacing w:line="226" w:lineRule="auto"/>
        <w:ind w:right="2693"/>
        <w:jc w:val="center"/>
        <w:rPr>
          <w:b/>
          <w:i w:val="0"/>
          <w:iCs w:val="0"/>
          <w:sz w:val="24"/>
          <w:szCs w:val="24"/>
          <w:lang w:val="uk-UA"/>
        </w:rPr>
      </w:pPr>
    </w:p>
    <w:p w14:paraId="068806E2" w14:textId="77777777" w:rsidR="00B76CB4" w:rsidRPr="005F261F" w:rsidRDefault="00B76CB4" w:rsidP="00B76CB4">
      <w:pPr>
        <w:pStyle w:val="1"/>
        <w:numPr>
          <w:ilvl w:val="0"/>
          <w:numId w:val="4"/>
        </w:numPr>
        <w:shd w:val="clear" w:color="auto" w:fill="auto"/>
        <w:tabs>
          <w:tab w:val="left" w:pos="851"/>
        </w:tabs>
        <w:ind w:left="0" w:firstLine="567"/>
        <w:rPr>
          <w:b/>
          <w:bCs/>
          <w:sz w:val="24"/>
          <w:szCs w:val="24"/>
          <w:lang w:val="uk-UA"/>
        </w:rPr>
      </w:pPr>
      <w:r w:rsidRPr="005F261F">
        <w:rPr>
          <w:b/>
          <w:bCs/>
          <w:sz w:val="24"/>
          <w:szCs w:val="24"/>
          <w:lang w:val="uk-UA"/>
        </w:rPr>
        <w:t>Фізична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5F261F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5A666F53" w:rsidR="00B30291" w:rsidRPr="005F261F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5F261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76CB4" w:rsidRPr="005F261F">
              <w:rPr>
                <w:b w:val="0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090" w:type="dxa"/>
          </w:tcPr>
          <w:p w14:paraId="0E6745E1" w14:textId="77777777" w:rsidR="00B30291" w:rsidRPr="005F26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5F261F">
              <w:rPr>
                <w:b w:val="0"/>
                <w:i/>
                <w:sz w:val="24"/>
                <w:szCs w:val="24"/>
                <w:lang w:val="uk-UA"/>
              </w:rPr>
              <w:t>Туманян</w:t>
            </w:r>
            <w:proofErr w:type="spellEnd"/>
            <w:r w:rsidRPr="005F261F">
              <w:rPr>
                <w:b w:val="0"/>
                <w:i/>
                <w:sz w:val="24"/>
                <w:szCs w:val="24"/>
                <w:lang w:val="uk-UA"/>
              </w:rPr>
              <w:t xml:space="preserve"> Владислав Олександрович</w:t>
            </w:r>
          </w:p>
        </w:tc>
      </w:tr>
      <w:tr w:rsidR="00B30291" w:rsidRPr="005F261F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5F26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5F261F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5F26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5F261F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5F261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5F261F">
              <w:rPr>
                <w:b w:val="0"/>
                <w:i/>
                <w:sz w:val="24"/>
                <w:szCs w:val="24"/>
                <w:lang w:val="uk-UA"/>
              </w:rPr>
              <w:t>24.04.2023</w:t>
            </w:r>
            <w:r w:rsidRPr="005F261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5F261F">
              <w:rPr>
                <w:b w:val="0"/>
                <w:i/>
                <w:sz w:val="24"/>
                <w:szCs w:val="24"/>
                <w:lang w:val="uk-UA"/>
              </w:rPr>
              <w:t>№ 313969844</w:t>
            </w:r>
          </w:p>
        </w:tc>
      </w:tr>
    </w:tbl>
    <w:p w14:paraId="11B98FDC" w14:textId="77777777" w:rsidR="00B30291" w:rsidRPr="005F261F" w:rsidRDefault="00B30291" w:rsidP="00B30291">
      <w:pPr>
        <w:spacing w:line="1" w:lineRule="exact"/>
      </w:pPr>
    </w:p>
    <w:p w14:paraId="16D0A837" w14:textId="77777777" w:rsidR="00E90C7D" w:rsidRPr="005F261F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  <w:r w:rsidRPr="005F261F">
        <w:rPr>
          <w:b w:val="0"/>
          <w:sz w:val="16"/>
          <w:szCs w:val="16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4B8BE17" w:rsidR="00B30291" w:rsidRPr="005F261F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6E6160CE" w14:textId="77777777" w:rsidR="002410F5" w:rsidRPr="005F261F" w:rsidRDefault="002410F5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5F261F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5F261F">
        <w:rPr>
          <w:sz w:val="24"/>
          <w:szCs w:val="24"/>
          <w:lang w:val="uk-UA"/>
        </w:rPr>
        <w:t>Відомості про земельну ділянку (кадастровий № 8000000000:75:198:0079).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5F261F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5F261F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B30291" w:rsidRPr="005F261F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5F26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5F261F">
              <w:rPr>
                <w:i/>
                <w:iCs/>
                <w:sz w:val="24"/>
                <w:szCs w:val="24"/>
                <w:lang w:val="uk-UA"/>
              </w:rPr>
              <w:t>м. Київ, р-н Святошинський, вул. Якова Качури, 60</w:t>
            </w:r>
          </w:p>
        </w:tc>
      </w:tr>
      <w:tr w:rsidR="00B30291" w:rsidRPr="005F261F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5F261F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B30291" w:rsidRPr="005F261F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5F26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5F261F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0,1000</w:t>
            </w:r>
            <w:r w:rsidR="00B30291" w:rsidRPr="005F261F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5F261F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5F261F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B30291" w:rsidRPr="005F261F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5F261F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5F261F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FEED0A0" w:rsidR="00B30291" w:rsidRPr="005F261F" w:rsidRDefault="00B76CB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5F261F">
              <w:rPr>
                <w:i/>
                <w:sz w:val="24"/>
                <w:szCs w:val="24"/>
                <w:lang w:val="uk-UA"/>
              </w:rPr>
              <w:t xml:space="preserve"> </w:t>
            </w:r>
            <w:r w:rsidR="00B30291" w:rsidRPr="005F261F">
              <w:rPr>
                <w:i/>
                <w:sz w:val="24"/>
                <w:szCs w:val="24"/>
                <w:lang w:val="uk-UA"/>
              </w:rPr>
              <w:t>власність</w:t>
            </w:r>
          </w:p>
        </w:tc>
      </w:tr>
      <w:tr w:rsidR="00B30291" w:rsidRPr="005F261F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5F261F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6A34C6" w:rsidRPr="005F261F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5453F7A" w:rsidR="00B30291" w:rsidRPr="005F261F" w:rsidRDefault="00B76CB4" w:rsidP="00E76278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5F261F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:rsidRPr="005F261F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5F261F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B30291" w:rsidRPr="005F261F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59E843EE" w14:textId="77777777" w:rsidR="00B76CB4" w:rsidRPr="005F261F" w:rsidRDefault="00B76CB4" w:rsidP="00B76CB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5F261F">
              <w:rPr>
                <w:b w:val="0"/>
                <w:i/>
                <w:sz w:val="24"/>
                <w:szCs w:val="24"/>
                <w:lang w:val="uk-UA"/>
              </w:rPr>
              <w:t>існуючий – 02.01 для будівництва і обслуговування житлового будинку, господарських будівель і споруд</w:t>
            </w:r>
          </w:p>
          <w:p w14:paraId="130335C5" w14:textId="4045E690" w:rsidR="00A318A9" w:rsidRPr="005F261F" w:rsidRDefault="00B76CB4" w:rsidP="008A1D36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 w:rsidRPr="005F261F">
              <w:rPr>
                <w:i/>
                <w:sz w:val="24"/>
                <w:szCs w:val="24"/>
                <w:lang w:val="uk-UA"/>
              </w:rPr>
              <w:t>проєктний</w:t>
            </w:r>
            <w:proofErr w:type="spellEnd"/>
            <w:r w:rsidRPr="005F261F">
              <w:rPr>
                <w:i/>
                <w:sz w:val="24"/>
                <w:szCs w:val="24"/>
                <w:lang w:val="uk-UA"/>
              </w:rPr>
              <w:t xml:space="preserve"> – 03.07 для</w:t>
            </w:r>
            <w:r w:rsidRPr="005F261F">
              <w:rPr>
                <w:lang w:val="uk-UA"/>
              </w:rPr>
              <w:t xml:space="preserve"> </w:t>
            </w:r>
            <w:r w:rsidRPr="005F261F">
              <w:rPr>
                <w:i/>
                <w:sz w:val="24"/>
                <w:szCs w:val="24"/>
                <w:lang w:val="uk-UA"/>
              </w:rPr>
              <w:t>будівництва та обслуговування будівель торгівлі</w:t>
            </w:r>
            <w:r w:rsidRPr="005F261F">
              <w:rPr>
                <w:rStyle w:val="aa"/>
              </w:rPr>
              <w:t xml:space="preserve"> </w:t>
            </w:r>
          </w:p>
          <w:p w14:paraId="7D3283A1" w14:textId="77777777" w:rsidR="00A318A9" w:rsidRPr="005F261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5F261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5F261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5F261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5F261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5F261F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5F261F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B30291" w:rsidRPr="005F261F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5F261F">
              <w:rPr>
                <w:sz w:val="24"/>
                <w:szCs w:val="24"/>
                <w:lang w:val="uk-UA"/>
              </w:rPr>
              <w:br/>
            </w: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B30291" w:rsidRPr="005F261F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1AB85E2C" w14:textId="72E896D4" w:rsidR="00B76CB4" w:rsidRPr="005F261F" w:rsidRDefault="00B76CB4" w:rsidP="00B76CB4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5F261F">
              <w:rPr>
                <w:iCs/>
                <w:sz w:val="24"/>
                <w:szCs w:val="24"/>
                <w:lang w:val="uk-UA"/>
              </w:rPr>
              <w:t xml:space="preserve">існуюча </w:t>
            </w:r>
            <w:r w:rsidRPr="005F261F">
              <w:rPr>
                <w:i/>
                <w:sz w:val="24"/>
                <w:szCs w:val="24"/>
                <w:lang w:val="uk-UA"/>
              </w:rPr>
              <w:t>– 1 </w:t>
            </w:r>
            <w:r w:rsidR="003767F1" w:rsidRPr="005F261F">
              <w:rPr>
                <w:i/>
                <w:sz w:val="24"/>
                <w:szCs w:val="24"/>
                <w:lang w:val="uk-UA"/>
              </w:rPr>
              <w:t>383892</w:t>
            </w:r>
            <w:r w:rsidRPr="005F261F">
              <w:rPr>
                <w:i/>
                <w:sz w:val="24"/>
                <w:szCs w:val="24"/>
                <w:lang w:val="uk-UA"/>
              </w:rPr>
              <w:t xml:space="preserve"> грн 1</w:t>
            </w:r>
            <w:r w:rsidR="003767F1" w:rsidRPr="005F261F">
              <w:rPr>
                <w:i/>
                <w:sz w:val="24"/>
                <w:szCs w:val="24"/>
                <w:lang w:val="uk-UA"/>
              </w:rPr>
              <w:t>1</w:t>
            </w:r>
            <w:r w:rsidRPr="005F261F">
              <w:rPr>
                <w:i/>
                <w:sz w:val="24"/>
                <w:szCs w:val="24"/>
                <w:lang w:val="uk-UA"/>
              </w:rPr>
              <w:t xml:space="preserve"> коп.</w:t>
            </w:r>
          </w:p>
          <w:p w14:paraId="2C7E83FA" w14:textId="3F827953" w:rsidR="00B30291" w:rsidRPr="005F261F" w:rsidRDefault="00B76CB4" w:rsidP="00B76CB4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proofErr w:type="spellStart"/>
            <w:r w:rsidRPr="005F261F">
              <w:rPr>
                <w:i/>
                <w:sz w:val="24"/>
                <w:szCs w:val="24"/>
                <w:lang w:val="uk-UA"/>
              </w:rPr>
              <w:t>проєктна</w:t>
            </w:r>
            <w:proofErr w:type="spellEnd"/>
            <w:r w:rsidRPr="005F261F">
              <w:rPr>
                <w:i/>
                <w:sz w:val="24"/>
                <w:szCs w:val="24"/>
                <w:lang w:val="uk-UA"/>
              </w:rPr>
              <w:t xml:space="preserve"> – </w:t>
            </w:r>
            <w:r w:rsidR="003767F1" w:rsidRPr="005F261F">
              <w:rPr>
                <w:i/>
                <w:sz w:val="24"/>
                <w:szCs w:val="24"/>
                <w:lang w:val="uk-UA"/>
              </w:rPr>
              <w:t>3</w:t>
            </w:r>
            <w:r w:rsidRPr="005F261F">
              <w:rPr>
                <w:i/>
                <w:sz w:val="24"/>
                <w:szCs w:val="24"/>
                <w:lang w:val="uk-UA"/>
              </w:rPr>
              <w:t> </w:t>
            </w:r>
            <w:r w:rsidR="003767F1" w:rsidRPr="005F261F">
              <w:rPr>
                <w:i/>
                <w:sz w:val="24"/>
                <w:szCs w:val="24"/>
                <w:lang w:val="uk-UA"/>
              </w:rPr>
              <w:t>044</w:t>
            </w:r>
            <w:r w:rsidRPr="005F261F">
              <w:rPr>
                <w:i/>
                <w:sz w:val="24"/>
                <w:szCs w:val="24"/>
                <w:lang w:val="uk-UA"/>
              </w:rPr>
              <w:t> </w:t>
            </w:r>
            <w:r w:rsidR="003767F1" w:rsidRPr="005F261F">
              <w:rPr>
                <w:i/>
                <w:sz w:val="24"/>
                <w:szCs w:val="24"/>
                <w:lang w:val="uk-UA"/>
              </w:rPr>
              <w:t>562</w:t>
            </w:r>
            <w:r w:rsidRPr="005F261F">
              <w:rPr>
                <w:i/>
                <w:sz w:val="24"/>
                <w:szCs w:val="24"/>
                <w:lang w:val="uk-UA"/>
              </w:rPr>
              <w:t xml:space="preserve">грн </w:t>
            </w:r>
            <w:r w:rsidR="003767F1" w:rsidRPr="005F261F">
              <w:rPr>
                <w:i/>
                <w:sz w:val="24"/>
                <w:szCs w:val="24"/>
                <w:lang w:val="uk-UA"/>
              </w:rPr>
              <w:t>78</w:t>
            </w:r>
            <w:r w:rsidRPr="005F261F">
              <w:rPr>
                <w:i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5F261F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5F261F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265722" w:rsidRPr="005F261F">
              <w:rPr>
                <w:sz w:val="24"/>
                <w:szCs w:val="24"/>
                <w:lang w:val="uk-UA"/>
              </w:rPr>
              <w:t>*</w:t>
            </w:r>
            <w:r w:rsidR="00265722" w:rsidRPr="005F261F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5F261F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5F261F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5F261F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5F261F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5F261F" w:rsidRDefault="00B30291" w:rsidP="00B30291">
      <w:pPr>
        <w:spacing w:after="259" w:line="1" w:lineRule="exact"/>
      </w:pPr>
    </w:p>
    <w:p w14:paraId="712877AA" w14:textId="77777777" w:rsidR="00B30291" w:rsidRPr="005F261F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5F261F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2A560B45" w:rsidR="00D57CE8" w:rsidRPr="005F261F" w:rsidRDefault="00265722" w:rsidP="00B76CB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5F261F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5F261F">
        <w:rPr>
          <w:i w:val="0"/>
          <w:sz w:val="24"/>
          <w:szCs w:val="24"/>
          <w:lang w:val="uk-UA"/>
        </w:rPr>
        <w:t>проєкт</w:t>
      </w:r>
      <w:proofErr w:type="spellEnd"/>
      <w:r w:rsidRPr="005F261F">
        <w:rPr>
          <w:sz w:val="24"/>
          <w:szCs w:val="24"/>
          <w:lang w:val="uk-UA"/>
        </w:rPr>
        <w:t xml:space="preserve"> </w:t>
      </w:r>
      <w:r w:rsidRPr="005F261F">
        <w:rPr>
          <w:i w:val="0"/>
          <w:sz w:val="24"/>
          <w:szCs w:val="24"/>
          <w:lang w:val="uk-UA"/>
        </w:rPr>
        <w:t>землеустрою щодо відведення земельної ділянки</w:t>
      </w:r>
      <w:r w:rsidR="0095373A">
        <w:rPr>
          <w:i w:val="0"/>
          <w:sz w:val="24"/>
          <w:szCs w:val="24"/>
          <w:lang w:val="uk-UA"/>
        </w:rPr>
        <w:t>.</w:t>
      </w:r>
    </w:p>
    <w:p w14:paraId="4391C7E3" w14:textId="07C4E874" w:rsidR="00265722" w:rsidRPr="005F261F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5F261F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5F261F">
        <w:rPr>
          <w:i w:val="0"/>
          <w:sz w:val="24"/>
          <w:szCs w:val="24"/>
          <w:lang w:val="uk-UA"/>
        </w:rPr>
        <w:br/>
      </w:r>
      <w:r w:rsidRPr="005F261F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5F261F">
        <w:rPr>
          <w:i w:val="0"/>
          <w:sz w:val="24"/>
          <w:szCs w:val="24"/>
          <w:lang w:val="uk-UA"/>
        </w:rPr>
        <w:t>проєкт</w:t>
      </w:r>
      <w:proofErr w:type="spellEnd"/>
      <w:r w:rsidRPr="005F261F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5F261F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5F261F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4A500545" w:rsidR="00B30291" w:rsidRPr="005F261F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5F261F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</w:t>
      </w:r>
      <w:r w:rsidR="005F261F">
        <w:rPr>
          <w:i w:val="0"/>
          <w:sz w:val="24"/>
          <w:szCs w:val="24"/>
          <w:lang w:val="uk-UA"/>
        </w:rPr>
        <w:t>зміну цільового призначення земельної ділянки</w:t>
      </w:r>
      <w:r w:rsidRPr="005F261F">
        <w:rPr>
          <w:i w:val="0"/>
          <w:sz w:val="24"/>
          <w:szCs w:val="24"/>
          <w:lang w:val="uk-UA"/>
        </w:rPr>
        <w:t>.</w:t>
      </w:r>
    </w:p>
    <w:p w14:paraId="6443911D" w14:textId="77777777" w:rsidR="00B30291" w:rsidRPr="005F261F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31F1FBF6" w14:textId="77777777" w:rsidR="000652B1" w:rsidRPr="005F261F" w:rsidRDefault="000652B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0403BB0" w14:textId="77777777" w:rsidR="000652B1" w:rsidRPr="005F261F" w:rsidRDefault="000652B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53793C0" w14:textId="77777777" w:rsidR="000652B1" w:rsidRPr="005F261F" w:rsidRDefault="000652B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E4A1312" w14:textId="31010CDC" w:rsidR="000652B1" w:rsidRDefault="000652B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10572F30" w14:textId="77777777" w:rsidR="005F261F" w:rsidRPr="005F261F" w:rsidRDefault="005F261F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2C904FF4" w14:textId="77777777" w:rsidR="000652B1" w:rsidRPr="005F261F" w:rsidRDefault="000652B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106E8B94" w14:textId="77777777" w:rsidR="003767F1" w:rsidRPr="005F261F" w:rsidRDefault="003767F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0F22FA20" w14:textId="1ED94666" w:rsidR="00B30291" w:rsidRPr="005F261F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5F261F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76CB4" w:rsidRPr="005F261F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B76CB4" w:rsidRPr="005F261F" w:rsidRDefault="00B76CB4" w:rsidP="00B76CB4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F261F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47F17A37" w14:textId="77777777" w:rsidR="00B76CB4" w:rsidRPr="005F261F" w:rsidRDefault="00B76CB4" w:rsidP="00B76CB4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F261F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268A8E7B" w14:textId="5A87BD2F" w:rsidR="00B76CB4" w:rsidRPr="005F261F" w:rsidRDefault="00B76CB4" w:rsidP="00A86DD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F261F">
              <w:rPr>
                <w:rFonts w:ascii="Times New Roman" w:eastAsia="Times New Roman" w:hAnsi="Times New Roman" w:cs="Times New Roman"/>
                <w:i/>
              </w:rPr>
              <w:t>Земельна ділянка</w:t>
            </w:r>
            <w:r w:rsidR="00A86DD0" w:rsidRPr="005F261F">
              <w:rPr>
                <w:rFonts w:ascii="Times New Roman" w:eastAsia="Times New Roman" w:hAnsi="Times New Roman" w:cs="Times New Roman"/>
                <w:i/>
              </w:rPr>
              <w:t>: на вул. Якова Качури, 60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 забудована житловим будинком загальною площею157,9 </w:t>
            </w:r>
            <w:proofErr w:type="spellStart"/>
            <w:r w:rsidRPr="005F261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5F261F">
              <w:rPr>
                <w:rFonts w:ascii="Times New Roman" w:eastAsia="Times New Roman" w:hAnsi="Times New Roman" w:cs="Times New Roman"/>
                <w:i/>
              </w:rPr>
              <w:t>.</w:t>
            </w:r>
            <w:r w:rsidR="00A86DD0" w:rsidRPr="005F261F">
              <w:rPr>
                <w:rFonts w:ascii="Times New Roman" w:eastAsia="Times New Roman" w:hAnsi="Times New Roman" w:cs="Times New Roman"/>
                <w:i/>
              </w:rPr>
              <w:t xml:space="preserve"> та надвірними будівлями 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>2145406180000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), який належить на праві приватної власності 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 xml:space="preserve">гр. </w:t>
            </w:r>
            <w:proofErr w:type="spellStart"/>
            <w:r w:rsidR="00B36338" w:rsidRPr="005F261F">
              <w:rPr>
                <w:rFonts w:ascii="Times New Roman" w:eastAsia="Times New Roman" w:hAnsi="Times New Roman" w:cs="Times New Roman"/>
                <w:i/>
              </w:rPr>
              <w:t>Туманяну</w:t>
            </w:r>
            <w:proofErr w:type="spellEnd"/>
            <w:r w:rsidR="00B36338" w:rsidRPr="005F261F">
              <w:rPr>
                <w:rFonts w:ascii="Times New Roman" w:eastAsia="Times New Roman" w:hAnsi="Times New Roman" w:cs="Times New Roman"/>
                <w:i/>
              </w:rPr>
              <w:t xml:space="preserve"> В.О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 на підставі договору к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>упівлі-продажу від 11.11.2022 №</w:t>
            </w:r>
            <w:r w:rsidR="00A86DD0" w:rsidRPr="005F261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>2243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, про що зроблено запис в Державному реєстрі речових прав 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>на нерухоме майно 11.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11.2020, </w:t>
            </w:r>
            <w:r w:rsidRPr="005F261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номер запису про право власності: 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>48412504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речов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>их прав на нерухоме майно від 28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>.0</w:t>
            </w:r>
            <w:r w:rsidR="00B36338" w:rsidRPr="005F261F">
              <w:rPr>
                <w:rFonts w:ascii="Times New Roman" w:eastAsia="Times New Roman" w:hAnsi="Times New Roman" w:cs="Times New Roman"/>
                <w:i/>
              </w:rPr>
              <w:t>4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.2023                          № </w:t>
            </w:r>
            <w:r w:rsidR="00B36338" w:rsidRPr="005F261F">
              <w:rPr>
                <w:rFonts w:ascii="Times New Roman" w:eastAsia="Times New Roman" w:hAnsi="Times New Roman" w:cs="Times New Roman"/>
                <w:i/>
                <w:color w:val="auto"/>
              </w:rPr>
              <w:t>330650568</w:t>
            </w:r>
            <w:r w:rsidRPr="005F261F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76CB4" w:rsidRPr="005F261F" w14:paraId="29DEE27E" w14:textId="77777777" w:rsidTr="003767F1">
        <w:trPr>
          <w:cantSplit/>
          <w:trHeight w:val="361"/>
        </w:trPr>
        <w:tc>
          <w:tcPr>
            <w:tcW w:w="3260" w:type="dxa"/>
          </w:tcPr>
          <w:p w14:paraId="179745D5" w14:textId="77777777" w:rsidR="00B76CB4" w:rsidRPr="005F261F" w:rsidRDefault="00B76CB4" w:rsidP="00B76CB4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F261F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17942868" w14:textId="6518A6DF" w:rsidR="00B76CB4" w:rsidRPr="005F261F" w:rsidRDefault="000F3882" w:rsidP="00B76CB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F261F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0F3882" w:rsidRPr="005F261F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0F3882" w:rsidRPr="005F261F" w:rsidRDefault="000F3882" w:rsidP="000F3882">
            <w:pPr>
              <w:ind w:left="-113"/>
              <w:rPr>
                <w:rFonts w:ascii="Times New Roman" w:hAnsi="Times New Roman" w:cs="Times New Roman"/>
              </w:rPr>
            </w:pPr>
            <w:r w:rsidRPr="005F261F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33C5B68C" w14:textId="77777777" w:rsidR="000F3882" w:rsidRPr="005F261F" w:rsidRDefault="000F3882" w:rsidP="000F3882">
            <w:pPr>
              <w:ind w:left="-113"/>
              <w:rPr>
                <w:rFonts w:ascii="Times New Roman" w:hAnsi="Times New Roman" w:cs="Times New Roman"/>
              </w:rPr>
            </w:pPr>
            <w:r w:rsidRPr="005F261F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4E6E170A" w14:textId="5C4C502A" w:rsidR="000F3882" w:rsidRPr="005F261F" w:rsidRDefault="000F3882" w:rsidP="000F3882">
            <w:pPr>
              <w:pStyle w:val="1"/>
              <w:shd w:val="clear" w:color="auto" w:fill="auto"/>
              <w:jc w:val="both"/>
              <w:rPr>
                <w:i w:val="0"/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належить до території житлової та садибної забудови. </w:t>
            </w:r>
          </w:p>
          <w:p w14:paraId="7076AE53" w14:textId="77777777" w:rsidR="000F3882" w:rsidRPr="005F261F" w:rsidRDefault="000F3882" w:rsidP="000F3882">
            <w:pPr>
              <w:pStyle w:val="1"/>
              <w:shd w:val="clear" w:color="auto" w:fill="auto"/>
              <w:jc w:val="both"/>
              <w:rPr>
                <w:i w:val="0"/>
                <w:sz w:val="12"/>
                <w:szCs w:val="12"/>
                <w:lang w:val="uk-UA"/>
              </w:rPr>
            </w:pPr>
          </w:p>
          <w:p w14:paraId="140AA23D" w14:textId="2F6BF67B" w:rsidR="000F3882" w:rsidRPr="005F261F" w:rsidRDefault="000F3882" w:rsidP="000F3882">
            <w:pPr>
              <w:pStyle w:val="1"/>
              <w:shd w:val="clear" w:color="auto" w:fill="auto"/>
              <w:jc w:val="both"/>
              <w:rPr>
                <w:i w:val="0"/>
                <w:sz w:val="24"/>
                <w:szCs w:val="24"/>
                <w:lang w:val="uk-UA"/>
              </w:rPr>
            </w:pPr>
            <w:r w:rsidRPr="005F261F">
              <w:rPr>
                <w:sz w:val="24"/>
                <w:szCs w:val="24"/>
                <w:lang w:val="uk-UA"/>
              </w:rPr>
              <w:t>Відповідно до Класифікатора видів функціонального призначення територій та їх співвідношення з видами цільовог</w:t>
            </w:r>
            <w:r w:rsidR="003767F1" w:rsidRPr="005F261F">
              <w:rPr>
                <w:sz w:val="24"/>
                <w:szCs w:val="24"/>
                <w:lang w:val="uk-UA"/>
              </w:rPr>
              <w:t>о призначення земельних ділянок, наведеного в додатку 60</w:t>
            </w: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3767F1" w:rsidRPr="005F261F">
              <w:rPr>
                <w:sz w:val="24"/>
                <w:szCs w:val="24"/>
                <w:lang w:val="uk-UA"/>
              </w:rPr>
              <w:t xml:space="preserve">Порядку ведення Державного земельного кадастру, </w:t>
            </w:r>
            <w:r w:rsidRPr="005F261F">
              <w:rPr>
                <w:sz w:val="24"/>
                <w:szCs w:val="24"/>
                <w:lang w:val="uk-UA"/>
              </w:rPr>
              <w:t>затвердженого постановою К</w:t>
            </w:r>
            <w:r w:rsidR="003767F1" w:rsidRPr="005F261F">
              <w:rPr>
                <w:sz w:val="24"/>
                <w:szCs w:val="24"/>
                <w:lang w:val="uk-UA"/>
              </w:rPr>
              <w:t>абінету Міністрів України від 17.10</w:t>
            </w:r>
            <w:r w:rsidR="001D3E33" w:rsidRPr="005F261F">
              <w:rPr>
                <w:sz w:val="24"/>
                <w:szCs w:val="24"/>
                <w:lang w:val="uk-UA"/>
              </w:rPr>
              <w:t>.2012</w:t>
            </w:r>
            <w:r w:rsidRPr="005F261F">
              <w:rPr>
                <w:sz w:val="24"/>
                <w:szCs w:val="24"/>
                <w:lang w:val="uk-UA"/>
              </w:rPr>
              <w:t xml:space="preserve"> </w:t>
            </w:r>
            <w:r w:rsidR="003767F1" w:rsidRPr="005F261F">
              <w:rPr>
                <w:sz w:val="24"/>
                <w:szCs w:val="24"/>
                <w:lang w:val="uk-UA"/>
              </w:rPr>
              <w:t>№ 1051</w:t>
            </w:r>
            <w:r w:rsidRPr="005F261F">
              <w:rPr>
                <w:sz w:val="24"/>
                <w:szCs w:val="24"/>
                <w:lang w:val="uk-UA"/>
              </w:rPr>
              <w:t>, код виду цільового призначення 03.07 (для</w:t>
            </w:r>
            <w:r w:rsidRPr="005F261F">
              <w:rPr>
                <w:lang w:val="uk-UA"/>
              </w:rPr>
              <w:t xml:space="preserve"> </w:t>
            </w:r>
            <w:r w:rsidRPr="005F261F">
              <w:rPr>
                <w:sz w:val="24"/>
                <w:szCs w:val="24"/>
                <w:lang w:val="uk-UA"/>
              </w:rPr>
              <w:t>будівництва та обслуговування будівель торгівлі) є супутнім видом цільового призначення земельної ділянки в зазначеному виді функціонального призначення.</w:t>
            </w:r>
            <w:r w:rsidR="005F261F" w:rsidRPr="005F261F">
              <w:rPr>
                <w:sz w:val="24"/>
                <w:szCs w:val="24"/>
                <w:lang w:val="uk-UA"/>
              </w:rPr>
              <w:t xml:space="preserve"> Можливість зміни цільового призначення земельної ділянки у межах наявного функціоналу підтверджено листом Департаменту містобудування та архітектури від 15.03.2023</w:t>
            </w:r>
            <w:r w:rsidR="005F261F">
              <w:rPr>
                <w:sz w:val="24"/>
                <w:szCs w:val="24"/>
                <w:lang w:val="uk-UA"/>
              </w:rPr>
              <w:t xml:space="preserve">                                 </w:t>
            </w:r>
            <w:r w:rsidR="005F261F" w:rsidRPr="005F261F">
              <w:rPr>
                <w:sz w:val="24"/>
                <w:szCs w:val="24"/>
                <w:lang w:val="uk-UA"/>
              </w:rPr>
              <w:t xml:space="preserve"> № 055-1629.</w:t>
            </w:r>
          </w:p>
          <w:p w14:paraId="42F8F087" w14:textId="26240204" w:rsidR="000F3882" w:rsidRPr="005F261F" w:rsidRDefault="000F3882" w:rsidP="000F388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0F3882" w:rsidRPr="005F261F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0F3882" w:rsidRPr="005F261F" w:rsidRDefault="000F3882" w:rsidP="000F3882">
            <w:pPr>
              <w:ind w:left="-113"/>
              <w:rPr>
                <w:rFonts w:ascii="Times New Roman" w:hAnsi="Times New Roman" w:cs="Times New Roman"/>
              </w:rPr>
            </w:pPr>
            <w:r w:rsidRPr="005F261F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3089BB38" w14:textId="2AC4A30D" w:rsidR="000F3882" w:rsidRPr="005F261F" w:rsidRDefault="000F3882" w:rsidP="000F3882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5F261F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3767F1" w:rsidRPr="005F261F">
              <w:rPr>
                <w:rFonts w:ascii="Times New Roman" w:hAnsi="Times New Roman" w:cs="Times New Roman"/>
                <w:i/>
              </w:rPr>
              <w:t xml:space="preserve">перебуває у приватній власності                 </w:t>
            </w:r>
            <w:r w:rsidRPr="005F261F">
              <w:rPr>
                <w:rFonts w:ascii="Times New Roman" w:hAnsi="Times New Roman" w:cs="Times New Roman"/>
                <w:i/>
              </w:rPr>
              <w:t xml:space="preserve">гр. </w:t>
            </w:r>
            <w:proofErr w:type="spellStart"/>
            <w:r w:rsidRPr="005F261F">
              <w:rPr>
                <w:rFonts w:ascii="Times New Roman" w:eastAsia="Times New Roman" w:hAnsi="Times New Roman" w:cs="Times New Roman"/>
                <w:i/>
              </w:rPr>
              <w:t>Т</w:t>
            </w:r>
            <w:r w:rsidR="003767F1" w:rsidRPr="005F261F">
              <w:rPr>
                <w:rFonts w:ascii="Times New Roman" w:eastAsia="Times New Roman" w:hAnsi="Times New Roman" w:cs="Times New Roman"/>
                <w:i/>
              </w:rPr>
              <w:t>уманяна</w:t>
            </w:r>
            <w:proofErr w:type="spellEnd"/>
            <w:r w:rsidRPr="005F261F">
              <w:rPr>
                <w:rFonts w:ascii="Times New Roman" w:eastAsia="Times New Roman" w:hAnsi="Times New Roman" w:cs="Times New Roman"/>
                <w:i/>
              </w:rPr>
              <w:t xml:space="preserve"> В.О. на підставі договору купівлі-продажу земельної ділянки від 11.11.2022 № 2243.</w:t>
            </w:r>
          </w:p>
        </w:tc>
      </w:tr>
      <w:tr w:rsidR="00B76CB4" w:rsidRPr="005F261F" w14:paraId="70D1F44A" w14:textId="77777777" w:rsidTr="00A86DD0">
        <w:trPr>
          <w:cantSplit/>
          <w:trHeight w:val="388"/>
        </w:trPr>
        <w:tc>
          <w:tcPr>
            <w:tcW w:w="3260" w:type="dxa"/>
          </w:tcPr>
          <w:p w14:paraId="6524846E" w14:textId="77777777" w:rsidR="00B76CB4" w:rsidRPr="005F261F" w:rsidRDefault="00B76CB4" w:rsidP="00B76CB4">
            <w:pPr>
              <w:ind w:left="-113"/>
              <w:rPr>
                <w:rFonts w:ascii="Times New Roman" w:hAnsi="Times New Roman" w:cs="Times New Roman"/>
              </w:rPr>
            </w:pPr>
            <w:r w:rsidRPr="005F261F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76CB4" w:rsidRPr="005F261F" w:rsidRDefault="00B76CB4" w:rsidP="00B76CB4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5F261F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5C53D3A0" w:rsidR="00B76CB4" w:rsidRPr="005F261F" w:rsidRDefault="00B76CB4" w:rsidP="00B76CB4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0F3882" w:rsidRPr="005F261F" w14:paraId="527BCA55" w14:textId="77777777" w:rsidTr="00491AD0">
        <w:trPr>
          <w:cantSplit/>
          <w:trHeight w:val="1478"/>
        </w:trPr>
        <w:tc>
          <w:tcPr>
            <w:tcW w:w="3260" w:type="dxa"/>
          </w:tcPr>
          <w:p w14:paraId="4195AA14" w14:textId="77777777" w:rsidR="000F3882" w:rsidRPr="005F261F" w:rsidRDefault="000F3882" w:rsidP="000F3882">
            <w:pPr>
              <w:ind w:left="-113"/>
              <w:rPr>
                <w:rFonts w:ascii="Times New Roman" w:hAnsi="Times New Roman" w:cs="Times New Roman"/>
              </w:rPr>
            </w:pPr>
            <w:r w:rsidRPr="005F261F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1AC85AD8" w14:textId="7CD8151B" w:rsidR="000F3882" w:rsidRDefault="000F3882" w:rsidP="000F388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F26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Даним </w:t>
            </w:r>
            <w:proofErr w:type="spellStart"/>
            <w:r w:rsidR="00491AD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</w:t>
            </w:r>
            <w:r w:rsidR="000652B1" w:rsidRPr="005F26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ктом</w:t>
            </w:r>
            <w:proofErr w:type="spellEnd"/>
            <w:r w:rsidRPr="005F26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передбачено змінити вид цільового призначення земельної ділянки з «02.01 для будівництва і обслуговування житлового будинку, господарських будівель і споруд» на «03.07 для будівництва та обслуговування будівель торгівлі».</w:t>
            </w:r>
          </w:p>
          <w:p w14:paraId="16A4FC9D" w14:textId="0244F059" w:rsidR="000F3882" w:rsidRPr="005F261F" w:rsidRDefault="000F3882" w:rsidP="000F3882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91AD0" w:rsidRPr="005F261F" w14:paraId="4FF0724C" w14:textId="77777777" w:rsidTr="00AC6C1F">
        <w:trPr>
          <w:cantSplit/>
          <w:trHeight w:val="5130"/>
        </w:trPr>
        <w:tc>
          <w:tcPr>
            <w:tcW w:w="3260" w:type="dxa"/>
          </w:tcPr>
          <w:p w14:paraId="327B45EE" w14:textId="77777777" w:rsidR="00491AD0" w:rsidRPr="005F261F" w:rsidRDefault="00491AD0" w:rsidP="000F3882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564FC98C" w14:textId="5071DC98" w:rsidR="00491AD0" w:rsidRPr="001221B6" w:rsidRDefault="00491AD0" w:rsidP="00491AD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22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 w:rsidR="00C6042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зміну цільового призначення </w:t>
            </w:r>
            <w:r w:rsidRPr="00122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DF3F4AC" w14:textId="77777777" w:rsidR="00491AD0" w:rsidRPr="001221B6" w:rsidRDefault="00491AD0" w:rsidP="00491AD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22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2FE4B25" w14:textId="77777777" w:rsidR="00491AD0" w:rsidRPr="001221B6" w:rsidRDefault="00491AD0" w:rsidP="00491AD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10958A0F" w14:textId="77777777" w:rsidR="00491AD0" w:rsidRPr="005F261F" w:rsidRDefault="00491AD0" w:rsidP="00491AD0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122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122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122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3E369B4B" w14:textId="77777777" w:rsidR="00491AD0" w:rsidRPr="005F261F" w:rsidRDefault="00491AD0" w:rsidP="000F388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</w:tc>
      </w:tr>
    </w:tbl>
    <w:p w14:paraId="0E6BCBEE" w14:textId="0929E76D" w:rsidR="003466D3" w:rsidRDefault="003466D3" w:rsidP="00B30291">
      <w:pPr>
        <w:pStyle w:val="a7"/>
        <w:shd w:val="clear" w:color="auto" w:fill="auto"/>
        <w:rPr>
          <w:lang w:val="uk-UA"/>
        </w:rPr>
      </w:pPr>
    </w:p>
    <w:p w14:paraId="27A0047C" w14:textId="77777777" w:rsidR="00491AD0" w:rsidRPr="005F261F" w:rsidRDefault="00491AD0" w:rsidP="00B30291">
      <w:pPr>
        <w:pStyle w:val="a7"/>
        <w:shd w:val="clear" w:color="auto" w:fill="auto"/>
        <w:rPr>
          <w:lang w:val="uk-UA"/>
        </w:rPr>
      </w:pPr>
    </w:p>
    <w:p w14:paraId="301341C4" w14:textId="132FCDD6" w:rsidR="003466D3" w:rsidRPr="005F261F" w:rsidRDefault="003466D3" w:rsidP="00B30291">
      <w:pPr>
        <w:pStyle w:val="a7"/>
        <w:shd w:val="clear" w:color="auto" w:fill="auto"/>
        <w:rPr>
          <w:lang w:val="uk-UA"/>
        </w:rPr>
      </w:pPr>
    </w:p>
    <w:p w14:paraId="1D563928" w14:textId="273F0BBC" w:rsidR="00173F07" w:rsidRPr="005F261F" w:rsidRDefault="00491AD0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С</w:t>
      </w:r>
      <w:r w:rsidR="00173F07" w:rsidRPr="005F261F">
        <w:rPr>
          <w:b/>
          <w:bCs/>
          <w:i w:val="0"/>
          <w:sz w:val="24"/>
          <w:szCs w:val="24"/>
          <w:lang w:val="uk-UA"/>
        </w:rPr>
        <w:t>тан нормативно-правової бази у даній сфері правового регулювання.</w:t>
      </w:r>
    </w:p>
    <w:p w14:paraId="0FDB6E81" w14:textId="1BCC42FE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5F261F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 w:rsidRPr="005F261F">
        <w:rPr>
          <w:i w:val="0"/>
          <w:sz w:val="24"/>
          <w:szCs w:val="24"/>
          <w:lang w:val="uk-UA"/>
        </w:rPr>
        <w:t>Київської міської ради</w:t>
      </w:r>
      <w:r w:rsidRPr="005F261F">
        <w:rPr>
          <w:i w:val="0"/>
          <w:sz w:val="24"/>
          <w:szCs w:val="24"/>
          <w:lang w:val="uk-UA"/>
        </w:rPr>
        <w:t xml:space="preserve"> від 20</w:t>
      </w:r>
      <w:r w:rsidR="00D85DDE" w:rsidRPr="005F261F">
        <w:rPr>
          <w:i w:val="0"/>
          <w:sz w:val="24"/>
          <w:szCs w:val="24"/>
          <w:lang w:val="uk-UA"/>
        </w:rPr>
        <w:t>.04.</w:t>
      </w:r>
      <w:r w:rsidRPr="005F261F">
        <w:rPr>
          <w:i w:val="0"/>
          <w:sz w:val="24"/>
          <w:szCs w:val="24"/>
          <w:lang w:val="uk-UA"/>
        </w:rPr>
        <w:t>2017 № 241/2463.</w:t>
      </w:r>
    </w:p>
    <w:p w14:paraId="0A0F5A98" w14:textId="77777777" w:rsidR="005F261F" w:rsidRPr="00A353AE" w:rsidRDefault="005F261F" w:rsidP="005F261F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A353AE">
        <w:rPr>
          <w:i w:val="0"/>
          <w:sz w:val="24"/>
          <w:szCs w:val="24"/>
          <w:lang w:val="ru-RU"/>
        </w:rPr>
        <w:t>Проєкт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рішення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не </w:t>
      </w:r>
      <w:proofErr w:type="spellStart"/>
      <w:r>
        <w:rPr>
          <w:i w:val="0"/>
          <w:sz w:val="24"/>
          <w:szCs w:val="24"/>
          <w:lang w:val="ru-RU"/>
        </w:rPr>
        <w:t>містить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інформації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353AE">
        <w:rPr>
          <w:i w:val="0"/>
          <w:sz w:val="24"/>
          <w:szCs w:val="24"/>
          <w:lang w:val="ru-RU"/>
        </w:rPr>
        <w:t>обмеженим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A353AE">
        <w:rPr>
          <w:i w:val="0"/>
          <w:sz w:val="24"/>
          <w:szCs w:val="24"/>
          <w:lang w:val="ru-RU"/>
        </w:rPr>
        <w:t>розумінні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статті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A353AE">
        <w:rPr>
          <w:i w:val="0"/>
          <w:sz w:val="24"/>
          <w:szCs w:val="24"/>
          <w:lang w:val="ru-RU"/>
        </w:rPr>
        <w:t>України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A353AE">
        <w:rPr>
          <w:i w:val="0"/>
          <w:sz w:val="24"/>
          <w:szCs w:val="24"/>
          <w:lang w:val="ru-RU"/>
        </w:rPr>
        <w:t>публічної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інформації</w:t>
      </w:r>
      <w:proofErr w:type="spellEnd"/>
      <w:r w:rsidRPr="00A353AE">
        <w:rPr>
          <w:i w:val="0"/>
          <w:sz w:val="24"/>
          <w:szCs w:val="24"/>
          <w:lang w:val="ru-RU"/>
        </w:rPr>
        <w:t>».</w:t>
      </w:r>
    </w:p>
    <w:p w14:paraId="528AD421" w14:textId="77777777" w:rsidR="000F3882" w:rsidRPr="005F261F" w:rsidRDefault="000F3882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13A3F551" w14:textId="77777777" w:rsidR="000F3882" w:rsidRPr="005F261F" w:rsidRDefault="000F3882" w:rsidP="000F3882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b/>
          <w:i w:val="0"/>
          <w:sz w:val="24"/>
          <w:szCs w:val="24"/>
          <w:lang w:val="uk-UA"/>
        </w:rPr>
      </w:pPr>
      <w:r w:rsidRPr="005F261F">
        <w:rPr>
          <w:b/>
          <w:i w:val="0"/>
          <w:sz w:val="24"/>
          <w:szCs w:val="24"/>
          <w:lang w:val="uk-UA"/>
        </w:rPr>
        <w:t>Фінансово-економічне обґрунтування.</w:t>
      </w:r>
    </w:p>
    <w:p w14:paraId="1406DD00" w14:textId="77777777" w:rsidR="000F3882" w:rsidRPr="005F261F" w:rsidRDefault="000F3882" w:rsidP="000F3882">
      <w:pPr>
        <w:pStyle w:val="1"/>
        <w:shd w:val="clear" w:color="auto" w:fill="auto"/>
        <w:ind w:firstLine="420"/>
        <w:rPr>
          <w:i w:val="0"/>
          <w:sz w:val="24"/>
          <w:szCs w:val="24"/>
          <w:lang w:val="uk-UA"/>
        </w:rPr>
      </w:pPr>
      <w:r w:rsidRPr="005F261F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FA6BCCE" w14:textId="4879E2E8" w:rsidR="000F3882" w:rsidRDefault="000F3882" w:rsidP="000F3882">
      <w:pPr>
        <w:pStyle w:val="1"/>
        <w:shd w:val="clear" w:color="auto" w:fill="auto"/>
        <w:spacing w:after="100"/>
        <w:ind w:firstLine="426"/>
        <w:jc w:val="both"/>
        <w:rPr>
          <w:b/>
          <w:i w:val="0"/>
          <w:sz w:val="24"/>
          <w:szCs w:val="24"/>
          <w:lang w:val="uk-UA"/>
        </w:rPr>
      </w:pPr>
      <w:r w:rsidRPr="005F261F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5F261F">
        <w:rPr>
          <w:b/>
          <w:i w:val="0"/>
          <w:sz w:val="24"/>
          <w:szCs w:val="24"/>
          <w:lang w:val="uk-UA"/>
        </w:rPr>
        <w:t xml:space="preserve">існуючий – </w:t>
      </w:r>
      <w:r w:rsidR="003767F1" w:rsidRPr="005F261F">
        <w:rPr>
          <w:b/>
          <w:i w:val="0"/>
          <w:sz w:val="24"/>
          <w:szCs w:val="24"/>
          <w:lang w:val="uk-UA"/>
        </w:rPr>
        <w:t>415</w:t>
      </w:r>
      <w:r w:rsidRPr="005F261F">
        <w:rPr>
          <w:b/>
          <w:i w:val="0"/>
          <w:sz w:val="24"/>
          <w:szCs w:val="24"/>
          <w:lang w:val="uk-UA"/>
        </w:rPr>
        <w:t xml:space="preserve"> грн </w:t>
      </w:r>
      <w:r w:rsidR="003767F1" w:rsidRPr="005F261F">
        <w:rPr>
          <w:b/>
          <w:i w:val="0"/>
          <w:sz w:val="24"/>
          <w:szCs w:val="24"/>
          <w:lang w:val="uk-UA"/>
        </w:rPr>
        <w:t xml:space="preserve">17 </w:t>
      </w:r>
      <w:proofErr w:type="spellStart"/>
      <w:r w:rsidR="003767F1" w:rsidRPr="005F261F">
        <w:rPr>
          <w:b/>
          <w:i w:val="0"/>
          <w:sz w:val="24"/>
          <w:szCs w:val="24"/>
          <w:lang w:val="uk-UA"/>
        </w:rPr>
        <w:t>коп</w:t>
      </w:r>
      <w:proofErr w:type="spellEnd"/>
      <w:r w:rsidR="003767F1" w:rsidRPr="005F261F">
        <w:rPr>
          <w:b/>
          <w:i w:val="0"/>
          <w:sz w:val="24"/>
          <w:szCs w:val="24"/>
          <w:lang w:val="uk-UA"/>
        </w:rPr>
        <w:t xml:space="preserve"> (0,01</w:t>
      </w:r>
      <w:r w:rsidRPr="005F261F">
        <w:rPr>
          <w:b/>
          <w:i w:val="0"/>
          <w:sz w:val="24"/>
          <w:szCs w:val="24"/>
          <w:lang w:val="uk-UA"/>
        </w:rPr>
        <w:t xml:space="preserve"> %), </w:t>
      </w:r>
      <w:proofErr w:type="spellStart"/>
      <w:r w:rsidRPr="005F261F">
        <w:rPr>
          <w:b/>
          <w:i w:val="0"/>
          <w:sz w:val="24"/>
          <w:szCs w:val="24"/>
          <w:lang w:val="uk-UA"/>
        </w:rPr>
        <w:t>проєктний</w:t>
      </w:r>
      <w:proofErr w:type="spellEnd"/>
      <w:r w:rsidRPr="005F261F">
        <w:rPr>
          <w:b/>
          <w:i w:val="0"/>
          <w:sz w:val="24"/>
          <w:szCs w:val="24"/>
          <w:lang w:val="uk-UA"/>
        </w:rPr>
        <w:t xml:space="preserve"> – </w:t>
      </w:r>
      <w:r w:rsidR="003767F1" w:rsidRPr="005F261F">
        <w:rPr>
          <w:b/>
          <w:i w:val="0"/>
          <w:sz w:val="24"/>
          <w:szCs w:val="24"/>
          <w:lang w:val="uk-UA"/>
        </w:rPr>
        <w:t>30</w:t>
      </w:r>
      <w:r w:rsidRPr="005F261F">
        <w:rPr>
          <w:b/>
          <w:i w:val="0"/>
          <w:sz w:val="24"/>
          <w:szCs w:val="24"/>
          <w:lang w:val="uk-UA"/>
        </w:rPr>
        <w:t> </w:t>
      </w:r>
      <w:r w:rsidR="003767F1" w:rsidRPr="005F261F">
        <w:rPr>
          <w:b/>
          <w:i w:val="0"/>
          <w:sz w:val="24"/>
          <w:szCs w:val="24"/>
          <w:lang w:val="uk-UA"/>
        </w:rPr>
        <w:t>445 грн 63</w:t>
      </w:r>
      <w:r w:rsidRPr="005F261F">
        <w:rPr>
          <w:b/>
          <w:i w:val="0"/>
          <w:sz w:val="24"/>
          <w:szCs w:val="24"/>
          <w:lang w:val="uk-UA"/>
        </w:rPr>
        <w:t xml:space="preserve"> </w:t>
      </w:r>
      <w:proofErr w:type="spellStart"/>
      <w:r w:rsidRPr="005F261F">
        <w:rPr>
          <w:b/>
          <w:i w:val="0"/>
          <w:sz w:val="24"/>
          <w:szCs w:val="24"/>
          <w:lang w:val="uk-UA"/>
        </w:rPr>
        <w:t>коп</w:t>
      </w:r>
      <w:proofErr w:type="spellEnd"/>
      <w:r w:rsidRPr="005F261F">
        <w:rPr>
          <w:b/>
          <w:i w:val="0"/>
          <w:sz w:val="24"/>
          <w:szCs w:val="24"/>
          <w:lang w:val="uk-UA"/>
        </w:rPr>
        <w:t xml:space="preserve"> (</w:t>
      </w:r>
      <w:r w:rsidR="003767F1" w:rsidRPr="005F261F">
        <w:rPr>
          <w:b/>
          <w:i w:val="0"/>
          <w:sz w:val="24"/>
          <w:szCs w:val="24"/>
          <w:lang w:val="uk-UA"/>
        </w:rPr>
        <w:t xml:space="preserve"> </w:t>
      </w:r>
      <w:r w:rsidRPr="005F261F">
        <w:rPr>
          <w:b/>
          <w:i w:val="0"/>
          <w:sz w:val="24"/>
          <w:szCs w:val="24"/>
          <w:lang w:val="uk-UA"/>
        </w:rPr>
        <w:t>1 %).</w:t>
      </w:r>
    </w:p>
    <w:p w14:paraId="0702B2F4" w14:textId="77777777" w:rsidR="005F261F" w:rsidRPr="005F261F" w:rsidRDefault="005F261F" w:rsidP="000F3882">
      <w:pPr>
        <w:pStyle w:val="1"/>
        <w:shd w:val="clear" w:color="auto" w:fill="auto"/>
        <w:spacing w:after="100"/>
        <w:ind w:firstLine="426"/>
        <w:jc w:val="both"/>
        <w:rPr>
          <w:b/>
          <w:i w:val="0"/>
          <w:sz w:val="24"/>
          <w:szCs w:val="24"/>
          <w:lang w:val="uk-UA"/>
        </w:rPr>
      </w:pPr>
    </w:p>
    <w:p w14:paraId="3AA638E7" w14:textId="77777777" w:rsidR="000F3882" w:rsidRPr="005F261F" w:rsidRDefault="000F3882" w:rsidP="000F3882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b/>
          <w:i w:val="0"/>
          <w:sz w:val="24"/>
          <w:szCs w:val="24"/>
          <w:lang w:val="uk-UA"/>
        </w:rPr>
      </w:pPr>
      <w:r w:rsidRPr="005F261F">
        <w:rPr>
          <w:b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5E1B862" w14:textId="77777777" w:rsidR="000F3882" w:rsidRPr="005F261F" w:rsidRDefault="000F3882" w:rsidP="000F3882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5F261F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5F261F">
        <w:rPr>
          <w:i w:val="0"/>
          <w:sz w:val="24"/>
          <w:szCs w:val="24"/>
          <w:lang w:val="uk-UA"/>
        </w:rPr>
        <w:t>проєкту</w:t>
      </w:r>
      <w:proofErr w:type="spellEnd"/>
      <w:r w:rsidRPr="005F261F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25AE3543" w14:textId="77777777" w:rsidR="00F02B36" w:rsidRPr="005F261F" w:rsidRDefault="00F02B36" w:rsidP="00A73294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02790976" w14:textId="77777777" w:rsidR="00F02B36" w:rsidRPr="005F261F" w:rsidRDefault="00F02B36" w:rsidP="00A73294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1CD41DA0" w14:textId="706F8CCA" w:rsidR="00B30291" w:rsidRPr="005F261F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5F261F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5F261F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5F261F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5F261F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5F261F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5F261F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5F261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5F261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5F261F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5F261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5F261F" w:rsidRDefault="00FF1715">
      <w:pPr>
        <w:rPr>
          <w:rFonts w:ascii="Times New Roman" w:hAnsi="Times New Roman" w:cs="Times New Roman"/>
        </w:rPr>
      </w:pPr>
    </w:p>
    <w:sectPr w:rsidR="00FF1715" w:rsidRPr="005F261F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B76CB4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B76CB4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B76CB4">
          <w:rPr>
            <w:i w:val="0"/>
            <w:sz w:val="12"/>
            <w:szCs w:val="12"/>
            <w:lang w:val="ru-RU"/>
          </w:rPr>
          <w:t xml:space="preserve"> записка № ПЗН-53902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B76CB4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B76CB4">
          <w:rPr>
            <w:i w:val="0"/>
            <w:sz w:val="12"/>
            <w:szCs w:val="12"/>
            <w:lang w:val="ru-RU"/>
          </w:rPr>
          <w:t xml:space="preserve"> </w:t>
        </w:r>
        <w:r w:rsidR="00855E11" w:rsidRPr="00B76CB4">
          <w:rPr>
            <w:i w:val="0"/>
            <w:sz w:val="12"/>
            <w:szCs w:val="12"/>
            <w:lang w:val="ru-RU"/>
          </w:rPr>
          <w:t>28.04.2023</w:t>
        </w:r>
        <w:r w:rsidR="0012494D" w:rsidRPr="00B76CB4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B76CB4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B76CB4">
          <w:rPr>
            <w:i w:val="0"/>
            <w:sz w:val="12"/>
            <w:szCs w:val="12"/>
            <w:lang w:val="ru-RU"/>
          </w:rPr>
          <w:t xml:space="preserve"> 313969844</w:t>
        </w:r>
      </w:p>
      <w:p w14:paraId="3386C57A" w14:textId="38267466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76278" w:rsidRPr="00E7627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E7627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652B1"/>
    <w:rsid w:val="000F3882"/>
    <w:rsid w:val="0012494D"/>
    <w:rsid w:val="00173F07"/>
    <w:rsid w:val="00174E19"/>
    <w:rsid w:val="001A7756"/>
    <w:rsid w:val="001D3A82"/>
    <w:rsid w:val="001D3E33"/>
    <w:rsid w:val="002370D1"/>
    <w:rsid w:val="002410F5"/>
    <w:rsid w:val="00265722"/>
    <w:rsid w:val="002678BE"/>
    <w:rsid w:val="002B4F74"/>
    <w:rsid w:val="002D265C"/>
    <w:rsid w:val="00311269"/>
    <w:rsid w:val="003466D3"/>
    <w:rsid w:val="00346872"/>
    <w:rsid w:val="003767F1"/>
    <w:rsid w:val="003A13FE"/>
    <w:rsid w:val="003C3E66"/>
    <w:rsid w:val="00452D5A"/>
    <w:rsid w:val="00463B38"/>
    <w:rsid w:val="00485686"/>
    <w:rsid w:val="00491AD0"/>
    <w:rsid w:val="00495A67"/>
    <w:rsid w:val="0050652B"/>
    <w:rsid w:val="0054172D"/>
    <w:rsid w:val="005740F1"/>
    <w:rsid w:val="00581A44"/>
    <w:rsid w:val="005D5C2D"/>
    <w:rsid w:val="005F261F"/>
    <w:rsid w:val="0065190A"/>
    <w:rsid w:val="006A34C6"/>
    <w:rsid w:val="006B016C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A1D36"/>
    <w:rsid w:val="0094351B"/>
    <w:rsid w:val="0095373A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86DD0"/>
    <w:rsid w:val="00A92A53"/>
    <w:rsid w:val="00A94E5D"/>
    <w:rsid w:val="00AA4A94"/>
    <w:rsid w:val="00AC6C1F"/>
    <w:rsid w:val="00B00C12"/>
    <w:rsid w:val="00B11B2C"/>
    <w:rsid w:val="00B30291"/>
    <w:rsid w:val="00B36338"/>
    <w:rsid w:val="00B76CB4"/>
    <w:rsid w:val="00B84B97"/>
    <w:rsid w:val="00C04B24"/>
    <w:rsid w:val="00C20204"/>
    <w:rsid w:val="00C5746C"/>
    <w:rsid w:val="00C60420"/>
    <w:rsid w:val="00C70FE7"/>
    <w:rsid w:val="00C94FF1"/>
    <w:rsid w:val="00C95681"/>
    <w:rsid w:val="00CA5D01"/>
    <w:rsid w:val="00CD066B"/>
    <w:rsid w:val="00D27EDF"/>
    <w:rsid w:val="00D57CE8"/>
    <w:rsid w:val="00D702BD"/>
    <w:rsid w:val="00D77F52"/>
    <w:rsid w:val="00D85DDE"/>
    <w:rsid w:val="00E34240"/>
    <w:rsid w:val="00E60C6D"/>
    <w:rsid w:val="00E76278"/>
    <w:rsid w:val="00E90C7D"/>
    <w:rsid w:val="00E92EA7"/>
    <w:rsid w:val="00EC641A"/>
    <w:rsid w:val="00EF388D"/>
    <w:rsid w:val="00F012A7"/>
    <w:rsid w:val="00F02B36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9F60C-0EBA-4A7E-A0A2-355059FF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6273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Задворна Тетяна Анатоліївна</cp:lastModifiedBy>
  <cp:revision>51</cp:revision>
  <cp:lastPrinted>2023-05-04T14:07:00Z</cp:lastPrinted>
  <dcterms:created xsi:type="dcterms:W3CDTF">2020-11-18T11:16:00Z</dcterms:created>
  <dcterms:modified xsi:type="dcterms:W3CDTF">2023-05-04T14:09:00Z</dcterms:modified>
</cp:coreProperties>
</file>