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707ABB9A" w14:textId="77777777" w:rsidR="004E5850" w:rsidRDefault="004E5850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4B936446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310579160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310579160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BE241A">
        <w:rPr>
          <w:b/>
          <w:bCs/>
          <w:sz w:val="24"/>
          <w:szCs w:val="24"/>
          <w:lang w:val="ru-RU"/>
        </w:rPr>
        <w:t>-64922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E241A">
        <w:rPr>
          <w:b/>
          <w:bCs/>
          <w:sz w:val="24"/>
          <w:szCs w:val="24"/>
          <w:lang w:val="ru-RU"/>
        </w:rPr>
        <w:t>03.04.2024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5980D02" w:rsidR="00343979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BE241A" w:rsidRPr="00BE241A">
        <w:rPr>
          <w:b/>
          <w:i/>
          <w:sz w:val="24"/>
          <w:szCs w:val="24"/>
        </w:rPr>
        <w:t>поновлення товариству з обмеженою відповідальністю «СОЛЕКС» договору оренди земельної ділянки від 24 квітня 2009 року № 63-6-00539 для експлуатації та обслуговування АЗС з комплексом сервісного обслуговування (СТО, мийка, магазин) на вул. Автотранспортній, 1 у Дарницькому районі м. Києва</w:t>
      </w:r>
    </w:p>
    <w:p w14:paraId="5537D47A" w14:textId="77777777" w:rsidR="004E5850" w:rsidRPr="00694D51" w:rsidRDefault="004E5850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28E9105" w:rsidR="00E94376" w:rsidRPr="000B1E6A" w:rsidRDefault="00BE241A" w:rsidP="00BE241A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«СОЛЕКС»</w:t>
            </w:r>
            <w:r w:rsidR="000B1E6A">
              <w:rPr>
                <w:i/>
                <w:sz w:val="24"/>
                <w:szCs w:val="24"/>
              </w:rPr>
              <w:t xml:space="preserve"> </w:t>
            </w:r>
            <w:r w:rsidR="000B1E6A" w:rsidRPr="004E5850">
              <w:rPr>
                <w:i/>
                <w:sz w:val="24"/>
                <w:szCs w:val="24"/>
              </w:rPr>
              <w:t>(</w:t>
            </w:r>
            <w:r w:rsidR="00FF0A55" w:rsidRPr="004E5850">
              <w:rPr>
                <w:i/>
                <w:sz w:val="24"/>
                <w:szCs w:val="24"/>
              </w:rPr>
              <w:t>ЄДРПОУ</w:t>
            </w:r>
            <w:r w:rsidR="002B5778" w:rsidRPr="004E5850">
              <w:rPr>
                <w:i/>
                <w:sz w:val="24"/>
                <w:szCs w:val="24"/>
              </w:rPr>
              <w:t xml:space="preserve"> </w:t>
            </w:r>
            <w:r w:rsidR="000B1E6A" w:rsidRPr="004E5850">
              <w:rPr>
                <w:i/>
                <w:color w:val="auto"/>
                <w:sz w:val="24"/>
                <w:szCs w:val="24"/>
                <w:lang w:bidi="ar-SA"/>
              </w:rPr>
              <w:t>30728756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(ладі –Товариство)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BE241A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F51A2E6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71BA1F2" w14:textId="77777777" w:rsidR="004E5850" w:rsidRDefault="004E5850" w:rsidP="004E585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5850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ТУЛЬНІКОВ В'ЯЧЕСЛАВ ВАСИЛЬОВИЧ</w:t>
            </w:r>
          </w:p>
          <w:p w14:paraId="6643096C" w14:textId="7B229473" w:rsidR="00E94376" w:rsidRPr="004E5850" w:rsidRDefault="004E5850" w:rsidP="004E585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4E5850">
              <w:rPr>
                <w:i/>
                <w:sz w:val="24"/>
                <w:szCs w:val="24"/>
              </w:rPr>
              <w:t xml:space="preserve">Україна, 04209, місто Київ, вул. </w:t>
            </w:r>
            <w:r>
              <w:rPr>
                <w:i/>
                <w:sz w:val="24"/>
                <w:szCs w:val="24"/>
              </w:rPr>
              <w:t>Героїв Дніпра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4E5850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14C1BF32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1C7A8B69" w14:textId="19C172F2" w:rsidR="00E94376" w:rsidRPr="004E5850" w:rsidRDefault="004E5850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15.03.2024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310579160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8000000000:90:243:0005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FB154C">
              <w:rPr>
                <w:i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Автотранспортна, 1 у Дарницькому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BE241A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0,2860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07424905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  <w:r w:rsidR="00FB154C">
              <w:rPr>
                <w:i/>
                <w:sz w:val="24"/>
                <w:szCs w:val="24"/>
              </w:rPr>
              <w:t>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40A7F90" w:rsidR="006764C8" w:rsidRPr="00BE241A" w:rsidRDefault="000B0B65" w:rsidP="00BE241A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947206">
              <w:rPr>
                <w:b/>
                <w:i/>
                <w:sz w:val="24"/>
                <w:szCs w:val="24"/>
              </w:rPr>
              <w:t xml:space="preserve"> </w:t>
            </w:r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69B6" w:rsidRPr="00BE241A">
              <w:rPr>
                <w:b/>
                <w:i/>
                <w:sz w:val="24"/>
                <w:szCs w:val="24"/>
                <w:lang w:val="ru-RU"/>
              </w:rPr>
              <w:t>торгівлі</w:t>
            </w:r>
            <w:proofErr w:type="spellEnd"/>
            <w:r w:rsidRPr="00BE241A">
              <w:rPr>
                <w:b/>
                <w:i/>
                <w:sz w:val="24"/>
                <w:szCs w:val="24"/>
                <w:lang w:val="ru-RU"/>
              </w:rPr>
              <w:t xml:space="preserve"> (</w:t>
            </w:r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 xml:space="preserve"> АЗС з комплексом </w:t>
            </w:r>
            <w:proofErr w:type="spellStart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>сервісного</w:t>
            </w:r>
            <w:proofErr w:type="spellEnd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 xml:space="preserve"> (СТО, </w:t>
            </w:r>
            <w:proofErr w:type="spellStart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>мийка</w:t>
            </w:r>
            <w:proofErr w:type="spellEnd"/>
            <w:r w:rsidR="00C55118" w:rsidRPr="00BE241A">
              <w:rPr>
                <w:b/>
                <w:i/>
                <w:sz w:val="24"/>
                <w:szCs w:val="24"/>
                <w:lang w:val="ru-RU"/>
              </w:rPr>
              <w:t>, магазин)</w:t>
            </w:r>
            <w:r w:rsidRPr="00BE241A"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FB154C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FB154C">
              <w:rPr>
                <w:iCs w:val="0"/>
                <w:sz w:val="18"/>
                <w:szCs w:val="18"/>
              </w:rPr>
              <w:t>(за поперед</w:t>
            </w:r>
            <w:r w:rsidR="00056A2A" w:rsidRPr="00FB154C">
              <w:rPr>
                <w:iCs w:val="0"/>
                <w:sz w:val="18"/>
                <w:szCs w:val="18"/>
              </w:rPr>
              <w:t>нім</w:t>
            </w:r>
            <w:r w:rsidR="006764C8" w:rsidRPr="00FB154C">
              <w:rPr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1A31CB41" w14:textId="77777777" w:rsidR="00BE241A" w:rsidRDefault="00BE241A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61243EFD" w:rsidR="006D7E33" w:rsidRPr="00056A2A" w:rsidRDefault="00BE241A" w:rsidP="00BE241A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BE241A">
              <w:rPr>
                <w:b/>
                <w:i/>
                <w:sz w:val="24"/>
                <w:szCs w:val="24"/>
                <w:shd w:val="clear" w:color="auto" w:fill="FFFFFF"/>
              </w:rPr>
              <w:t>5</w:t>
            </w:r>
            <w:r w:rsidR="004E585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E241A">
              <w:rPr>
                <w:b/>
                <w:i/>
                <w:sz w:val="24"/>
                <w:szCs w:val="24"/>
                <w:shd w:val="clear" w:color="auto" w:fill="FFFFFF"/>
              </w:rPr>
              <w:t>150</w:t>
            </w:r>
            <w:r w:rsidR="004E5850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E241A">
              <w:rPr>
                <w:b/>
                <w:i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,</w:t>
            </w:r>
            <w:r w:rsidRPr="00BE241A">
              <w:rPr>
                <w:b/>
                <w:i/>
                <w:sz w:val="24"/>
                <w:szCs w:val="24"/>
                <w:shd w:val="clear" w:color="auto" w:fill="FFFFFF"/>
              </w:rPr>
              <w:t>45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грн</w:t>
            </w:r>
          </w:p>
        </w:tc>
      </w:tr>
    </w:tbl>
    <w:p w14:paraId="1EE201F4" w14:textId="18339905" w:rsidR="008A338E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0E821A94" w14:textId="77777777" w:rsidR="004E5850" w:rsidRPr="00553E8C" w:rsidRDefault="004E5850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9D0860" w14:textId="77777777" w:rsidR="004E5850" w:rsidRDefault="004E585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C6A59A7" w14:textId="77777777" w:rsidR="004E5850" w:rsidRDefault="004E585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7EB7019" w14:textId="77777777" w:rsidR="004E5850" w:rsidRDefault="004E585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002DFAD" w14:textId="77777777" w:rsidR="004E5850" w:rsidRDefault="004E585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9A16222" w14:textId="77777777" w:rsidR="004E5850" w:rsidRDefault="004E585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922EECE" w14:textId="77777777" w:rsidR="004E5850" w:rsidRDefault="004E585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1F7044E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27F8A1F1" w:rsidR="00FF0A55" w:rsidRPr="00EE137E" w:rsidRDefault="00BE241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3C3EB7">
              <w:rPr>
                <w:b w:val="0"/>
                <w:bCs w:val="0"/>
                <w:i/>
                <w:sz w:val="24"/>
                <w:szCs w:val="24"/>
              </w:rPr>
              <w:t xml:space="preserve"> В межах земельної ділянки розміщується автозаправний комплекс «КЛО» з будівлею-магазину-операторської та автомобільної мийки. Територія частково огороджена. В межах території розміщуються резервуари з паливом та ємність з газом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(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 xml:space="preserve">акт обстеження </w:t>
            </w:r>
            <w:r w:rsidR="007A5002"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земельної ділянки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від</w:t>
            </w:r>
            <w:r w:rsidR="003C3EB7">
              <w:rPr>
                <w:b w:val="0"/>
                <w:bCs w:val="0"/>
                <w:i/>
                <w:sz w:val="24"/>
                <w:szCs w:val="24"/>
              </w:rPr>
              <w:t xml:space="preserve"> 03.04.2024 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3C3EB7">
              <w:rPr>
                <w:b w:val="0"/>
                <w:bCs w:val="0"/>
                <w:i/>
                <w:sz w:val="24"/>
                <w:szCs w:val="24"/>
              </w:rPr>
              <w:t xml:space="preserve"> ДК/84-АО/2024</w:t>
            </w:r>
            <w:r w:rsidR="00FF0A55" w:rsidRPr="00EE137E">
              <w:rPr>
                <w:b w:val="0"/>
                <w:bCs w:val="0"/>
                <w:i/>
                <w:sz w:val="24"/>
                <w:szCs w:val="24"/>
                <w:lang w:val="ru-RU"/>
              </w:rPr>
              <w:t>).</w:t>
            </w:r>
          </w:p>
          <w:p w14:paraId="506E57A9" w14:textId="1B925EA6" w:rsidR="00823CCF" w:rsidRPr="00EE137E" w:rsidRDefault="003C3EB7" w:rsidP="00947206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4E5850">
              <w:rPr>
                <w:b w:val="0"/>
                <w:bCs w:val="0"/>
                <w:i/>
                <w:sz w:val="24"/>
                <w:szCs w:val="24"/>
              </w:rPr>
              <w:t xml:space="preserve">Відповідно до відомостей Державного реєстру речових прав на нерухоме майно Товариству на праві приватної власності належить </w:t>
            </w:r>
            <w:r w:rsidR="00947206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4E5850">
              <w:rPr>
                <w:b w:val="0"/>
                <w:bCs w:val="0"/>
                <w:i/>
                <w:sz w:val="24"/>
                <w:szCs w:val="24"/>
              </w:rPr>
              <w:t>ежитлова будівля АЗС,</w:t>
            </w:r>
            <w:r w:rsidR="004E5850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4E5850">
              <w:rPr>
                <w:b w:val="0"/>
                <w:bCs w:val="0"/>
                <w:i/>
                <w:sz w:val="24"/>
                <w:szCs w:val="24"/>
              </w:rPr>
              <w:t>літ."С</w:t>
            </w:r>
            <w:proofErr w:type="spellEnd"/>
            <w:r w:rsidRPr="004E5850">
              <w:rPr>
                <w:b w:val="0"/>
                <w:bCs w:val="0"/>
                <w:i/>
                <w:sz w:val="24"/>
                <w:szCs w:val="24"/>
              </w:rPr>
              <w:t xml:space="preserve">" загальною площею  137,7 </w:t>
            </w:r>
            <w:proofErr w:type="spellStart"/>
            <w:r w:rsidRPr="004E5850">
              <w:rPr>
                <w:b w:val="0"/>
                <w:bCs w:val="0"/>
                <w:i/>
                <w:sz w:val="24"/>
                <w:szCs w:val="24"/>
              </w:rPr>
              <w:t>кв.м</w:t>
            </w:r>
            <w:proofErr w:type="spellEnd"/>
            <w:r w:rsidRPr="004E5850">
              <w:rPr>
                <w:b w:val="0"/>
                <w:bCs w:val="0"/>
                <w:i/>
                <w:sz w:val="24"/>
                <w:szCs w:val="24"/>
              </w:rPr>
              <w:t xml:space="preserve"> (реєстраційний номер об’єкта нерухомого майна 2789471680000, </w:t>
            </w:r>
            <w:r w:rsidR="00947206">
              <w:rPr>
                <w:b w:val="0"/>
                <w:bCs w:val="0"/>
                <w:i/>
                <w:sz w:val="24"/>
                <w:szCs w:val="24"/>
              </w:rPr>
              <w:t>н</w:t>
            </w:r>
            <w:r w:rsidRPr="004E5850">
              <w:rPr>
                <w:b w:val="0"/>
                <w:bCs w:val="0"/>
                <w:i/>
                <w:sz w:val="24"/>
                <w:szCs w:val="24"/>
              </w:rPr>
              <w:t>омер відомостей про речове право: 51563188 від 28.08.2024).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6DCB4A51" w:rsidR="00823CCF" w:rsidRPr="00EE137E" w:rsidRDefault="0018193A" w:rsidP="003C3EB7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1AFBC241" w:rsidR="00823CCF" w:rsidRPr="00EE137E" w:rsidRDefault="003C3EB7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C3EB7">
              <w:rPr>
                <w:b w:val="0"/>
                <w:bCs w:val="0"/>
                <w:i/>
                <w:sz w:val="24"/>
                <w:szCs w:val="24"/>
              </w:rPr>
              <w:t>Території житлової садибної забудови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, частково – території вулиць та доріг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3C3EB7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7E347B33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Земельна ділянка відповідно до Закону України «Про внесення змін до деяких законодавчих актів України щодо розмежування земель державної та комунальної власності»</w:t>
            </w:r>
            <w:r w:rsidR="00947206">
              <w:t xml:space="preserve"> </w:t>
            </w:r>
            <w:r w:rsidR="00947206" w:rsidRPr="00947206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BE241A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52A6479D" w:rsidR="006A19DF" w:rsidRPr="00EE137E" w:rsidRDefault="00BE241A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Договір оренди</w:t>
            </w:r>
            <w:r w:rsidR="004E585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зазначеної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</w:t>
            </w:r>
            <w:r w:rsidR="006A19DF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емельн</w:t>
            </w:r>
            <w:r w:rsidR="004E5850">
              <w:rPr>
                <w:rFonts w:ascii="Times New Roman" w:eastAsia="Times New Roman" w:hAnsi="Times New Roman" w:cs="Times New Roman"/>
                <w:i/>
                <w:color w:val="auto"/>
              </w:rPr>
              <w:t>ої</w:t>
            </w:r>
            <w:r w:rsidR="006A19DF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ділянк</w:t>
            </w:r>
            <w:r w:rsidR="004E5850">
              <w:rPr>
                <w:rFonts w:ascii="Times New Roman" w:eastAsia="Times New Roman" w:hAnsi="Times New Roman" w:cs="Times New Roman"/>
                <w:i/>
                <w:color w:val="auto"/>
              </w:rPr>
              <w:t>и</w:t>
            </w:r>
            <w:r w:rsidR="006A19DF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визнаний укладеним </w:t>
            </w:r>
            <w:r w:rsidR="004E585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між Київської міською радою та Товариством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Господарського суду міста Києва від 19.03.2009 у справі № 31/105 </w:t>
            </w:r>
            <w:r w:rsidR="00FF0A55" w:rsidRPr="00BE241A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АЗС з комплексом сервісного обслуговування (СТО, мийка, магазин)</w:t>
            </w:r>
            <w:r w:rsidR="00A2045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вул. Автозаводській, 1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та зареєстрований Головним управлінням зем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ельних ресурсів виконавчого органу Київської міської ради (Київської міської державної адміністрації) </w:t>
            </w:r>
            <w:r w:rsidR="006A19DF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24.04.2009</w:t>
            </w:r>
            <w:r w:rsidR="000846E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="006A19DF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 63-6-00539</w:t>
            </w:r>
            <w:r w:rsidR="00FF0A55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06F3EB98" w14:textId="77777777" w:rsidR="00A20459" w:rsidRDefault="00A2045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39B81" w14:textId="5B928168" w:rsidR="006A19DF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BE241A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24.04.202</w:t>
            </w:r>
            <w:r w:rsidR="00A20459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4</w:t>
            </w:r>
            <w:r w:rsidR="00C91423"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E7B4D12" w14:textId="77777777" w:rsidR="00A20459" w:rsidRPr="00EE137E" w:rsidRDefault="00A20459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6AA1729C" w14:textId="66C31357" w:rsidR="006A19DF" w:rsidRPr="00EE137E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 w:rsidR="00A2045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11.03.2024            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A2045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20250/6/26-15-13-01-08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 w:rsidR="00A2045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06.03.2024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за </w:t>
            </w:r>
            <w:proofErr w:type="spellStart"/>
            <w:r w:rsidRPr="00BE241A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</w:t>
            </w:r>
            <w:r w:rsidR="00A20459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овариством</w:t>
            </w:r>
            <w:proofErr w:type="spellEnd"/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податковий борг не обліковується.</w:t>
            </w:r>
          </w:p>
          <w:p w14:paraId="67881327" w14:textId="77777777" w:rsidR="00A20459" w:rsidRDefault="00A20459" w:rsidP="002D6E0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81CEF3E" w14:textId="13CAD633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6E986D8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23107141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0066ADE2" w:rsidR="00061CD4" w:rsidRPr="004E5850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 w:rsidRPr="004E5850">
        <w:rPr>
          <w:i w:val="0"/>
          <w:sz w:val="24"/>
          <w:szCs w:val="24"/>
        </w:rPr>
        <w:t>Про</w:t>
      </w:r>
      <w:r w:rsidR="007A5002" w:rsidRPr="004E5850">
        <w:rPr>
          <w:i w:val="0"/>
          <w:sz w:val="24"/>
          <w:szCs w:val="24"/>
        </w:rPr>
        <w:t>є</w:t>
      </w:r>
      <w:r w:rsidRPr="004E5850">
        <w:rPr>
          <w:i w:val="0"/>
          <w:sz w:val="24"/>
          <w:szCs w:val="24"/>
        </w:rPr>
        <w:t>кт</w:t>
      </w:r>
      <w:proofErr w:type="spellEnd"/>
      <w:r w:rsidRPr="004E5850"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4E5850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4E5850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</w:t>
      </w:r>
      <w:r w:rsidRPr="00E8544C">
        <w:rPr>
          <w:rFonts w:ascii="Times New Roman" w:eastAsia="Times New Roman" w:hAnsi="Times New Roman" w:cs="Times New Roman"/>
          <w:iCs/>
        </w:rPr>
        <w:t xml:space="preserve">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0BCCC27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4E5850" w:rsidRPr="004E5850">
        <w:rPr>
          <w:b/>
          <w:sz w:val="24"/>
          <w:szCs w:val="24"/>
        </w:rPr>
        <w:t>618 024,12</w:t>
      </w:r>
      <w:r w:rsidRPr="004E5850">
        <w:rPr>
          <w:b/>
          <w:sz w:val="24"/>
          <w:szCs w:val="24"/>
          <w:shd w:val="clear" w:color="auto" w:fill="FFFFFF"/>
        </w:rPr>
        <w:t xml:space="preserve"> грн</w:t>
      </w:r>
      <w:r w:rsidR="004E5850" w:rsidRPr="004E5850">
        <w:rPr>
          <w:b/>
          <w:sz w:val="24"/>
          <w:szCs w:val="24"/>
          <w:shd w:val="clear" w:color="auto" w:fill="FFFFFF"/>
        </w:rPr>
        <w:t xml:space="preserve"> на</w:t>
      </w:r>
      <w:r w:rsidR="004E5850">
        <w:rPr>
          <w:b/>
          <w:sz w:val="24"/>
          <w:szCs w:val="24"/>
          <w:shd w:val="clear" w:color="auto" w:fill="FFFFFF"/>
        </w:rPr>
        <w:t xml:space="preserve"> рік (12%)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469675A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4E5850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BE241A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4E5850">
      <w:headerReference w:type="default" r:id="rId11"/>
      <w:footerReference w:type="default" r:id="rId12"/>
      <w:pgSz w:w="11907" w:h="16839" w:code="9"/>
      <w:pgMar w:top="142" w:right="567" w:bottom="709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8D0" w14:textId="77777777" w:rsidR="002E49D6" w:rsidRDefault="002E49D6">
      <w:r>
        <w:separator/>
      </w:r>
    </w:p>
  </w:endnote>
  <w:endnote w:type="continuationSeparator" w:id="0">
    <w:p w14:paraId="250C7DE6" w14:textId="77777777" w:rsidR="002E49D6" w:rsidRDefault="002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FB30" w14:textId="77777777" w:rsidR="002E49D6" w:rsidRDefault="002E49D6"/>
  </w:footnote>
  <w:footnote w:type="continuationSeparator" w:id="0">
    <w:p w14:paraId="3D76664D" w14:textId="77777777" w:rsidR="002E49D6" w:rsidRDefault="002E49D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81013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BE241A">
          <w:rPr>
            <w:i w:val="0"/>
            <w:sz w:val="12"/>
            <w:szCs w:val="12"/>
            <w:lang w:val="ru-RU"/>
          </w:rPr>
          <w:t>-64922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BE241A">
          <w:rPr>
            <w:i w:val="0"/>
            <w:sz w:val="12"/>
            <w:szCs w:val="12"/>
            <w:lang w:val="ru-RU"/>
          </w:rPr>
          <w:t>03.04.2024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BE241A">
          <w:rPr>
            <w:i w:val="0"/>
            <w:sz w:val="12"/>
            <w:szCs w:val="12"/>
            <w:lang w:val="ru-RU"/>
          </w:rPr>
          <w:t>310579160</w:t>
        </w:r>
      </w:p>
      <w:p w14:paraId="0BF67CBB" w14:textId="38C9A349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846E5" w:rsidRPr="000846E5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846E5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A72B9"/>
    <w:rsid w:val="002B1314"/>
    <w:rsid w:val="002B4902"/>
    <w:rsid w:val="002B5778"/>
    <w:rsid w:val="002C66F6"/>
    <w:rsid w:val="002D306E"/>
    <w:rsid w:val="002D6E0D"/>
    <w:rsid w:val="002E49D6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C3EB7"/>
    <w:rsid w:val="003D2E2D"/>
    <w:rsid w:val="003E0CE3"/>
    <w:rsid w:val="003E1B2C"/>
    <w:rsid w:val="003E769A"/>
    <w:rsid w:val="003F1994"/>
    <w:rsid w:val="003F1E3E"/>
    <w:rsid w:val="003F4C80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4E5850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A70F6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231FE"/>
    <w:rsid w:val="00751508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47206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0459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0C41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E241A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154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13C1-0652-4C02-8CCB-8CD0E33F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6005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Босович Ольга Костянтинівна</cp:lastModifiedBy>
  <cp:revision>7</cp:revision>
  <cp:lastPrinted>2024-04-04T13:52:00Z</cp:lastPrinted>
  <dcterms:created xsi:type="dcterms:W3CDTF">2024-04-03T14:08:00Z</dcterms:created>
  <dcterms:modified xsi:type="dcterms:W3CDTF">2024-04-04T13:54:00Z</dcterms:modified>
</cp:coreProperties>
</file>